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F52BD6">
      <w:pPr>
        <w:rPr>
          <w:rFonts w:hint="default" w:ascii="Times New Roman" w:hAnsi="Times New Roman" w:eastAsia="宋体" w:cs="Times New Roman"/>
          <w:color w:val="FF0000"/>
          <w:sz w:val="36"/>
          <w:szCs w:val="36"/>
        </w:rPr>
      </w:pPr>
    </w:p>
    <w:p w14:paraId="7FA2975E">
      <w:pPr>
        <w:rPr>
          <w:rFonts w:hint="default" w:ascii="Times New Roman" w:hAnsi="Times New Roman" w:eastAsia="宋体" w:cs="Times New Roman"/>
          <w:color w:val="FF0000"/>
          <w:sz w:val="36"/>
          <w:szCs w:val="36"/>
        </w:rPr>
      </w:pPr>
    </w:p>
    <w:p w14:paraId="3D7C28A6">
      <w:pPr>
        <w:rPr>
          <w:rFonts w:hint="default" w:ascii="Times New Roman" w:hAnsi="Times New Roman" w:eastAsia="宋体" w:cs="Times New Roman"/>
          <w:color w:val="FF0000"/>
          <w:sz w:val="36"/>
          <w:szCs w:val="36"/>
        </w:rPr>
      </w:pPr>
    </w:p>
    <w:p w14:paraId="173745A5">
      <w:pPr>
        <w:jc w:val="center"/>
        <w:rPr>
          <w:rFonts w:hint="default" w:ascii="Times New Roman" w:hAnsi="Times New Roman" w:eastAsia="宋体" w:cs="Times New Roman"/>
          <w:b/>
          <w:color w:val="auto"/>
          <w:sz w:val="72"/>
          <w:szCs w:val="72"/>
        </w:rPr>
      </w:pPr>
      <w:bookmarkStart w:id="0" w:name="_Toc67775549"/>
      <w:r>
        <w:rPr>
          <w:rFonts w:hint="default" w:ascii="Times New Roman" w:hAnsi="Times New Roman" w:eastAsia="宋体" w:cs="Times New Roman"/>
          <w:b/>
          <w:color w:val="auto"/>
          <w:sz w:val="72"/>
          <w:szCs w:val="72"/>
        </w:rPr>
        <w:t>建设项目环境影响报告表</w:t>
      </w:r>
      <w:bookmarkEnd w:id="0"/>
    </w:p>
    <w:p w14:paraId="2438FBB4">
      <w:pPr>
        <w:adjustRightInd w:val="0"/>
        <w:snapToGrid w:val="0"/>
        <w:spacing w:before="192" w:beforeLines="80"/>
        <w:jc w:val="center"/>
        <w:rPr>
          <w:rFonts w:hint="default" w:ascii="Times New Roman" w:hAnsi="Times New Roman" w:eastAsia="宋体" w:cs="Times New Roman"/>
          <w:bCs/>
          <w:color w:val="auto"/>
          <w:sz w:val="44"/>
          <w:szCs w:val="44"/>
        </w:rPr>
      </w:pPr>
      <w:r>
        <w:rPr>
          <w:rFonts w:hint="default" w:ascii="Times New Roman" w:hAnsi="Times New Roman" w:eastAsia="宋体" w:cs="Times New Roman"/>
          <w:bCs/>
          <w:color w:val="auto"/>
          <w:sz w:val="44"/>
          <w:szCs w:val="44"/>
        </w:rPr>
        <w:t>（污染影响类）</w:t>
      </w:r>
    </w:p>
    <w:p w14:paraId="18A931C6">
      <w:pPr>
        <w:ind w:firstLine="1040"/>
        <w:rPr>
          <w:rFonts w:hint="default" w:ascii="Times New Roman" w:hAnsi="Times New Roman" w:eastAsia="宋体" w:cs="Times New Roman"/>
          <w:color w:val="auto"/>
          <w:sz w:val="44"/>
          <w:szCs w:val="44"/>
        </w:rPr>
      </w:pPr>
    </w:p>
    <w:p w14:paraId="33239D86">
      <w:pPr>
        <w:ind w:firstLine="1040"/>
        <w:rPr>
          <w:rFonts w:hint="default" w:ascii="Times New Roman" w:hAnsi="Times New Roman" w:eastAsia="宋体" w:cs="Times New Roman"/>
          <w:color w:val="auto"/>
          <w:sz w:val="44"/>
          <w:szCs w:val="44"/>
        </w:rPr>
      </w:pPr>
    </w:p>
    <w:p w14:paraId="617DE7C6">
      <w:pPr>
        <w:ind w:firstLine="1040"/>
        <w:rPr>
          <w:rFonts w:hint="default" w:ascii="Times New Roman" w:hAnsi="Times New Roman" w:eastAsia="宋体" w:cs="Times New Roman"/>
          <w:color w:val="auto"/>
          <w:sz w:val="44"/>
          <w:szCs w:val="44"/>
        </w:rPr>
      </w:pPr>
    </w:p>
    <w:p w14:paraId="16982A82">
      <w:pPr>
        <w:ind w:firstLine="1040"/>
        <w:rPr>
          <w:rFonts w:hint="default" w:ascii="Times New Roman" w:hAnsi="Times New Roman" w:eastAsia="宋体" w:cs="Times New Roman"/>
          <w:color w:val="auto"/>
          <w:sz w:val="44"/>
          <w:szCs w:val="44"/>
        </w:rPr>
      </w:pPr>
    </w:p>
    <w:p w14:paraId="0B88DF52">
      <w:pPr>
        <w:ind w:firstLine="1040"/>
        <w:rPr>
          <w:rFonts w:hint="default" w:ascii="Times New Roman" w:hAnsi="Times New Roman" w:eastAsia="宋体" w:cs="Times New Roman"/>
          <w:color w:val="auto"/>
          <w:sz w:val="44"/>
          <w:szCs w:val="44"/>
        </w:rPr>
      </w:pPr>
    </w:p>
    <w:p w14:paraId="58BBC81C">
      <w:pPr>
        <w:pStyle w:val="34"/>
        <w:rPr>
          <w:rFonts w:hint="default"/>
          <w:color w:val="auto"/>
        </w:rPr>
      </w:pPr>
    </w:p>
    <w:p w14:paraId="5338A574">
      <w:pPr>
        <w:ind w:firstLine="1040"/>
        <w:rPr>
          <w:rFonts w:hint="default" w:ascii="Times New Roman" w:hAnsi="Times New Roman" w:eastAsia="宋体" w:cs="Times New Roman"/>
          <w:color w:val="auto"/>
          <w:sz w:val="44"/>
          <w:szCs w:val="44"/>
        </w:rPr>
      </w:pPr>
    </w:p>
    <w:tbl>
      <w:tblPr>
        <w:tblStyle w:val="36"/>
        <w:tblW w:w="0" w:type="auto"/>
        <w:jc w:val="right"/>
        <w:tblLayout w:type="fixed"/>
        <w:tblCellMar>
          <w:top w:w="0" w:type="dxa"/>
          <w:left w:w="108" w:type="dxa"/>
          <w:bottom w:w="0" w:type="dxa"/>
          <w:right w:w="108" w:type="dxa"/>
        </w:tblCellMar>
      </w:tblPr>
      <w:tblGrid>
        <w:gridCol w:w="1721"/>
        <w:gridCol w:w="6838"/>
      </w:tblGrid>
      <w:tr w14:paraId="1967D19B">
        <w:tblPrEx>
          <w:tblCellMar>
            <w:top w:w="0" w:type="dxa"/>
            <w:left w:w="108" w:type="dxa"/>
            <w:bottom w:w="0" w:type="dxa"/>
            <w:right w:w="108" w:type="dxa"/>
          </w:tblCellMar>
        </w:tblPrEx>
        <w:trPr>
          <w:trHeight w:val="90" w:hRule="atLeast"/>
          <w:jc w:val="right"/>
        </w:trPr>
        <w:tc>
          <w:tcPr>
            <w:tcW w:w="1721" w:type="dxa"/>
            <w:noWrap w:val="0"/>
            <w:vAlign w:val="center"/>
          </w:tcPr>
          <w:p w14:paraId="48B6CA5C">
            <w:pPr>
              <w:spacing w:line="480" w:lineRule="atLeast"/>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t>项目名称</w:t>
            </w:r>
          </w:p>
        </w:tc>
        <w:tc>
          <w:tcPr>
            <w:tcW w:w="6838" w:type="dxa"/>
            <w:noWrap w:val="0"/>
            <w:vAlign w:val="center"/>
          </w:tcPr>
          <w:p w14:paraId="23C7BC44">
            <w:pPr>
              <w:spacing w:line="480" w:lineRule="atLeast"/>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年产1万吨精密铸件及金属制品加工绿色发展</w:t>
            </w:r>
          </w:p>
          <w:p w14:paraId="28706DED">
            <w:pPr>
              <w:spacing w:line="480" w:lineRule="atLeast"/>
              <w:rPr>
                <w:rFonts w:hint="default"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lang w:val="en-US" w:eastAsia="zh-CN"/>
              </w:rPr>
              <w:t>技改提升</w:t>
            </w:r>
            <w:r>
              <w:rPr>
                <w:rFonts w:hint="default" w:ascii="Times New Roman" w:hAnsi="Times New Roman" w:eastAsia="宋体" w:cs="Times New Roman"/>
                <w:color w:val="auto"/>
                <w:sz w:val="28"/>
                <w:szCs w:val="28"/>
                <w:lang w:val="en-US" w:eastAsia="zh-CN"/>
              </w:rPr>
              <w:t>项目</w:t>
            </w:r>
          </w:p>
        </w:tc>
      </w:tr>
      <w:tr w14:paraId="72D7D54B">
        <w:tblPrEx>
          <w:tblCellMar>
            <w:top w:w="0" w:type="dxa"/>
            <w:left w:w="108" w:type="dxa"/>
            <w:bottom w:w="0" w:type="dxa"/>
            <w:right w:w="108" w:type="dxa"/>
          </w:tblCellMar>
        </w:tblPrEx>
        <w:trPr>
          <w:trHeight w:val="640" w:hRule="atLeast"/>
          <w:jc w:val="right"/>
        </w:trPr>
        <w:tc>
          <w:tcPr>
            <w:tcW w:w="1721" w:type="dxa"/>
            <w:noWrap w:val="0"/>
            <w:vAlign w:val="center"/>
          </w:tcPr>
          <w:p w14:paraId="75FC84F0">
            <w:pPr>
              <w:spacing w:line="480" w:lineRule="atLeast"/>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t>建设单位</w:t>
            </w:r>
          </w:p>
        </w:tc>
        <w:tc>
          <w:tcPr>
            <w:tcW w:w="6838" w:type="dxa"/>
            <w:noWrap w:val="0"/>
            <w:vAlign w:val="center"/>
          </w:tcPr>
          <w:p w14:paraId="6A8CB944">
            <w:pPr>
              <w:spacing w:line="480" w:lineRule="atLeast"/>
              <w:rPr>
                <w:rFonts w:hint="default" w:ascii="Times New Roman" w:hAnsi="Times New Roman" w:eastAsia="宋体" w:cs="Times New Roman"/>
                <w:color w:val="auto"/>
                <w:sz w:val="28"/>
                <w:szCs w:val="28"/>
                <w:lang w:val="en-US"/>
              </w:rPr>
            </w:pPr>
            <w:r>
              <w:rPr>
                <w:rFonts w:hint="eastAsia" w:ascii="Times New Roman" w:hAnsi="Times New Roman" w:eastAsia="宋体" w:cs="Times New Roman"/>
                <w:color w:val="auto"/>
                <w:sz w:val="28"/>
                <w:szCs w:val="28"/>
                <w:lang w:val="en-US" w:eastAsia="zh-CN"/>
              </w:rPr>
              <w:t>池州市锋达金属铸造</w:t>
            </w:r>
            <w:r>
              <w:rPr>
                <w:rFonts w:hint="default" w:ascii="Times New Roman" w:hAnsi="Times New Roman" w:eastAsia="宋体" w:cs="Times New Roman"/>
                <w:color w:val="auto"/>
                <w:sz w:val="28"/>
                <w:szCs w:val="28"/>
                <w:lang w:val="en-US" w:eastAsia="zh-CN"/>
              </w:rPr>
              <w:t>有限公司</w:t>
            </w:r>
          </w:p>
        </w:tc>
      </w:tr>
      <w:tr w14:paraId="000FE986">
        <w:tblPrEx>
          <w:tblCellMar>
            <w:top w:w="0" w:type="dxa"/>
            <w:left w:w="108" w:type="dxa"/>
            <w:bottom w:w="0" w:type="dxa"/>
            <w:right w:w="108" w:type="dxa"/>
          </w:tblCellMar>
        </w:tblPrEx>
        <w:trPr>
          <w:trHeight w:val="640" w:hRule="atLeast"/>
          <w:jc w:val="right"/>
        </w:trPr>
        <w:tc>
          <w:tcPr>
            <w:tcW w:w="1721" w:type="dxa"/>
            <w:noWrap w:val="0"/>
            <w:vAlign w:val="center"/>
          </w:tcPr>
          <w:p w14:paraId="4BB8A161">
            <w:pPr>
              <w:spacing w:line="480" w:lineRule="atLeast"/>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t>编制日期</w:t>
            </w:r>
          </w:p>
        </w:tc>
        <w:tc>
          <w:tcPr>
            <w:tcW w:w="6838" w:type="dxa"/>
            <w:noWrap w:val="0"/>
            <w:vAlign w:val="center"/>
          </w:tcPr>
          <w:p w14:paraId="4FC0A07C">
            <w:pPr>
              <w:spacing w:line="480" w:lineRule="atLeast"/>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t>202</w:t>
            </w:r>
            <w:r>
              <w:rPr>
                <w:rFonts w:hint="eastAsia" w:cs="Times New Roman"/>
                <w:color w:val="auto"/>
                <w:sz w:val="28"/>
                <w:szCs w:val="28"/>
                <w:lang w:val="en-US" w:eastAsia="zh-CN"/>
              </w:rPr>
              <w:t>6</w:t>
            </w:r>
            <w:r>
              <w:rPr>
                <w:rFonts w:hint="default" w:ascii="Times New Roman" w:hAnsi="Times New Roman" w:eastAsia="宋体" w:cs="Times New Roman"/>
                <w:color w:val="auto"/>
                <w:sz w:val="28"/>
                <w:szCs w:val="28"/>
              </w:rPr>
              <w:t>年</w:t>
            </w:r>
            <w:r>
              <w:rPr>
                <w:rFonts w:hint="eastAsia" w:cs="Times New Roman"/>
                <w:color w:val="auto"/>
                <w:sz w:val="28"/>
                <w:szCs w:val="28"/>
                <w:lang w:val="en-US" w:eastAsia="zh-CN"/>
              </w:rPr>
              <w:t>3</w:t>
            </w:r>
            <w:r>
              <w:rPr>
                <w:rFonts w:hint="default" w:ascii="Times New Roman" w:hAnsi="Times New Roman" w:eastAsia="宋体" w:cs="Times New Roman"/>
                <w:color w:val="auto"/>
                <w:sz w:val="28"/>
                <w:szCs w:val="28"/>
              </w:rPr>
              <w:t>月</w:t>
            </w:r>
          </w:p>
        </w:tc>
      </w:tr>
    </w:tbl>
    <w:p w14:paraId="52242A31">
      <w:pPr>
        <w:ind w:firstLine="1040"/>
        <w:rPr>
          <w:rFonts w:hint="default" w:ascii="Times New Roman" w:hAnsi="Times New Roman" w:eastAsia="宋体" w:cs="Times New Roman"/>
          <w:color w:val="auto"/>
          <w:sz w:val="44"/>
          <w:szCs w:val="44"/>
        </w:rPr>
      </w:pPr>
    </w:p>
    <w:p w14:paraId="077A05AD">
      <w:pPr>
        <w:adjustRightInd w:val="0"/>
        <w:snapToGrid w:val="0"/>
        <w:spacing w:line="480" w:lineRule="auto"/>
        <w:ind w:firstLine="560" w:firstLineChars="200"/>
        <w:rPr>
          <w:rFonts w:hint="default" w:ascii="Times New Roman" w:hAnsi="Times New Roman" w:eastAsia="宋体" w:cs="Times New Roman"/>
          <w:color w:val="auto"/>
          <w:sz w:val="28"/>
          <w:szCs w:val="28"/>
        </w:rPr>
      </w:pPr>
    </w:p>
    <w:p w14:paraId="495521C0">
      <w:pPr>
        <w:adjustRightInd w:val="0"/>
        <w:snapToGrid w:val="0"/>
        <w:spacing w:line="288" w:lineRule="auto"/>
        <w:ind w:firstLine="1040"/>
        <w:rPr>
          <w:rFonts w:hint="default" w:ascii="Times New Roman" w:hAnsi="Times New Roman" w:eastAsia="宋体" w:cs="Times New Roman"/>
          <w:color w:val="auto"/>
          <w:sz w:val="36"/>
          <w:szCs w:val="36"/>
        </w:rPr>
      </w:pPr>
      <w:bookmarkStart w:id="1" w:name="_Hlk57884087"/>
    </w:p>
    <w:p w14:paraId="7B9F58A4">
      <w:pPr>
        <w:adjustRightInd w:val="0"/>
        <w:snapToGrid w:val="0"/>
        <w:spacing w:line="288" w:lineRule="auto"/>
        <w:ind w:firstLine="1040"/>
        <w:rPr>
          <w:rFonts w:hint="default" w:ascii="Times New Roman" w:hAnsi="Times New Roman" w:eastAsia="宋体" w:cs="Times New Roman"/>
          <w:color w:val="auto"/>
          <w:sz w:val="36"/>
          <w:szCs w:val="36"/>
        </w:rPr>
      </w:pPr>
    </w:p>
    <w:p w14:paraId="25CA7ADF">
      <w:pPr>
        <w:adjustRightInd w:val="0"/>
        <w:snapToGrid w:val="0"/>
        <w:spacing w:line="288" w:lineRule="auto"/>
        <w:ind w:firstLine="1040"/>
        <w:rPr>
          <w:rFonts w:hint="default" w:ascii="Times New Roman" w:hAnsi="Times New Roman" w:eastAsia="宋体" w:cs="Times New Roman"/>
          <w:color w:val="auto"/>
          <w:sz w:val="36"/>
          <w:szCs w:val="36"/>
        </w:rPr>
      </w:pPr>
    </w:p>
    <w:bookmarkEnd w:id="1"/>
    <w:p w14:paraId="3E1F2ADB">
      <w:pPr>
        <w:adjustRightInd w:val="0"/>
        <w:snapToGrid w:val="0"/>
        <w:spacing w:line="288" w:lineRule="auto"/>
        <w:jc w:val="center"/>
        <w:rPr>
          <w:rFonts w:hint="default" w:ascii="Times New Roman" w:hAnsi="Times New Roman" w:eastAsia="宋体" w:cs="Times New Roman"/>
          <w:b/>
          <w:color w:val="auto"/>
          <w:sz w:val="32"/>
          <w:szCs w:val="32"/>
        </w:rPr>
      </w:pPr>
    </w:p>
    <w:p w14:paraId="423285A9">
      <w:pPr>
        <w:adjustRightInd w:val="0"/>
        <w:snapToGrid w:val="0"/>
        <w:spacing w:line="288" w:lineRule="auto"/>
        <w:rPr>
          <w:rFonts w:hint="default" w:ascii="Times New Roman" w:hAnsi="Times New Roman" w:eastAsia="宋体" w:cs="Times New Roman"/>
          <w:b/>
          <w:color w:val="auto"/>
          <w:sz w:val="32"/>
          <w:szCs w:val="32"/>
        </w:rPr>
      </w:pPr>
    </w:p>
    <w:p w14:paraId="35AEA25E">
      <w:pPr>
        <w:adjustRightInd w:val="0"/>
        <w:snapToGrid w:val="0"/>
        <w:spacing w:line="288" w:lineRule="auto"/>
        <w:jc w:val="center"/>
        <w:rPr>
          <w:rFonts w:hint="default" w:ascii="Times New Roman" w:hAnsi="Times New Roman" w:eastAsia="宋体" w:cs="Times New Roman"/>
          <w:color w:val="FF0000"/>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r>
        <w:rPr>
          <w:rFonts w:hint="default" w:ascii="Times New Roman" w:hAnsi="Times New Roman" w:eastAsia="宋体" w:cs="Times New Roman"/>
          <w:b/>
          <w:color w:val="auto"/>
          <w:sz w:val="32"/>
          <w:szCs w:val="32"/>
          <w:lang w:val="en-US" w:eastAsia="zh-CN"/>
        </w:rPr>
        <w:t>中华人民共和国生态环境部制</w:t>
      </w:r>
    </w:p>
    <w:p w14:paraId="5088B5DC">
      <w:pPr>
        <w:spacing w:line="360" w:lineRule="auto"/>
        <w:jc w:val="center"/>
        <w:rPr>
          <w:rFonts w:hint="default" w:ascii="Times New Roman" w:hAnsi="Times New Roman" w:eastAsia="宋体" w:cs="Times New Roman"/>
          <w:b/>
          <w:color w:val="auto"/>
          <w:sz w:val="32"/>
          <w:szCs w:val="32"/>
        </w:rPr>
      </w:pPr>
      <w:bookmarkStart w:id="2" w:name="_Toc67775550"/>
      <w:r>
        <w:rPr>
          <w:rFonts w:hint="default" w:ascii="Times New Roman" w:hAnsi="Times New Roman" w:eastAsia="宋体" w:cs="Times New Roman"/>
          <w:b/>
          <w:color w:val="auto"/>
          <w:sz w:val="32"/>
          <w:szCs w:val="32"/>
        </w:rPr>
        <w:t>目</w:t>
      </w:r>
      <w:r>
        <w:rPr>
          <w:rFonts w:hint="eastAsia" w:ascii="Times New Roman" w:hAnsi="Times New Roman" w:eastAsia="宋体" w:cs="Times New Roman"/>
          <w:b/>
          <w:color w:val="auto"/>
          <w:sz w:val="32"/>
          <w:szCs w:val="32"/>
          <w:lang w:val="en-US" w:eastAsia="zh-CN"/>
        </w:rPr>
        <w:t xml:space="preserve">  </w:t>
      </w:r>
      <w:r>
        <w:rPr>
          <w:rFonts w:hint="default" w:ascii="Times New Roman" w:hAnsi="Times New Roman" w:eastAsia="宋体" w:cs="Times New Roman"/>
          <w:b/>
          <w:color w:val="auto"/>
          <w:sz w:val="32"/>
          <w:szCs w:val="32"/>
        </w:rPr>
        <w:t>录</w:t>
      </w:r>
      <w:bookmarkEnd w:id="2"/>
    </w:p>
    <w:sdt>
      <w:sdtPr>
        <w:rPr>
          <w:rFonts w:ascii="宋体" w:hAnsi="宋体" w:eastAsia="宋体" w:cs="Times New Roman"/>
          <w:color w:val="auto"/>
          <w:kern w:val="2"/>
          <w:sz w:val="21"/>
          <w:szCs w:val="24"/>
          <w:lang w:val="en-US" w:eastAsia="zh-CN" w:bidi="ar-SA"/>
        </w:rPr>
        <w:id w:val="147482564"/>
        <w15:color w:val="DBDBDB"/>
        <w:docPartObj>
          <w:docPartGallery w:val="Table of Contents"/>
          <w:docPartUnique/>
        </w:docPartObj>
      </w:sdtPr>
      <w:sdtEndPr>
        <w:rPr>
          <w:rFonts w:hint="default" w:ascii="Times New Roman" w:hAnsi="Times New Roman" w:eastAsia="宋体" w:cs="Times New Roman"/>
          <w:snapToGrid w:val="0"/>
          <w:color w:val="auto"/>
          <w:kern w:val="2"/>
          <w:sz w:val="21"/>
          <w:szCs w:val="24"/>
          <w:lang w:val="en-US" w:eastAsia="zh-CN" w:bidi="ar-SA"/>
        </w:rPr>
      </w:sdtEndPr>
      <w:sdtContent>
        <w:p w14:paraId="46FCB588">
          <w:pPr>
            <w:spacing w:before="0" w:beforeLines="0" w:after="0" w:afterLines="0" w:line="240" w:lineRule="auto"/>
            <w:ind w:left="0" w:leftChars="0" w:right="0" w:rightChars="0" w:firstLine="0" w:firstLineChars="0"/>
            <w:jc w:val="center"/>
            <w:rPr>
              <w:color w:val="auto"/>
            </w:rPr>
          </w:pPr>
        </w:p>
        <w:p w14:paraId="4F18D264">
          <w:pPr>
            <w:pStyle w:val="25"/>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color w:val="auto"/>
            </w:rPr>
          </w:pPr>
          <w:r>
            <w:rPr>
              <w:rFonts w:hint="default" w:ascii="Times New Roman" w:hAnsi="Times New Roman" w:eastAsia="宋体" w:cs="Times New Roman"/>
              <w:snapToGrid w:val="0"/>
              <w:color w:val="auto"/>
              <w:sz w:val="24"/>
            </w:rPr>
            <w:fldChar w:fldCharType="begin"/>
          </w:r>
          <w:r>
            <w:rPr>
              <w:rFonts w:hint="default" w:ascii="Times New Roman" w:hAnsi="Times New Roman" w:eastAsia="宋体" w:cs="Times New Roman"/>
              <w:snapToGrid w:val="0"/>
              <w:color w:val="auto"/>
              <w:sz w:val="24"/>
            </w:rPr>
            <w:instrText xml:space="preserve">TOC \o "1-1" \h \u </w:instrText>
          </w:r>
          <w:r>
            <w:rPr>
              <w:rFonts w:hint="default" w:ascii="Times New Roman" w:hAnsi="Times New Roman" w:eastAsia="宋体" w:cs="Times New Roman"/>
              <w:snapToGrid w:val="0"/>
              <w:color w:val="auto"/>
              <w:sz w:val="24"/>
            </w:rPr>
            <w:fldChar w:fldCharType="separate"/>
          </w:r>
          <w:r>
            <w:rPr>
              <w:rFonts w:hint="default" w:ascii="Times New Roman" w:hAnsi="Times New Roman" w:eastAsia="宋体" w:cs="Times New Roman"/>
              <w:snapToGrid w:val="0"/>
              <w:color w:val="auto"/>
            </w:rPr>
            <w:fldChar w:fldCharType="begin"/>
          </w:r>
          <w:r>
            <w:rPr>
              <w:rFonts w:hint="default" w:ascii="Times New Roman" w:hAnsi="Times New Roman" w:eastAsia="宋体" w:cs="Times New Roman"/>
              <w:snapToGrid w:val="0"/>
              <w:color w:val="auto"/>
            </w:rPr>
            <w:instrText xml:space="preserve"> HYPERLINK \l _Toc30787 </w:instrText>
          </w:r>
          <w:r>
            <w:rPr>
              <w:rFonts w:hint="default" w:ascii="Times New Roman" w:hAnsi="Times New Roman" w:eastAsia="宋体" w:cs="Times New Roman"/>
              <w:snapToGrid w:val="0"/>
              <w:color w:val="auto"/>
            </w:rPr>
            <w:fldChar w:fldCharType="separate"/>
          </w:r>
          <w:r>
            <w:rPr>
              <w:rFonts w:hint="eastAsia" w:ascii="Times New Roman" w:hAnsi="Times New Roman" w:eastAsia="宋体" w:cs="Times New Roman"/>
              <w:bCs/>
              <w:color w:val="auto"/>
              <w:kern w:val="2"/>
              <w:szCs w:val="30"/>
              <w:lang w:val="en-US" w:eastAsia="zh-CN"/>
            </w:rPr>
            <w:t>一、建设项目基本情况</w:t>
          </w:r>
          <w:r>
            <w:rPr>
              <w:color w:val="auto"/>
            </w:rPr>
            <w:tab/>
          </w:r>
          <w:r>
            <w:rPr>
              <w:color w:val="auto"/>
            </w:rPr>
            <w:fldChar w:fldCharType="begin"/>
          </w:r>
          <w:r>
            <w:rPr>
              <w:color w:val="auto"/>
            </w:rPr>
            <w:instrText xml:space="preserve"> PAGEREF _Toc30787 \h </w:instrText>
          </w:r>
          <w:r>
            <w:rPr>
              <w:color w:val="auto"/>
            </w:rPr>
            <w:fldChar w:fldCharType="separate"/>
          </w:r>
          <w:r>
            <w:rPr>
              <w:color w:val="auto"/>
            </w:rPr>
            <w:t>1</w:t>
          </w:r>
          <w:r>
            <w:rPr>
              <w:color w:val="auto"/>
            </w:rPr>
            <w:fldChar w:fldCharType="end"/>
          </w:r>
          <w:r>
            <w:rPr>
              <w:rFonts w:hint="default" w:ascii="Times New Roman" w:hAnsi="Times New Roman" w:eastAsia="宋体" w:cs="Times New Roman"/>
              <w:snapToGrid w:val="0"/>
              <w:color w:val="auto"/>
            </w:rPr>
            <w:fldChar w:fldCharType="end"/>
          </w:r>
        </w:p>
        <w:p w14:paraId="1BA64A06">
          <w:pPr>
            <w:pStyle w:val="25"/>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color w:val="auto"/>
            </w:rPr>
          </w:pPr>
          <w:r>
            <w:rPr>
              <w:rFonts w:hint="default" w:ascii="Times New Roman" w:hAnsi="Times New Roman" w:eastAsia="宋体" w:cs="Times New Roman"/>
              <w:snapToGrid w:val="0"/>
              <w:color w:val="auto"/>
            </w:rPr>
            <w:fldChar w:fldCharType="begin"/>
          </w:r>
          <w:r>
            <w:rPr>
              <w:rFonts w:hint="default" w:ascii="Times New Roman" w:hAnsi="Times New Roman" w:eastAsia="宋体" w:cs="Times New Roman"/>
              <w:snapToGrid w:val="0"/>
              <w:color w:val="auto"/>
            </w:rPr>
            <w:instrText xml:space="preserve"> HYPERLINK \l _Toc27924 </w:instrText>
          </w:r>
          <w:r>
            <w:rPr>
              <w:rFonts w:hint="default" w:ascii="Times New Roman" w:hAnsi="Times New Roman" w:eastAsia="宋体" w:cs="Times New Roman"/>
              <w:snapToGrid w:val="0"/>
              <w:color w:val="auto"/>
            </w:rPr>
            <w:fldChar w:fldCharType="separate"/>
          </w:r>
          <w:r>
            <w:rPr>
              <w:rFonts w:hint="eastAsia" w:ascii="Times New Roman" w:hAnsi="Times New Roman" w:eastAsia="宋体" w:cs="Times New Roman"/>
              <w:bCs/>
              <w:color w:val="auto"/>
              <w:kern w:val="2"/>
              <w:szCs w:val="30"/>
              <w:lang w:val="en-US" w:eastAsia="zh-CN"/>
            </w:rPr>
            <w:t>二、建设项目工程分析</w:t>
          </w:r>
          <w:r>
            <w:rPr>
              <w:color w:val="auto"/>
            </w:rPr>
            <w:tab/>
          </w:r>
          <w:r>
            <w:rPr>
              <w:color w:val="auto"/>
            </w:rPr>
            <w:fldChar w:fldCharType="begin"/>
          </w:r>
          <w:r>
            <w:rPr>
              <w:color w:val="auto"/>
            </w:rPr>
            <w:instrText xml:space="preserve"> PAGEREF _Toc27924 \h </w:instrText>
          </w:r>
          <w:r>
            <w:rPr>
              <w:color w:val="auto"/>
            </w:rPr>
            <w:fldChar w:fldCharType="separate"/>
          </w:r>
          <w:r>
            <w:rPr>
              <w:color w:val="auto"/>
            </w:rPr>
            <w:t>30</w:t>
          </w:r>
          <w:r>
            <w:rPr>
              <w:color w:val="auto"/>
            </w:rPr>
            <w:fldChar w:fldCharType="end"/>
          </w:r>
          <w:r>
            <w:rPr>
              <w:rFonts w:hint="default" w:ascii="Times New Roman" w:hAnsi="Times New Roman" w:eastAsia="宋体" w:cs="Times New Roman"/>
              <w:snapToGrid w:val="0"/>
              <w:color w:val="auto"/>
            </w:rPr>
            <w:fldChar w:fldCharType="end"/>
          </w:r>
        </w:p>
        <w:p w14:paraId="039B45AB">
          <w:pPr>
            <w:pStyle w:val="25"/>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color w:val="auto"/>
            </w:rPr>
          </w:pPr>
          <w:r>
            <w:rPr>
              <w:rFonts w:hint="default" w:ascii="Times New Roman" w:hAnsi="Times New Roman" w:eastAsia="宋体" w:cs="Times New Roman"/>
              <w:snapToGrid w:val="0"/>
              <w:color w:val="auto"/>
            </w:rPr>
            <w:fldChar w:fldCharType="begin"/>
          </w:r>
          <w:r>
            <w:rPr>
              <w:rFonts w:hint="default" w:ascii="Times New Roman" w:hAnsi="Times New Roman" w:eastAsia="宋体" w:cs="Times New Roman"/>
              <w:snapToGrid w:val="0"/>
              <w:color w:val="auto"/>
            </w:rPr>
            <w:instrText xml:space="preserve"> HYPERLINK \l _Toc20579 </w:instrText>
          </w:r>
          <w:r>
            <w:rPr>
              <w:rFonts w:hint="default" w:ascii="Times New Roman" w:hAnsi="Times New Roman" w:eastAsia="宋体" w:cs="Times New Roman"/>
              <w:snapToGrid w:val="0"/>
              <w:color w:val="auto"/>
            </w:rPr>
            <w:fldChar w:fldCharType="separate"/>
          </w:r>
          <w:r>
            <w:rPr>
              <w:rFonts w:hint="eastAsia" w:ascii="Times New Roman" w:hAnsi="Times New Roman" w:eastAsia="宋体" w:cs="Times New Roman"/>
              <w:bCs/>
              <w:color w:val="auto"/>
              <w:kern w:val="2"/>
              <w:szCs w:val="30"/>
              <w:lang w:val="en-US" w:eastAsia="zh-CN"/>
            </w:rPr>
            <w:t>三、区域环境质量现状、环境保护目标及评价标准</w:t>
          </w:r>
          <w:r>
            <w:rPr>
              <w:color w:val="auto"/>
            </w:rPr>
            <w:tab/>
          </w:r>
          <w:r>
            <w:rPr>
              <w:color w:val="auto"/>
            </w:rPr>
            <w:fldChar w:fldCharType="begin"/>
          </w:r>
          <w:r>
            <w:rPr>
              <w:color w:val="auto"/>
            </w:rPr>
            <w:instrText xml:space="preserve"> PAGEREF _Toc20579 \h </w:instrText>
          </w:r>
          <w:r>
            <w:rPr>
              <w:color w:val="auto"/>
            </w:rPr>
            <w:fldChar w:fldCharType="separate"/>
          </w:r>
          <w:r>
            <w:rPr>
              <w:color w:val="auto"/>
            </w:rPr>
            <w:t>53</w:t>
          </w:r>
          <w:r>
            <w:rPr>
              <w:color w:val="auto"/>
            </w:rPr>
            <w:fldChar w:fldCharType="end"/>
          </w:r>
          <w:r>
            <w:rPr>
              <w:rFonts w:hint="default" w:ascii="Times New Roman" w:hAnsi="Times New Roman" w:eastAsia="宋体" w:cs="Times New Roman"/>
              <w:snapToGrid w:val="0"/>
              <w:color w:val="auto"/>
            </w:rPr>
            <w:fldChar w:fldCharType="end"/>
          </w:r>
        </w:p>
        <w:p w14:paraId="23052008">
          <w:pPr>
            <w:pStyle w:val="25"/>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color w:val="auto"/>
            </w:rPr>
          </w:pPr>
          <w:r>
            <w:rPr>
              <w:rFonts w:hint="default" w:ascii="Times New Roman" w:hAnsi="Times New Roman" w:eastAsia="宋体" w:cs="Times New Roman"/>
              <w:snapToGrid w:val="0"/>
              <w:color w:val="auto"/>
            </w:rPr>
            <w:fldChar w:fldCharType="begin"/>
          </w:r>
          <w:r>
            <w:rPr>
              <w:rFonts w:hint="default" w:ascii="Times New Roman" w:hAnsi="Times New Roman" w:eastAsia="宋体" w:cs="Times New Roman"/>
              <w:snapToGrid w:val="0"/>
              <w:color w:val="auto"/>
            </w:rPr>
            <w:instrText xml:space="preserve"> HYPERLINK \l _Toc8866 </w:instrText>
          </w:r>
          <w:r>
            <w:rPr>
              <w:rFonts w:hint="default" w:ascii="Times New Roman" w:hAnsi="Times New Roman" w:eastAsia="宋体" w:cs="Times New Roman"/>
              <w:snapToGrid w:val="0"/>
              <w:color w:val="auto"/>
            </w:rPr>
            <w:fldChar w:fldCharType="separate"/>
          </w:r>
          <w:r>
            <w:rPr>
              <w:rFonts w:hint="eastAsia" w:ascii="Times New Roman" w:hAnsi="Times New Roman" w:eastAsia="宋体" w:cs="Times New Roman"/>
              <w:bCs/>
              <w:color w:val="auto"/>
              <w:kern w:val="2"/>
              <w:szCs w:val="30"/>
              <w:lang w:val="en-US" w:eastAsia="zh-CN"/>
            </w:rPr>
            <w:t>四、主要环境影响和保护措施</w:t>
          </w:r>
          <w:r>
            <w:rPr>
              <w:color w:val="auto"/>
            </w:rPr>
            <w:tab/>
          </w:r>
          <w:r>
            <w:rPr>
              <w:color w:val="auto"/>
            </w:rPr>
            <w:fldChar w:fldCharType="begin"/>
          </w:r>
          <w:r>
            <w:rPr>
              <w:color w:val="auto"/>
            </w:rPr>
            <w:instrText xml:space="preserve"> PAGEREF _Toc8866 \h </w:instrText>
          </w:r>
          <w:r>
            <w:rPr>
              <w:color w:val="auto"/>
            </w:rPr>
            <w:fldChar w:fldCharType="separate"/>
          </w:r>
          <w:r>
            <w:rPr>
              <w:color w:val="auto"/>
            </w:rPr>
            <w:t>61</w:t>
          </w:r>
          <w:r>
            <w:rPr>
              <w:color w:val="auto"/>
            </w:rPr>
            <w:fldChar w:fldCharType="end"/>
          </w:r>
          <w:r>
            <w:rPr>
              <w:rFonts w:hint="default" w:ascii="Times New Roman" w:hAnsi="Times New Roman" w:eastAsia="宋体" w:cs="Times New Roman"/>
              <w:snapToGrid w:val="0"/>
              <w:color w:val="auto"/>
            </w:rPr>
            <w:fldChar w:fldCharType="end"/>
          </w:r>
        </w:p>
        <w:p w14:paraId="2F3DC525">
          <w:pPr>
            <w:pStyle w:val="25"/>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color w:val="auto"/>
            </w:rPr>
          </w:pPr>
          <w:r>
            <w:rPr>
              <w:rFonts w:hint="default" w:ascii="Times New Roman" w:hAnsi="Times New Roman" w:eastAsia="宋体" w:cs="Times New Roman"/>
              <w:snapToGrid w:val="0"/>
              <w:color w:val="auto"/>
            </w:rPr>
            <w:fldChar w:fldCharType="begin"/>
          </w:r>
          <w:r>
            <w:rPr>
              <w:rFonts w:hint="default" w:ascii="Times New Roman" w:hAnsi="Times New Roman" w:eastAsia="宋体" w:cs="Times New Roman"/>
              <w:snapToGrid w:val="0"/>
              <w:color w:val="auto"/>
            </w:rPr>
            <w:instrText xml:space="preserve"> HYPERLINK \l _Toc13076 </w:instrText>
          </w:r>
          <w:r>
            <w:rPr>
              <w:rFonts w:hint="default" w:ascii="Times New Roman" w:hAnsi="Times New Roman" w:eastAsia="宋体" w:cs="Times New Roman"/>
              <w:snapToGrid w:val="0"/>
              <w:color w:val="auto"/>
            </w:rPr>
            <w:fldChar w:fldCharType="separate"/>
          </w:r>
          <w:r>
            <w:rPr>
              <w:rFonts w:hint="eastAsia" w:ascii="Times New Roman" w:hAnsi="Times New Roman" w:eastAsia="宋体" w:cs="Times New Roman"/>
              <w:bCs/>
              <w:color w:val="auto"/>
              <w:kern w:val="2"/>
              <w:szCs w:val="30"/>
              <w:lang w:val="en-US" w:eastAsia="zh-CN"/>
            </w:rPr>
            <w:t>五、环境保护措施监督检查清单</w:t>
          </w:r>
          <w:r>
            <w:rPr>
              <w:color w:val="auto"/>
            </w:rPr>
            <w:tab/>
          </w:r>
          <w:r>
            <w:rPr>
              <w:color w:val="auto"/>
            </w:rPr>
            <w:fldChar w:fldCharType="begin"/>
          </w:r>
          <w:r>
            <w:rPr>
              <w:color w:val="auto"/>
            </w:rPr>
            <w:instrText xml:space="preserve"> PAGEREF _Toc13076 \h </w:instrText>
          </w:r>
          <w:r>
            <w:rPr>
              <w:color w:val="auto"/>
            </w:rPr>
            <w:fldChar w:fldCharType="separate"/>
          </w:r>
          <w:r>
            <w:rPr>
              <w:color w:val="auto"/>
            </w:rPr>
            <w:t>90</w:t>
          </w:r>
          <w:r>
            <w:rPr>
              <w:color w:val="auto"/>
            </w:rPr>
            <w:fldChar w:fldCharType="end"/>
          </w:r>
          <w:r>
            <w:rPr>
              <w:rFonts w:hint="default" w:ascii="Times New Roman" w:hAnsi="Times New Roman" w:eastAsia="宋体" w:cs="Times New Roman"/>
              <w:snapToGrid w:val="0"/>
              <w:color w:val="auto"/>
            </w:rPr>
            <w:fldChar w:fldCharType="end"/>
          </w:r>
        </w:p>
        <w:p w14:paraId="630FB2B8">
          <w:pPr>
            <w:pStyle w:val="25"/>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color w:val="auto"/>
            </w:rPr>
          </w:pPr>
          <w:r>
            <w:rPr>
              <w:rFonts w:hint="default" w:ascii="Times New Roman" w:hAnsi="Times New Roman" w:eastAsia="宋体" w:cs="Times New Roman"/>
              <w:snapToGrid w:val="0"/>
              <w:color w:val="auto"/>
            </w:rPr>
            <w:fldChar w:fldCharType="begin"/>
          </w:r>
          <w:r>
            <w:rPr>
              <w:rFonts w:hint="default" w:ascii="Times New Roman" w:hAnsi="Times New Roman" w:eastAsia="宋体" w:cs="Times New Roman"/>
              <w:snapToGrid w:val="0"/>
              <w:color w:val="auto"/>
            </w:rPr>
            <w:instrText xml:space="preserve"> HYPERLINK \l _Toc14625 </w:instrText>
          </w:r>
          <w:r>
            <w:rPr>
              <w:rFonts w:hint="default" w:ascii="Times New Roman" w:hAnsi="Times New Roman" w:eastAsia="宋体" w:cs="Times New Roman"/>
              <w:snapToGrid w:val="0"/>
              <w:color w:val="auto"/>
            </w:rPr>
            <w:fldChar w:fldCharType="separate"/>
          </w:r>
          <w:r>
            <w:rPr>
              <w:rFonts w:hint="eastAsia" w:ascii="Times New Roman" w:hAnsi="Times New Roman" w:eastAsia="宋体" w:cs="Times New Roman"/>
              <w:bCs/>
              <w:color w:val="auto"/>
              <w:kern w:val="2"/>
              <w:szCs w:val="30"/>
              <w:lang w:val="en-US" w:eastAsia="zh-CN" w:bidi="ar-SA"/>
            </w:rPr>
            <w:t>六、结论</w:t>
          </w:r>
          <w:r>
            <w:rPr>
              <w:color w:val="auto"/>
            </w:rPr>
            <w:tab/>
          </w:r>
          <w:r>
            <w:rPr>
              <w:color w:val="auto"/>
            </w:rPr>
            <w:fldChar w:fldCharType="begin"/>
          </w:r>
          <w:r>
            <w:rPr>
              <w:color w:val="auto"/>
            </w:rPr>
            <w:instrText xml:space="preserve"> PAGEREF _Toc14625 \h </w:instrText>
          </w:r>
          <w:r>
            <w:rPr>
              <w:color w:val="auto"/>
            </w:rPr>
            <w:fldChar w:fldCharType="separate"/>
          </w:r>
          <w:r>
            <w:rPr>
              <w:color w:val="auto"/>
            </w:rPr>
            <w:t>93</w:t>
          </w:r>
          <w:r>
            <w:rPr>
              <w:color w:val="auto"/>
            </w:rPr>
            <w:fldChar w:fldCharType="end"/>
          </w:r>
          <w:r>
            <w:rPr>
              <w:rFonts w:hint="default" w:ascii="Times New Roman" w:hAnsi="Times New Roman" w:eastAsia="宋体" w:cs="Times New Roman"/>
              <w:snapToGrid w:val="0"/>
              <w:color w:val="auto"/>
            </w:rPr>
            <w:fldChar w:fldCharType="end"/>
          </w:r>
        </w:p>
        <w:p w14:paraId="1D15A0CE">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snapToGrid w:val="0"/>
              <w:color w:val="auto"/>
              <w:kern w:val="2"/>
              <w:sz w:val="21"/>
              <w:szCs w:val="24"/>
              <w:lang w:val="en-US" w:eastAsia="zh-CN" w:bidi="ar-SA"/>
            </w:rPr>
          </w:pPr>
          <w:r>
            <w:rPr>
              <w:rFonts w:hint="default" w:ascii="Times New Roman" w:hAnsi="Times New Roman" w:eastAsia="宋体" w:cs="Times New Roman"/>
              <w:snapToGrid w:val="0"/>
              <w:color w:val="auto"/>
            </w:rPr>
            <w:fldChar w:fldCharType="end"/>
          </w:r>
        </w:p>
      </w:sdtContent>
    </w:sdt>
    <w:p w14:paraId="0F5C132C">
      <w:pPr>
        <w:spacing w:line="480" w:lineRule="exact"/>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附表：</w:t>
      </w:r>
    </w:p>
    <w:p w14:paraId="216D560A">
      <w:pPr>
        <w:spacing w:line="480" w:lineRule="exact"/>
        <w:ind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附表1：建设项目污染物排放量汇总表</w:t>
      </w:r>
    </w:p>
    <w:p w14:paraId="7A463B06">
      <w:pPr>
        <w:spacing w:line="480" w:lineRule="exact"/>
        <w:ind w:firstLine="480" w:firstLineChars="200"/>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附表2：项目环境影响评价与排污许可联动内容</w:t>
      </w:r>
    </w:p>
    <w:p w14:paraId="260F80B6">
      <w:pPr>
        <w:spacing w:line="480" w:lineRule="exact"/>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附件：</w:t>
      </w:r>
    </w:p>
    <w:p w14:paraId="76D6A633">
      <w:pPr>
        <w:spacing w:line="480" w:lineRule="exact"/>
        <w:ind w:firstLine="480" w:firstLineChars="200"/>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附件</w:t>
      </w: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rPr>
        <w:t xml:space="preserve"> 委托书</w:t>
      </w:r>
    </w:p>
    <w:p w14:paraId="469C7A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附件</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rPr>
        <w:t xml:space="preserve"> 项目备案表</w:t>
      </w:r>
    </w:p>
    <w:p w14:paraId="15924BE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附件</w:t>
      </w:r>
      <w:r>
        <w:rPr>
          <w:rFonts w:hint="default"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rPr>
        <w:t xml:space="preserve"> 营业执照</w:t>
      </w:r>
    </w:p>
    <w:p w14:paraId="244DF3C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eastAsia" w:cs="Times New Roman"/>
          <w:b w:val="0"/>
          <w:bCs w:val="0"/>
          <w:color w:val="auto"/>
          <w:sz w:val="24"/>
          <w:szCs w:val="24"/>
          <w:lang w:val="en-US" w:eastAsia="zh-CN"/>
        </w:rPr>
        <w:t xml:space="preserve">附件4 </w:t>
      </w:r>
      <w:r>
        <w:rPr>
          <w:rFonts w:hint="default" w:ascii="Times New Roman" w:hAnsi="Times New Roman" w:eastAsia="宋体" w:cs="Times New Roman"/>
          <w:b w:val="0"/>
          <w:bCs w:val="0"/>
          <w:color w:val="auto"/>
          <w:sz w:val="24"/>
          <w:szCs w:val="24"/>
          <w:lang w:val="en-US" w:eastAsia="zh-CN"/>
        </w:rPr>
        <w:t>法人身份证件</w:t>
      </w:r>
    </w:p>
    <w:p w14:paraId="3744336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附件</w:t>
      </w:r>
      <w:r>
        <w:rPr>
          <w:rFonts w:hint="eastAsia" w:cs="Times New Roman"/>
          <w:b w:val="0"/>
          <w:bCs w:val="0"/>
          <w:color w:val="auto"/>
          <w:sz w:val="24"/>
          <w:szCs w:val="24"/>
          <w:lang w:val="en-US" w:eastAsia="zh-CN"/>
        </w:rPr>
        <w:t>5</w:t>
      </w:r>
      <w:r>
        <w:rPr>
          <w:rFonts w:hint="default" w:ascii="Times New Roman" w:hAnsi="Times New Roman" w:eastAsia="宋体" w:cs="Times New Roman"/>
          <w:b w:val="0"/>
          <w:bCs w:val="0"/>
          <w:color w:val="auto"/>
          <w:sz w:val="24"/>
          <w:szCs w:val="24"/>
          <w:lang w:val="en-US" w:eastAsia="zh-CN"/>
        </w:rPr>
        <w:t xml:space="preserve"> </w:t>
      </w:r>
      <w:r>
        <w:rPr>
          <w:rFonts w:hint="eastAsia" w:ascii="Times New Roman" w:hAnsi="Times New Roman" w:eastAsia="宋体" w:cs="Times New Roman"/>
          <w:b w:val="0"/>
          <w:bCs w:val="0"/>
          <w:color w:val="auto"/>
          <w:sz w:val="24"/>
          <w:szCs w:val="24"/>
          <w:lang w:val="en-US" w:eastAsia="zh-CN"/>
        </w:rPr>
        <w:t>规划许可证</w:t>
      </w:r>
    </w:p>
    <w:p w14:paraId="3D4C55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附件</w:t>
      </w:r>
      <w:r>
        <w:rPr>
          <w:rFonts w:hint="eastAsia" w:cs="Times New Roman"/>
          <w:b w:val="0"/>
          <w:bCs w:val="0"/>
          <w:color w:val="auto"/>
          <w:sz w:val="24"/>
          <w:szCs w:val="24"/>
          <w:lang w:val="en-US" w:eastAsia="zh-CN"/>
        </w:rPr>
        <w:t>6</w:t>
      </w:r>
      <w:r>
        <w:rPr>
          <w:rFonts w:hint="default" w:ascii="Times New Roman" w:hAnsi="Times New Roman" w:eastAsia="宋体" w:cs="Times New Roman"/>
          <w:b w:val="0"/>
          <w:bCs w:val="0"/>
          <w:color w:val="auto"/>
          <w:sz w:val="24"/>
          <w:szCs w:val="24"/>
          <w:lang w:val="en-US" w:eastAsia="zh-CN"/>
        </w:rPr>
        <w:t xml:space="preserve"> </w:t>
      </w:r>
      <w:r>
        <w:rPr>
          <w:rFonts w:hint="eastAsia" w:cs="Times New Roman"/>
          <w:b w:val="0"/>
          <w:bCs w:val="0"/>
          <w:color w:val="auto"/>
          <w:sz w:val="24"/>
          <w:szCs w:val="24"/>
          <w:lang w:val="en-US" w:eastAsia="zh-CN"/>
        </w:rPr>
        <w:t>现有项目环评批复</w:t>
      </w:r>
    </w:p>
    <w:p w14:paraId="6D6531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附件</w:t>
      </w:r>
      <w:r>
        <w:rPr>
          <w:rFonts w:hint="eastAsia" w:cs="Times New Roman"/>
          <w:b w:val="0"/>
          <w:bCs w:val="0"/>
          <w:color w:val="auto"/>
          <w:sz w:val="24"/>
          <w:szCs w:val="24"/>
          <w:lang w:val="en-US" w:eastAsia="zh-CN"/>
        </w:rPr>
        <w:t>7</w:t>
      </w:r>
      <w:r>
        <w:rPr>
          <w:rFonts w:hint="eastAsia" w:ascii="Times New Roman" w:hAnsi="Times New Roman" w:eastAsia="宋体" w:cs="Times New Roman"/>
          <w:b w:val="0"/>
          <w:bCs w:val="0"/>
          <w:color w:val="auto"/>
          <w:sz w:val="24"/>
          <w:szCs w:val="24"/>
          <w:lang w:val="en-US" w:eastAsia="zh-CN"/>
        </w:rPr>
        <w:t xml:space="preserve"> </w:t>
      </w:r>
      <w:r>
        <w:rPr>
          <w:rFonts w:hint="eastAsia" w:cs="Times New Roman"/>
          <w:b w:val="0"/>
          <w:bCs w:val="0"/>
          <w:color w:val="auto"/>
          <w:sz w:val="24"/>
          <w:szCs w:val="24"/>
          <w:lang w:val="en-US" w:eastAsia="zh-CN"/>
        </w:rPr>
        <w:t>现有项目自主验收意见</w:t>
      </w:r>
    </w:p>
    <w:p w14:paraId="5373A65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附件8 现有项目噪声、固废专项验收意见</w:t>
      </w:r>
    </w:p>
    <w:p w14:paraId="0FA9CEA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附件9 排污许可证</w:t>
      </w:r>
    </w:p>
    <w:p w14:paraId="6F039D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附件10 突发环境事件应急预案备案表</w:t>
      </w:r>
    </w:p>
    <w:p w14:paraId="6046679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附件11 危险废物委托处置合同</w:t>
      </w:r>
    </w:p>
    <w:p w14:paraId="4341EB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附件12 孕育剂检测报告</w:t>
      </w:r>
    </w:p>
    <w:p w14:paraId="3BFFC68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附件13 球化剂检测报告</w:t>
      </w:r>
    </w:p>
    <w:p w14:paraId="7151B0E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cs="Times New Roman"/>
          <w:b w:val="0"/>
          <w:bCs w:val="0"/>
          <w:color w:val="auto"/>
          <w:sz w:val="24"/>
          <w:szCs w:val="24"/>
          <w:lang w:val="en-US" w:eastAsia="zh-CN"/>
        </w:rPr>
      </w:pPr>
      <w:r>
        <w:rPr>
          <w:rFonts w:hint="eastAsia" w:cs="Times New Roman"/>
          <w:b w:val="0"/>
          <w:bCs w:val="0"/>
          <w:color w:val="auto"/>
          <w:sz w:val="24"/>
          <w:szCs w:val="24"/>
          <w:lang w:val="en-US" w:eastAsia="zh-CN"/>
        </w:rPr>
        <w:t>附件14 除渣剂检测报告</w:t>
      </w:r>
    </w:p>
    <w:p w14:paraId="2FDE098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附件1</w:t>
      </w:r>
      <w:r>
        <w:rPr>
          <w:rFonts w:hint="eastAsia" w:cs="Times New Roman"/>
          <w:b w:val="0"/>
          <w:bCs w:val="0"/>
          <w:color w:val="auto"/>
          <w:sz w:val="24"/>
          <w:szCs w:val="24"/>
          <w:lang w:val="en-US" w:eastAsia="zh-CN"/>
        </w:rPr>
        <w:t>5</w:t>
      </w:r>
      <w:r>
        <w:rPr>
          <w:rFonts w:hint="eastAsia" w:ascii="Times New Roman" w:hAnsi="Times New Roman" w:eastAsia="宋体" w:cs="Times New Roman"/>
          <w:b w:val="0"/>
          <w:bCs w:val="0"/>
          <w:color w:val="auto"/>
          <w:sz w:val="24"/>
          <w:szCs w:val="24"/>
          <w:lang w:val="en-US" w:eastAsia="zh-CN"/>
        </w:rPr>
        <w:t xml:space="preserve"> 青阳县人民政府关于设立镁铝及机电装备制造产业集聚区的批复</w:t>
      </w:r>
    </w:p>
    <w:p w14:paraId="2E0C086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附件1</w:t>
      </w:r>
      <w:r>
        <w:rPr>
          <w:rFonts w:hint="eastAsia" w:cs="Times New Roman"/>
          <w:b w:val="0"/>
          <w:bCs w:val="0"/>
          <w:color w:val="auto"/>
          <w:sz w:val="24"/>
          <w:szCs w:val="24"/>
          <w:lang w:val="en-US" w:eastAsia="zh-CN"/>
        </w:rPr>
        <w:t>6</w:t>
      </w:r>
      <w:r>
        <w:rPr>
          <w:rFonts w:hint="eastAsia" w:ascii="Times New Roman" w:hAnsi="Times New Roman" w:eastAsia="宋体" w:cs="Times New Roman"/>
          <w:b w:val="0"/>
          <w:bCs w:val="0"/>
          <w:color w:val="auto"/>
          <w:sz w:val="24"/>
          <w:szCs w:val="24"/>
          <w:lang w:val="en-US" w:eastAsia="zh-CN"/>
        </w:rPr>
        <w:t xml:space="preserve"> 镁铝及机电装备制造产业集聚区规划环境影响报告书审查意见的函</w:t>
      </w:r>
    </w:p>
    <w:p w14:paraId="44BDC72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p>
    <w:p w14:paraId="39C7FC44">
      <w:pPr>
        <w:spacing w:line="480" w:lineRule="exact"/>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附图：</w:t>
      </w:r>
    </w:p>
    <w:p w14:paraId="066671B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 xml:space="preserve">附图1 </w:t>
      </w:r>
      <w:r>
        <w:rPr>
          <w:rFonts w:hint="eastAsia" w:cs="Times New Roman"/>
          <w:b w:val="0"/>
          <w:bCs w:val="0"/>
          <w:color w:val="auto"/>
          <w:sz w:val="24"/>
          <w:szCs w:val="24"/>
          <w:lang w:val="en-US" w:eastAsia="zh-CN"/>
        </w:rPr>
        <w:t>建设</w:t>
      </w:r>
      <w:r>
        <w:rPr>
          <w:rFonts w:hint="default" w:ascii="Times New Roman" w:hAnsi="Times New Roman" w:eastAsia="宋体" w:cs="Times New Roman"/>
          <w:b w:val="0"/>
          <w:bCs w:val="0"/>
          <w:color w:val="auto"/>
          <w:sz w:val="24"/>
          <w:szCs w:val="24"/>
        </w:rPr>
        <w:t>项目地理位置图</w:t>
      </w:r>
    </w:p>
    <w:p w14:paraId="5B4772D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rPr>
        <w:t xml:space="preserve">附图2 </w:t>
      </w:r>
      <w:r>
        <w:rPr>
          <w:rFonts w:hint="eastAsia" w:ascii="Times New Roman" w:hAnsi="Times New Roman" w:eastAsia="宋体" w:cs="Times New Roman"/>
          <w:b w:val="0"/>
          <w:bCs w:val="0"/>
          <w:color w:val="auto"/>
          <w:sz w:val="24"/>
          <w:szCs w:val="24"/>
          <w:lang w:val="en-US" w:eastAsia="zh-CN"/>
        </w:rPr>
        <w:t>建设项目</w:t>
      </w:r>
      <w:r>
        <w:rPr>
          <w:rFonts w:hint="default" w:ascii="Times New Roman" w:hAnsi="Times New Roman" w:eastAsia="宋体" w:cs="Times New Roman"/>
          <w:b w:val="0"/>
          <w:bCs w:val="0"/>
          <w:color w:val="auto"/>
          <w:sz w:val="24"/>
          <w:szCs w:val="24"/>
          <w:lang w:val="en-US" w:eastAsia="zh-CN"/>
        </w:rPr>
        <w:t>保护目标</w:t>
      </w:r>
      <w:r>
        <w:rPr>
          <w:rFonts w:hint="eastAsia" w:ascii="Times New Roman" w:hAnsi="Times New Roman" w:eastAsia="宋体" w:cs="Times New Roman"/>
          <w:b w:val="0"/>
          <w:bCs w:val="0"/>
          <w:color w:val="auto"/>
          <w:sz w:val="24"/>
          <w:szCs w:val="24"/>
          <w:lang w:val="en-US" w:eastAsia="zh-CN"/>
        </w:rPr>
        <w:t>分布</w:t>
      </w:r>
      <w:r>
        <w:rPr>
          <w:rFonts w:hint="default" w:ascii="Times New Roman" w:hAnsi="Times New Roman" w:eastAsia="宋体" w:cs="Times New Roman"/>
          <w:b w:val="0"/>
          <w:bCs w:val="0"/>
          <w:color w:val="auto"/>
          <w:sz w:val="24"/>
          <w:szCs w:val="24"/>
          <w:lang w:val="en-US" w:eastAsia="zh-CN"/>
        </w:rPr>
        <w:t>图</w:t>
      </w:r>
    </w:p>
    <w:p w14:paraId="4D69138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附图3 </w:t>
      </w:r>
      <w:r>
        <w:rPr>
          <w:rFonts w:hint="eastAsia" w:cs="Times New Roman"/>
          <w:b w:val="0"/>
          <w:bCs w:val="0"/>
          <w:color w:val="auto"/>
          <w:sz w:val="24"/>
          <w:szCs w:val="24"/>
          <w:lang w:val="en-US" w:eastAsia="zh-CN"/>
        </w:rPr>
        <w:t>建设</w:t>
      </w:r>
      <w:r>
        <w:rPr>
          <w:rFonts w:hint="default" w:ascii="Times New Roman" w:hAnsi="Times New Roman" w:eastAsia="宋体" w:cs="Times New Roman"/>
          <w:b w:val="0"/>
          <w:bCs w:val="0"/>
          <w:color w:val="auto"/>
          <w:sz w:val="24"/>
          <w:szCs w:val="24"/>
          <w:lang w:val="en-US" w:eastAsia="zh-CN"/>
        </w:rPr>
        <w:t>项目总平面布置图</w:t>
      </w:r>
    </w:p>
    <w:p w14:paraId="590F592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eastAsia" w:cs="Times New Roman"/>
          <w:b w:val="0"/>
          <w:bCs w:val="0"/>
          <w:color w:val="auto"/>
          <w:sz w:val="24"/>
          <w:szCs w:val="24"/>
          <w:lang w:val="en-US" w:eastAsia="zh-CN"/>
        </w:rPr>
        <w:t>附图4 废气收集管线图</w:t>
      </w:r>
    </w:p>
    <w:p w14:paraId="3552021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eastAsia" w:cs="Times New Roman"/>
          <w:b w:val="0"/>
          <w:bCs w:val="0"/>
          <w:color w:val="auto"/>
          <w:sz w:val="24"/>
          <w:szCs w:val="24"/>
          <w:lang w:val="en-US" w:eastAsia="zh-CN"/>
        </w:rPr>
        <w:t>附图5 分区防渗示意图</w:t>
      </w:r>
    </w:p>
    <w:p w14:paraId="1CB526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附图</w:t>
      </w:r>
      <w:r>
        <w:rPr>
          <w:rFonts w:hint="eastAsia" w:cs="Times New Roman"/>
          <w:b w:val="0"/>
          <w:bCs w:val="0"/>
          <w:color w:val="auto"/>
          <w:sz w:val="24"/>
          <w:szCs w:val="24"/>
          <w:lang w:val="en-US" w:eastAsia="zh-CN"/>
        </w:rPr>
        <w:t>6</w:t>
      </w:r>
      <w:r>
        <w:rPr>
          <w:rFonts w:hint="default" w:ascii="Times New Roman" w:hAnsi="Times New Roman" w:eastAsia="宋体" w:cs="Times New Roman"/>
          <w:b w:val="0"/>
          <w:bCs w:val="0"/>
          <w:color w:val="auto"/>
          <w:sz w:val="24"/>
          <w:szCs w:val="24"/>
          <w:lang w:val="en-US" w:eastAsia="zh-CN"/>
        </w:rPr>
        <w:t xml:space="preserve"> 镁铝及机电装备制造产业集聚区规划范围图</w:t>
      </w:r>
    </w:p>
    <w:p w14:paraId="1948082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附图</w:t>
      </w:r>
      <w:r>
        <w:rPr>
          <w:rFonts w:hint="eastAsia" w:cs="Times New Roman"/>
          <w:b w:val="0"/>
          <w:bCs w:val="0"/>
          <w:color w:val="auto"/>
          <w:sz w:val="24"/>
          <w:szCs w:val="24"/>
          <w:lang w:val="en-US" w:eastAsia="zh-CN"/>
        </w:rPr>
        <w:t>7</w:t>
      </w:r>
      <w:r>
        <w:rPr>
          <w:rFonts w:hint="default" w:ascii="Times New Roman" w:hAnsi="Times New Roman" w:eastAsia="宋体" w:cs="Times New Roman"/>
          <w:b w:val="0"/>
          <w:bCs w:val="0"/>
          <w:color w:val="auto"/>
          <w:sz w:val="24"/>
          <w:szCs w:val="24"/>
          <w:lang w:val="en-US" w:eastAsia="zh-CN"/>
        </w:rPr>
        <w:t xml:space="preserve"> 建设项目与镁铝及机电装备制造产业集聚区土地利用规划位置关系图</w:t>
      </w:r>
    </w:p>
    <w:p w14:paraId="5FD0AF8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FF0000"/>
          <w:sz w:val="24"/>
          <w:szCs w:val="24"/>
          <w:lang w:val="en-US" w:eastAsia="zh-CN"/>
        </w:rPr>
      </w:pPr>
    </w:p>
    <w:p w14:paraId="5D0EB7FE">
      <w:pPr>
        <w:pStyle w:val="31"/>
        <w:spacing w:before="120" w:beforeLines="50" w:beforeAutospacing="0" w:after="0" w:afterAutospacing="0" w:line="360" w:lineRule="auto"/>
        <w:jc w:val="both"/>
        <w:outlineLvl w:val="0"/>
        <w:rPr>
          <w:rFonts w:hint="default" w:ascii="Times New Roman" w:hAnsi="Times New Roman" w:eastAsia="宋体" w:cs="Times New Roman"/>
          <w:b w:val="0"/>
          <w:bCs w:val="0"/>
          <w:snapToGrid w:val="0"/>
          <w:color w:val="FF0000"/>
          <w:sz w:val="28"/>
          <w:szCs w:val="28"/>
        </w:rPr>
        <w:sectPr>
          <w:headerReference r:id="rId5" w:type="default"/>
          <w:footerReference r:id="rId6" w:type="default"/>
          <w:pgSz w:w="11905" w:h="16838"/>
          <w:pgMar w:top="1440" w:right="1440" w:bottom="1440" w:left="1440" w:header="851" w:footer="1077" w:gutter="0"/>
          <w:pgBorders>
            <w:top w:val="none" w:sz="0" w:space="0"/>
            <w:left w:val="none" w:sz="0" w:space="0"/>
            <w:bottom w:val="none" w:sz="0" w:space="0"/>
            <w:right w:val="none" w:sz="0" w:space="0"/>
          </w:pgBorders>
          <w:cols w:space="720" w:num="1"/>
          <w:docGrid w:linePitch="312" w:charSpace="0"/>
        </w:sectPr>
      </w:pPr>
    </w:p>
    <w:p w14:paraId="4A29C3B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0" w:firstLineChars="0"/>
        <w:jc w:val="center"/>
        <w:textAlignment w:val="auto"/>
        <w:outlineLvl w:val="0"/>
        <w:rPr>
          <w:rFonts w:hint="eastAsia" w:ascii="Times New Roman" w:hAnsi="Times New Roman" w:eastAsia="宋体" w:cs="Times New Roman"/>
          <w:b/>
          <w:bCs/>
          <w:color w:val="auto"/>
          <w:kern w:val="2"/>
          <w:sz w:val="30"/>
          <w:szCs w:val="30"/>
          <w:lang w:val="en-US" w:eastAsia="zh-CN"/>
        </w:rPr>
      </w:pPr>
      <w:bookmarkStart w:id="3" w:name="_Toc30787"/>
      <w:r>
        <w:rPr>
          <w:rFonts w:hint="eastAsia" w:ascii="Times New Roman" w:hAnsi="Times New Roman" w:eastAsia="宋体" w:cs="Times New Roman"/>
          <w:b/>
          <w:bCs/>
          <w:color w:val="auto"/>
          <w:kern w:val="2"/>
          <w:sz w:val="30"/>
          <w:szCs w:val="30"/>
          <w:lang w:val="en-US" w:eastAsia="zh-CN"/>
        </w:rPr>
        <w:t>一、建设项目基本情况</w:t>
      </w:r>
      <w:bookmarkEnd w:id="3"/>
    </w:p>
    <w:tbl>
      <w:tblPr>
        <w:tblStyle w:val="36"/>
        <w:tblW w:w="497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761"/>
        <w:gridCol w:w="2345"/>
        <w:gridCol w:w="2082"/>
        <w:gridCol w:w="2865"/>
      </w:tblGrid>
      <w:tr w14:paraId="76A409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5FD90F18">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建设项目名称</w:t>
            </w:r>
          </w:p>
        </w:tc>
        <w:tc>
          <w:tcPr>
            <w:tcW w:w="7298" w:type="dxa"/>
            <w:gridSpan w:val="3"/>
            <w:noWrap w:val="0"/>
            <w:vAlign w:val="center"/>
          </w:tcPr>
          <w:p w14:paraId="02E1BBB9">
            <w:pPr>
              <w:adjustRightInd w:val="0"/>
              <w:snapToGrid w:val="0"/>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年产1万吨精密铸件及金属制品加工绿色发展技改提升项目</w:t>
            </w:r>
          </w:p>
        </w:tc>
      </w:tr>
      <w:tr w14:paraId="5D8296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51E628C0">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项目代码</w:t>
            </w:r>
          </w:p>
        </w:tc>
        <w:tc>
          <w:tcPr>
            <w:tcW w:w="7298" w:type="dxa"/>
            <w:gridSpan w:val="3"/>
            <w:noWrap w:val="0"/>
            <w:vAlign w:val="center"/>
          </w:tcPr>
          <w:p w14:paraId="2F8DC16E">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2305-341723-07-02-685038</w:t>
            </w:r>
          </w:p>
        </w:tc>
      </w:tr>
      <w:tr w14:paraId="1785B7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3F3496F1">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建设单位联系人</w:t>
            </w:r>
          </w:p>
        </w:tc>
        <w:tc>
          <w:tcPr>
            <w:tcW w:w="2347" w:type="dxa"/>
            <w:noWrap w:val="0"/>
            <w:vAlign w:val="center"/>
          </w:tcPr>
          <w:p w14:paraId="5A1023D7">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钱叶胜</w:t>
            </w:r>
          </w:p>
        </w:tc>
        <w:tc>
          <w:tcPr>
            <w:tcW w:w="2084" w:type="dxa"/>
            <w:noWrap w:val="0"/>
            <w:vAlign w:val="center"/>
          </w:tcPr>
          <w:p w14:paraId="6F6C0B1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联系方式</w:t>
            </w:r>
          </w:p>
        </w:tc>
        <w:tc>
          <w:tcPr>
            <w:tcW w:w="2867" w:type="dxa"/>
            <w:noWrap w:val="0"/>
            <w:vAlign w:val="center"/>
          </w:tcPr>
          <w:p w14:paraId="70ECBF02">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13355664218</w:t>
            </w:r>
          </w:p>
        </w:tc>
      </w:tr>
      <w:tr w14:paraId="2A9717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403A3473">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建设地点</w:t>
            </w:r>
          </w:p>
        </w:tc>
        <w:tc>
          <w:tcPr>
            <w:tcW w:w="7298" w:type="dxa"/>
            <w:gridSpan w:val="3"/>
            <w:noWrap w:val="0"/>
            <w:vAlign w:val="center"/>
          </w:tcPr>
          <w:p w14:paraId="5FD89042">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安徽省池州市青阳县新河镇镁铝及机电装备制造产业集聚区</w:t>
            </w:r>
          </w:p>
        </w:tc>
      </w:tr>
      <w:tr w14:paraId="416E0F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2549ABD9">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地理坐标</w:t>
            </w:r>
          </w:p>
        </w:tc>
        <w:tc>
          <w:tcPr>
            <w:tcW w:w="7298" w:type="dxa"/>
            <w:gridSpan w:val="3"/>
            <w:noWrap w:val="0"/>
            <w:vAlign w:val="center"/>
          </w:tcPr>
          <w:p w14:paraId="53B8D3E3">
            <w:pPr>
              <w:spacing w:line="240" w:lineRule="auto"/>
              <w:jc w:val="center"/>
              <w:rPr>
                <w:rFonts w:hint="default" w:ascii="Times New Roman" w:hAnsi="Times New Roman" w:cs="Times New Roman"/>
                <w:color w:val="auto"/>
                <w:sz w:val="24"/>
                <w:szCs w:val="24"/>
                <w:highlight w:val="none"/>
              </w:rPr>
            </w:pPr>
            <w:r>
              <w:rPr>
                <w:rFonts w:hint="eastAsia" w:ascii="Times New Roman" w:hAnsi="Times New Roman" w:cs="宋体"/>
                <w:color w:val="auto"/>
                <w:sz w:val="24"/>
                <w:highlight w:val="none"/>
                <w:u w:val="none"/>
              </w:rPr>
              <w:t>经度：11</w:t>
            </w:r>
            <w:r>
              <w:rPr>
                <w:rFonts w:hint="eastAsia" w:ascii="Times New Roman" w:hAnsi="Times New Roman" w:cs="宋体"/>
                <w:color w:val="auto"/>
                <w:sz w:val="24"/>
                <w:highlight w:val="none"/>
                <w:u w:val="none"/>
                <w:lang w:val="en-US" w:eastAsia="zh-CN"/>
              </w:rPr>
              <w:t>7</w:t>
            </w:r>
            <w:r>
              <w:rPr>
                <w:rFonts w:hint="eastAsia" w:ascii="Times New Roman" w:hAnsi="Times New Roman" w:cs="宋体"/>
                <w:color w:val="auto"/>
                <w:sz w:val="24"/>
                <w:highlight w:val="none"/>
                <w:u w:val="none"/>
              </w:rPr>
              <w:t>度</w:t>
            </w:r>
            <w:r>
              <w:rPr>
                <w:rFonts w:hint="eastAsia" w:ascii="Times New Roman" w:hAnsi="Times New Roman" w:cs="宋体"/>
                <w:color w:val="auto"/>
                <w:sz w:val="24"/>
                <w:highlight w:val="none"/>
                <w:u w:val="none"/>
                <w:lang w:val="en-US" w:eastAsia="zh-CN"/>
              </w:rPr>
              <w:t>54</w:t>
            </w:r>
            <w:r>
              <w:rPr>
                <w:rFonts w:hint="eastAsia" w:ascii="Times New Roman" w:hAnsi="Times New Roman" w:cs="宋体"/>
                <w:color w:val="auto"/>
                <w:sz w:val="24"/>
                <w:highlight w:val="none"/>
                <w:u w:val="none"/>
              </w:rPr>
              <w:t>分</w:t>
            </w:r>
            <w:r>
              <w:rPr>
                <w:rFonts w:hint="eastAsia" w:ascii="Times New Roman" w:hAnsi="Times New Roman" w:cs="宋体"/>
                <w:color w:val="auto"/>
                <w:sz w:val="24"/>
                <w:highlight w:val="none"/>
                <w:u w:val="none"/>
                <w:lang w:val="en-US" w:eastAsia="zh-CN"/>
              </w:rPr>
              <w:t>54.981</w:t>
            </w:r>
            <w:r>
              <w:rPr>
                <w:rFonts w:hint="eastAsia" w:ascii="Times New Roman" w:hAnsi="Times New Roman" w:cs="宋体"/>
                <w:color w:val="auto"/>
                <w:sz w:val="24"/>
                <w:highlight w:val="none"/>
                <w:u w:val="none"/>
              </w:rPr>
              <w:t>秒，纬度：3</w:t>
            </w:r>
            <w:r>
              <w:rPr>
                <w:rFonts w:hint="eastAsia" w:ascii="Times New Roman" w:hAnsi="Times New Roman" w:cs="宋体"/>
                <w:color w:val="auto"/>
                <w:sz w:val="24"/>
                <w:highlight w:val="none"/>
                <w:u w:val="none"/>
                <w:lang w:val="en-US" w:eastAsia="zh-CN"/>
              </w:rPr>
              <w:t>0</w:t>
            </w:r>
            <w:r>
              <w:rPr>
                <w:rFonts w:hint="eastAsia" w:ascii="Times New Roman" w:hAnsi="Times New Roman" w:cs="宋体"/>
                <w:color w:val="auto"/>
                <w:sz w:val="24"/>
                <w:highlight w:val="none"/>
                <w:u w:val="none"/>
              </w:rPr>
              <w:t>度</w:t>
            </w:r>
            <w:r>
              <w:rPr>
                <w:rFonts w:hint="eastAsia" w:ascii="Times New Roman" w:hAnsi="Times New Roman" w:cs="宋体"/>
                <w:color w:val="auto"/>
                <w:sz w:val="24"/>
                <w:highlight w:val="none"/>
                <w:u w:val="none"/>
                <w:lang w:val="en-US" w:eastAsia="zh-CN"/>
              </w:rPr>
              <w:t>40</w:t>
            </w:r>
            <w:r>
              <w:rPr>
                <w:rFonts w:hint="eastAsia" w:ascii="Times New Roman" w:hAnsi="Times New Roman" w:cs="宋体"/>
                <w:color w:val="auto"/>
                <w:sz w:val="24"/>
                <w:highlight w:val="none"/>
                <w:u w:val="none"/>
              </w:rPr>
              <w:t>分</w:t>
            </w:r>
            <w:r>
              <w:rPr>
                <w:rFonts w:hint="eastAsia" w:ascii="Times New Roman" w:hAnsi="Times New Roman" w:cs="宋体"/>
                <w:color w:val="auto"/>
                <w:sz w:val="24"/>
                <w:highlight w:val="none"/>
                <w:u w:val="none"/>
                <w:lang w:val="en-US" w:eastAsia="zh-CN"/>
              </w:rPr>
              <w:t>39.316</w:t>
            </w:r>
            <w:r>
              <w:rPr>
                <w:rFonts w:hint="eastAsia" w:ascii="Times New Roman" w:hAnsi="Times New Roman" w:cs="宋体"/>
                <w:color w:val="auto"/>
                <w:sz w:val="24"/>
                <w:highlight w:val="none"/>
                <w:u w:val="none"/>
              </w:rPr>
              <w:t>秒</w:t>
            </w:r>
          </w:p>
        </w:tc>
      </w:tr>
      <w:tr w14:paraId="2B0E28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0E109B28">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国民经济</w:t>
            </w:r>
          </w:p>
          <w:p w14:paraId="3C015DFE">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行业类别</w:t>
            </w:r>
          </w:p>
        </w:tc>
        <w:tc>
          <w:tcPr>
            <w:tcW w:w="2347" w:type="dxa"/>
            <w:noWrap w:val="0"/>
            <w:vAlign w:val="center"/>
          </w:tcPr>
          <w:p w14:paraId="68E03CA6">
            <w:pPr>
              <w:adjustRightInd w:val="0"/>
              <w:snapToGrid w:val="0"/>
              <w:jc w:val="center"/>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eastAsia="zh-CN"/>
              </w:rPr>
              <w:t>C3391黑色金属铸造</w:t>
            </w:r>
          </w:p>
        </w:tc>
        <w:tc>
          <w:tcPr>
            <w:tcW w:w="2084" w:type="dxa"/>
            <w:noWrap w:val="0"/>
            <w:vAlign w:val="center"/>
          </w:tcPr>
          <w:p w14:paraId="0E2C6621">
            <w:pPr>
              <w:adjustRightInd w:val="0"/>
              <w:snapToGrid w:val="0"/>
              <w:jc w:val="center"/>
              <w:rPr>
                <w:rFonts w:hint="default" w:ascii="Times New Roman" w:hAnsi="Times New Roman" w:cs="Times New Roman"/>
                <w:b/>
                <w:bCs/>
                <w:color w:val="auto"/>
                <w:sz w:val="24"/>
                <w:szCs w:val="24"/>
                <w:highlight w:val="none"/>
              </w:rPr>
            </w:pPr>
            <w:bookmarkStart w:id="4" w:name="_Hlk49843745"/>
            <w:r>
              <w:rPr>
                <w:rFonts w:hint="default" w:ascii="Times New Roman" w:hAnsi="Times New Roman" w:cs="Times New Roman"/>
                <w:b/>
                <w:bCs/>
                <w:color w:val="auto"/>
                <w:sz w:val="24"/>
                <w:szCs w:val="24"/>
                <w:highlight w:val="none"/>
              </w:rPr>
              <w:t>建设项目</w:t>
            </w:r>
          </w:p>
          <w:p w14:paraId="48A11CB5">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行业类别</w:t>
            </w:r>
            <w:bookmarkEnd w:id="4"/>
          </w:p>
        </w:tc>
        <w:tc>
          <w:tcPr>
            <w:tcW w:w="2867" w:type="dxa"/>
            <w:noWrap w:val="0"/>
            <w:vAlign w:val="center"/>
          </w:tcPr>
          <w:p w14:paraId="7ECE80A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三十、金属制品业 33</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铸造及其他金属制品制造339</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其他（仅分割、焊接、组装的除外）</w:t>
            </w:r>
          </w:p>
        </w:tc>
      </w:tr>
      <w:tr w14:paraId="6178ED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18EEC82C">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建设性质</w:t>
            </w:r>
          </w:p>
        </w:tc>
        <w:tc>
          <w:tcPr>
            <w:tcW w:w="2347" w:type="dxa"/>
            <w:noWrap w:val="0"/>
            <w:vAlign w:val="center"/>
          </w:tcPr>
          <w:p w14:paraId="567D499E">
            <w:pPr>
              <w:jc w:val="left"/>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新建（迁建）</w:t>
            </w:r>
          </w:p>
          <w:p w14:paraId="18E58ED3">
            <w:pPr>
              <w:jc w:val="left"/>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改建</w:t>
            </w:r>
          </w:p>
          <w:p w14:paraId="3501BFC4">
            <w:pPr>
              <w:jc w:val="left"/>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扩建</w:t>
            </w:r>
          </w:p>
          <w:p w14:paraId="3F6F26C0">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技术改造</w:t>
            </w:r>
          </w:p>
        </w:tc>
        <w:tc>
          <w:tcPr>
            <w:tcW w:w="2084" w:type="dxa"/>
            <w:noWrap w:val="0"/>
            <w:vAlign w:val="center"/>
          </w:tcPr>
          <w:p w14:paraId="3517AE70">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建设项目</w:t>
            </w:r>
          </w:p>
          <w:p w14:paraId="62644F02">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申报情形</w:t>
            </w:r>
          </w:p>
        </w:tc>
        <w:tc>
          <w:tcPr>
            <w:tcW w:w="2867" w:type="dxa"/>
            <w:noWrap w:val="0"/>
            <w:vAlign w:val="center"/>
          </w:tcPr>
          <w:p w14:paraId="356222F1">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首次申报项目</w:t>
            </w:r>
          </w:p>
          <w:p w14:paraId="5C00527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不予批准后再次申报项目</w:t>
            </w:r>
          </w:p>
          <w:p w14:paraId="516C99C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超五年重新审核项目</w:t>
            </w:r>
          </w:p>
          <w:p w14:paraId="396BF357">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□重大变动重新报批项目</w:t>
            </w:r>
          </w:p>
        </w:tc>
      </w:tr>
      <w:tr w14:paraId="40FB57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45A2C892">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项目审批（核准/</w:t>
            </w:r>
          </w:p>
          <w:p w14:paraId="169ACE5F">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备案）部门（选填）</w:t>
            </w:r>
          </w:p>
        </w:tc>
        <w:tc>
          <w:tcPr>
            <w:tcW w:w="2347" w:type="dxa"/>
            <w:noWrap w:val="0"/>
            <w:vAlign w:val="center"/>
          </w:tcPr>
          <w:p w14:paraId="525B9E5F">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青阳县科技经济信息化局</w:t>
            </w:r>
          </w:p>
        </w:tc>
        <w:tc>
          <w:tcPr>
            <w:tcW w:w="2084" w:type="dxa"/>
            <w:noWrap w:val="0"/>
            <w:vAlign w:val="center"/>
          </w:tcPr>
          <w:p w14:paraId="096D9860">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项目审批（核准/</w:t>
            </w:r>
          </w:p>
          <w:p w14:paraId="2E460AB6">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备案）文号（选填）</w:t>
            </w:r>
          </w:p>
        </w:tc>
        <w:tc>
          <w:tcPr>
            <w:tcW w:w="2867" w:type="dxa"/>
            <w:noWrap w:val="0"/>
            <w:vAlign w:val="center"/>
          </w:tcPr>
          <w:p w14:paraId="32E7BF91">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青科经信技改</w:t>
            </w:r>
            <w:r>
              <w:rPr>
                <w:rFonts w:hint="eastAsia" w:cs="Times New Roman"/>
                <w:color w:val="auto"/>
                <w:sz w:val="24"/>
                <w:szCs w:val="24"/>
                <w:highlight w:val="none"/>
                <w:lang w:val="en-US" w:eastAsia="zh-CN"/>
              </w:rPr>
              <w:t>〔2023〕21号</w:t>
            </w:r>
          </w:p>
        </w:tc>
      </w:tr>
      <w:tr w14:paraId="341CC9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12B83FF0">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总投资（万元）</w:t>
            </w:r>
          </w:p>
        </w:tc>
        <w:tc>
          <w:tcPr>
            <w:tcW w:w="2347" w:type="dxa"/>
            <w:noWrap w:val="0"/>
            <w:vAlign w:val="center"/>
          </w:tcPr>
          <w:p w14:paraId="66D61D4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7869.9</w:t>
            </w:r>
          </w:p>
        </w:tc>
        <w:tc>
          <w:tcPr>
            <w:tcW w:w="2084" w:type="dxa"/>
            <w:noWrap w:val="0"/>
            <w:tcMar>
              <w:top w:w="16" w:type="dxa"/>
              <w:left w:w="16" w:type="dxa"/>
              <w:right w:w="16" w:type="dxa"/>
            </w:tcMar>
            <w:vAlign w:val="center"/>
          </w:tcPr>
          <w:p w14:paraId="1F12A9E1">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环保投资（万元）</w:t>
            </w:r>
          </w:p>
        </w:tc>
        <w:tc>
          <w:tcPr>
            <w:tcW w:w="2867" w:type="dxa"/>
            <w:noWrap w:val="0"/>
            <w:vAlign w:val="center"/>
          </w:tcPr>
          <w:p w14:paraId="447CA7E3">
            <w:pPr>
              <w:adjustRightInd w:val="0"/>
              <w:snapToGrid w:val="0"/>
              <w:jc w:val="center"/>
              <w:rPr>
                <w:rFonts w:hint="default" w:ascii="Times New Roman" w:hAnsi="Times New Roman" w:eastAsia="宋体" w:cs="Times New Roman"/>
                <w:color w:val="auto"/>
                <w:sz w:val="24"/>
                <w:szCs w:val="24"/>
                <w:highlight w:val="none"/>
                <w:lang w:val="en-US" w:eastAsia="zh-CN"/>
              </w:rPr>
            </w:pPr>
          </w:p>
        </w:tc>
      </w:tr>
      <w:tr w14:paraId="3D9513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10A7D7BC">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环保投资占比（%）</w:t>
            </w:r>
          </w:p>
        </w:tc>
        <w:tc>
          <w:tcPr>
            <w:tcW w:w="2347" w:type="dxa"/>
            <w:noWrap w:val="0"/>
            <w:vAlign w:val="center"/>
          </w:tcPr>
          <w:p w14:paraId="264B6DF8">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3.00</w:t>
            </w:r>
          </w:p>
        </w:tc>
        <w:tc>
          <w:tcPr>
            <w:tcW w:w="2084" w:type="dxa"/>
            <w:noWrap w:val="0"/>
            <w:tcMar>
              <w:top w:w="16" w:type="dxa"/>
              <w:left w:w="16" w:type="dxa"/>
              <w:right w:w="16" w:type="dxa"/>
            </w:tcMar>
            <w:vAlign w:val="center"/>
          </w:tcPr>
          <w:p w14:paraId="7CAB33D6">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施工工期</w:t>
            </w:r>
          </w:p>
        </w:tc>
        <w:tc>
          <w:tcPr>
            <w:tcW w:w="2867" w:type="dxa"/>
            <w:noWrap w:val="0"/>
            <w:vAlign w:val="center"/>
          </w:tcPr>
          <w:p w14:paraId="15C7418F">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6个月</w:t>
            </w:r>
          </w:p>
        </w:tc>
      </w:tr>
      <w:tr w14:paraId="39D5FD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762" w:type="dxa"/>
            <w:noWrap w:val="0"/>
            <w:tcMar>
              <w:top w:w="16" w:type="dxa"/>
              <w:left w:w="16" w:type="dxa"/>
              <w:right w:w="16" w:type="dxa"/>
            </w:tcMar>
            <w:vAlign w:val="center"/>
          </w:tcPr>
          <w:p w14:paraId="6FB062BD">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是否开工建设</w:t>
            </w:r>
          </w:p>
        </w:tc>
        <w:tc>
          <w:tcPr>
            <w:tcW w:w="2347" w:type="dxa"/>
            <w:noWrap w:val="0"/>
            <w:vAlign w:val="center"/>
          </w:tcPr>
          <w:p w14:paraId="0ABD0A03">
            <w:pPr>
              <w:adjustRightInd w:val="0"/>
              <w:snapToGrid w:val="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否</w:t>
            </w:r>
          </w:p>
          <w:p w14:paraId="4D43185A">
            <w:pPr>
              <w:adjustRightInd w:val="0"/>
              <w:snapToGrid w:val="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是：</w:t>
            </w:r>
            <w:r>
              <w:rPr>
                <w:rFonts w:hint="default" w:ascii="Times New Roman" w:hAnsi="Times New Roman" w:cs="Times New Roman"/>
                <w:color w:val="auto"/>
                <w:sz w:val="24"/>
                <w:szCs w:val="24"/>
                <w:highlight w:val="none"/>
                <w:u w:val="single"/>
              </w:rPr>
              <w:t xml:space="preserve">             </w:t>
            </w:r>
          </w:p>
        </w:tc>
        <w:tc>
          <w:tcPr>
            <w:tcW w:w="2084" w:type="dxa"/>
            <w:noWrap w:val="0"/>
            <w:tcMar>
              <w:top w:w="16" w:type="dxa"/>
              <w:left w:w="16" w:type="dxa"/>
              <w:right w:w="16" w:type="dxa"/>
            </w:tcMar>
            <w:vAlign w:val="center"/>
          </w:tcPr>
          <w:p w14:paraId="5C9DE77F">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pacing w:val="-6"/>
                <w:sz w:val="24"/>
                <w:szCs w:val="24"/>
                <w:highlight w:val="none"/>
              </w:rPr>
              <w:t>用地面积（m</w:t>
            </w:r>
            <w:r>
              <w:rPr>
                <w:rFonts w:hint="default" w:ascii="Times New Roman" w:hAnsi="Times New Roman" w:cs="Times New Roman"/>
                <w:b/>
                <w:bCs/>
                <w:color w:val="auto"/>
                <w:spacing w:val="-6"/>
                <w:sz w:val="24"/>
                <w:szCs w:val="24"/>
                <w:highlight w:val="none"/>
                <w:vertAlign w:val="superscript"/>
              </w:rPr>
              <w:t>2</w:t>
            </w:r>
            <w:r>
              <w:rPr>
                <w:rFonts w:hint="default" w:ascii="Times New Roman" w:hAnsi="Times New Roman" w:cs="Times New Roman"/>
                <w:b/>
                <w:bCs/>
                <w:color w:val="auto"/>
                <w:spacing w:val="-6"/>
                <w:sz w:val="24"/>
                <w:szCs w:val="24"/>
                <w:highlight w:val="none"/>
              </w:rPr>
              <w:t>）</w:t>
            </w:r>
          </w:p>
        </w:tc>
        <w:tc>
          <w:tcPr>
            <w:tcW w:w="2867" w:type="dxa"/>
            <w:noWrap w:val="0"/>
            <w:vAlign w:val="center"/>
          </w:tcPr>
          <w:p w14:paraId="6252243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12000m</w:t>
            </w:r>
            <w:r>
              <w:rPr>
                <w:rFonts w:hint="eastAsia" w:cs="Times New Roman"/>
                <w:color w:val="auto"/>
                <w:sz w:val="24"/>
                <w:szCs w:val="24"/>
                <w:highlight w:val="none"/>
                <w:vertAlign w:val="superscript"/>
                <w:lang w:val="en-US" w:eastAsia="zh-CN"/>
              </w:rPr>
              <w:t>2</w:t>
            </w:r>
          </w:p>
        </w:tc>
      </w:tr>
      <w:tr w14:paraId="3E082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62" w:type="dxa"/>
            <w:noWrap w:val="0"/>
            <w:vAlign w:val="center"/>
          </w:tcPr>
          <w:p w14:paraId="06E62646">
            <w:pPr>
              <w:autoSpaceDE w:val="0"/>
              <w:autoSpaceDN w:val="0"/>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专项评价设置情况</w:t>
            </w:r>
          </w:p>
        </w:tc>
        <w:tc>
          <w:tcPr>
            <w:tcW w:w="7298" w:type="dxa"/>
            <w:gridSpan w:val="3"/>
            <w:noWrap w:val="0"/>
            <w:vAlign w:val="center"/>
          </w:tcPr>
          <w:p w14:paraId="01D598BD">
            <w:pPr>
              <w:autoSpaceDE w:val="0"/>
              <w:autoSpaceDN w:val="0"/>
              <w:adjustRightInd w:val="0"/>
              <w:snapToGrid w:val="0"/>
              <w:spacing w:line="480" w:lineRule="atLeast"/>
              <w:ind w:firstLine="480" w:firstLineChars="200"/>
              <w:rPr>
                <w:rFonts w:hint="default" w:ascii="Times New Roman" w:hAnsi="Times New Roman" w:eastAsia="宋体" w:cs="Times New Roman"/>
                <w:b/>
                <w:bCs/>
                <w:color w:val="auto"/>
                <w:kern w:val="0"/>
                <w:szCs w:val="21"/>
              </w:rPr>
            </w:pPr>
            <w:r>
              <w:rPr>
                <w:rFonts w:hint="default" w:ascii="Times New Roman" w:hAnsi="Times New Roman" w:eastAsia="宋体" w:cs="Times New Roman"/>
                <w:color w:val="auto"/>
                <w:kern w:val="0"/>
                <w:sz w:val="24"/>
              </w:rPr>
              <w:t>本项目专项设置分析如下：</w:t>
            </w:r>
          </w:p>
          <w:p w14:paraId="7E812CEC">
            <w:pPr>
              <w:autoSpaceDE w:val="0"/>
              <w:autoSpaceDN w:val="0"/>
              <w:adjustRightInd w:val="0"/>
              <w:snapToGrid w:val="0"/>
              <w:spacing w:line="480" w:lineRule="atLeast"/>
              <w:jc w:val="center"/>
              <w:rPr>
                <w:rFonts w:hint="default" w:ascii="Times New Roman" w:hAnsi="Times New Roman" w:eastAsia="宋体" w:cs="Times New Roman"/>
                <w:color w:val="auto"/>
                <w:kern w:val="0"/>
                <w:sz w:val="24"/>
              </w:rPr>
            </w:pPr>
            <w:r>
              <w:rPr>
                <w:rFonts w:hint="default" w:ascii="Times New Roman" w:hAnsi="Times New Roman" w:eastAsia="宋体" w:cs="Times New Roman"/>
                <w:b/>
                <w:bCs/>
                <w:color w:val="auto"/>
                <w:kern w:val="0"/>
                <w:szCs w:val="21"/>
              </w:rPr>
              <w:t>表1-1  专项评价设置原则表</w:t>
            </w:r>
          </w:p>
          <w:tbl>
            <w:tblPr>
              <w:tblStyle w:val="36"/>
              <w:tblW w:w="7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3898"/>
              <w:gridCol w:w="1425"/>
              <w:gridCol w:w="926"/>
            </w:tblGrid>
            <w:tr w14:paraId="39EF9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9" w:type="dxa"/>
                  <w:noWrap w:val="0"/>
                  <w:vAlign w:val="center"/>
                </w:tcPr>
                <w:p w14:paraId="36AB5DAC">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专项评价的类别</w:t>
                  </w:r>
                </w:p>
              </w:tc>
              <w:tc>
                <w:tcPr>
                  <w:tcW w:w="3898" w:type="dxa"/>
                  <w:noWrap w:val="0"/>
                  <w:vAlign w:val="center"/>
                </w:tcPr>
                <w:p w14:paraId="461316B2">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设置原则</w:t>
                  </w:r>
                </w:p>
              </w:tc>
              <w:tc>
                <w:tcPr>
                  <w:tcW w:w="1425" w:type="dxa"/>
                  <w:noWrap w:val="0"/>
                  <w:vAlign w:val="center"/>
                </w:tcPr>
                <w:p w14:paraId="5CF58735">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本项目类别</w:t>
                  </w:r>
                </w:p>
              </w:tc>
              <w:tc>
                <w:tcPr>
                  <w:tcW w:w="926" w:type="dxa"/>
                  <w:noWrap w:val="0"/>
                  <w:vAlign w:val="center"/>
                </w:tcPr>
                <w:p w14:paraId="5A891550">
                  <w:pPr>
                    <w:autoSpaceDE w:val="0"/>
                    <w:autoSpaceDN w:val="0"/>
                    <w:adjustRightInd w:val="0"/>
                    <w:snapToGrid w:val="0"/>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是否设置专项评价</w:t>
                  </w:r>
                </w:p>
              </w:tc>
            </w:tr>
            <w:tr w14:paraId="3AC00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69" w:type="dxa"/>
                  <w:noWrap w:val="0"/>
                  <w:vAlign w:val="center"/>
                </w:tcPr>
                <w:p w14:paraId="3EFF4CA0">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大气</w:t>
                  </w:r>
                </w:p>
              </w:tc>
              <w:tc>
                <w:tcPr>
                  <w:tcW w:w="3898" w:type="dxa"/>
                  <w:noWrap w:val="0"/>
                  <w:vAlign w:val="center"/>
                </w:tcPr>
                <w:p w14:paraId="0758802F">
                  <w:pPr>
                    <w:autoSpaceDE w:val="0"/>
                    <w:autoSpaceDN w:val="0"/>
                    <w:adjustRightInd w:val="0"/>
                    <w:snapToGrid w:val="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排放废气含有毒有害污染物、二噁英、苯并[a]芘、氰化物、氯气且厂界外500米范围内有环境空气保护目标”的建设项目</w:t>
                  </w:r>
                </w:p>
              </w:tc>
              <w:tc>
                <w:tcPr>
                  <w:tcW w:w="1425" w:type="dxa"/>
                  <w:noWrap w:val="0"/>
                  <w:vAlign w:val="center"/>
                </w:tcPr>
                <w:p w14:paraId="5F11D16D">
                  <w:pPr>
                    <w:autoSpaceDE w:val="0"/>
                    <w:autoSpaceDN w:val="0"/>
                    <w:adjustRightInd w:val="0"/>
                    <w:snapToGrid w:val="0"/>
                    <w:jc w:val="center"/>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rPr>
                    <w:t>本项目涉及</w:t>
                  </w:r>
                  <w:r>
                    <w:rPr>
                      <w:rFonts w:hint="eastAsia" w:ascii="Times New Roman" w:hAnsi="Times New Roman" w:eastAsia="宋体" w:cs="Times New Roman"/>
                      <w:color w:val="auto"/>
                      <w:kern w:val="0"/>
                      <w:szCs w:val="21"/>
                      <w:lang w:val="en-US" w:eastAsia="zh-CN"/>
                    </w:rPr>
                    <w:t>污染物甲醛，且500米范围存在环境空气保护目标</w:t>
                  </w:r>
                </w:p>
              </w:tc>
              <w:tc>
                <w:tcPr>
                  <w:tcW w:w="926" w:type="dxa"/>
                  <w:noWrap w:val="0"/>
                  <w:vAlign w:val="center"/>
                </w:tcPr>
                <w:p w14:paraId="108F80DD">
                  <w:pPr>
                    <w:autoSpaceDE w:val="0"/>
                    <w:autoSpaceDN w:val="0"/>
                    <w:adjustRightInd w:val="0"/>
                    <w:snapToGrid w:val="0"/>
                    <w:jc w:val="center"/>
                    <w:rPr>
                      <w:rFonts w:hint="eastAsia" w:ascii="Times New Roman" w:hAnsi="Times New Roman" w:eastAsia="宋体" w:cs="Times New Roman"/>
                      <w:color w:val="auto"/>
                      <w:kern w:val="0"/>
                      <w:szCs w:val="21"/>
                      <w:lang w:eastAsia="zh-CN"/>
                    </w:rPr>
                  </w:pPr>
                  <w:r>
                    <w:rPr>
                      <w:rFonts w:hint="eastAsia" w:ascii="Times New Roman" w:hAnsi="Times New Roman" w:eastAsia="宋体" w:cs="Times New Roman"/>
                      <w:color w:val="auto"/>
                      <w:kern w:val="0"/>
                      <w:szCs w:val="21"/>
                      <w:lang w:val="en-US" w:eastAsia="zh-CN"/>
                    </w:rPr>
                    <w:t>是</w:t>
                  </w:r>
                </w:p>
              </w:tc>
            </w:tr>
            <w:tr w14:paraId="09F4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69" w:type="dxa"/>
                  <w:noWrap w:val="0"/>
                  <w:vAlign w:val="center"/>
                </w:tcPr>
                <w:p w14:paraId="6A754B39">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地表水</w:t>
                  </w:r>
                </w:p>
              </w:tc>
              <w:tc>
                <w:tcPr>
                  <w:tcW w:w="3898" w:type="dxa"/>
                  <w:noWrap w:val="0"/>
                  <w:vAlign w:val="center"/>
                </w:tcPr>
                <w:p w14:paraId="78BCBFF9">
                  <w:pPr>
                    <w:autoSpaceDE w:val="0"/>
                    <w:autoSpaceDN w:val="0"/>
                    <w:adjustRightInd w:val="0"/>
                    <w:snapToGrid w:val="0"/>
                    <w:rPr>
                      <w:rFonts w:hint="default" w:ascii="Times New Roman" w:hAnsi="Times New Roman" w:eastAsia="宋体" w:cs="Times New Roman"/>
                      <w:color w:val="auto"/>
                    </w:rPr>
                  </w:pPr>
                  <w:r>
                    <w:rPr>
                      <w:rFonts w:hint="default" w:ascii="Times New Roman" w:hAnsi="Times New Roman" w:eastAsia="宋体" w:cs="Times New Roman"/>
                      <w:color w:val="auto"/>
                    </w:rPr>
                    <w:t>新增工业废水直排建设项目（槽罐车外送污水处理厂的除外）；</w:t>
                  </w:r>
                </w:p>
                <w:p w14:paraId="5F96267A">
                  <w:pPr>
                    <w:autoSpaceDE w:val="0"/>
                    <w:autoSpaceDN w:val="0"/>
                    <w:adjustRightInd w:val="0"/>
                    <w:snapToGrid w:val="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rPr>
                    <w:t>新增废水直排的污水集中处理厂</w:t>
                  </w:r>
                </w:p>
              </w:tc>
              <w:tc>
                <w:tcPr>
                  <w:tcW w:w="1425" w:type="dxa"/>
                  <w:noWrap w:val="0"/>
                  <w:vAlign w:val="center"/>
                </w:tcPr>
                <w:p w14:paraId="4E1557B4">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本项目不涉及</w:t>
                  </w:r>
                </w:p>
              </w:tc>
              <w:tc>
                <w:tcPr>
                  <w:tcW w:w="926" w:type="dxa"/>
                  <w:noWrap w:val="0"/>
                  <w:vAlign w:val="center"/>
                </w:tcPr>
                <w:p w14:paraId="79A19725">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否</w:t>
                  </w:r>
                </w:p>
              </w:tc>
            </w:tr>
            <w:tr w14:paraId="1ECA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9" w:type="dxa"/>
                  <w:noWrap w:val="0"/>
                  <w:vAlign w:val="center"/>
                </w:tcPr>
                <w:p w14:paraId="25D0180F">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环境风险</w:t>
                  </w:r>
                </w:p>
              </w:tc>
              <w:tc>
                <w:tcPr>
                  <w:tcW w:w="3898" w:type="dxa"/>
                  <w:noWrap w:val="0"/>
                  <w:vAlign w:val="center"/>
                </w:tcPr>
                <w:p w14:paraId="10A40EE8">
                  <w:pPr>
                    <w:autoSpaceDE w:val="0"/>
                    <w:autoSpaceDN w:val="0"/>
                    <w:adjustRightInd w:val="0"/>
                    <w:snapToGrid w:val="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有毒有害和易燃易爆危险物质存储量超过临界量的建设项目</w:t>
                  </w:r>
                </w:p>
              </w:tc>
              <w:tc>
                <w:tcPr>
                  <w:tcW w:w="1425" w:type="dxa"/>
                  <w:noWrap w:val="0"/>
                  <w:vAlign w:val="center"/>
                </w:tcPr>
                <w:p w14:paraId="5FA9A2EF">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rPr>
                    <w:t>本项目Q＜1</w:t>
                  </w:r>
                </w:p>
              </w:tc>
              <w:tc>
                <w:tcPr>
                  <w:tcW w:w="926" w:type="dxa"/>
                  <w:noWrap w:val="0"/>
                  <w:vAlign w:val="center"/>
                </w:tcPr>
                <w:p w14:paraId="30E7AE3F">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否</w:t>
                  </w:r>
                </w:p>
              </w:tc>
            </w:tr>
            <w:tr w14:paraId="7279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69" w:type="dxa"/>
                  <w:noWrap w:val="0"/>
                  <w:vAlign w:val="center"/>
                </w:tcPr>
                <w:p w14:paraId="49543886">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生态</w:t>
                  </w:r>
                </w:p>
              </w:tc>
              <w:tc>
                <w:tcPr>
                  <w:tcW w:w="3898" w:type="dxa"/>
                  <w:noWrap w:val="0"/>
                  <w:vAlign w:val="center"/>
                </w:tcPr>
                <w:p w14:paraId="58166454">
                  <w:pPr>
                    <w:autoSpaceDE w:val="0"/>
                    <w:autoSpaceDN w:val="0"/>
                    <w:adjustRightInd w:val="0"/>
                    <w:snapToGrid w:val="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取水口下游500米范围内有重要水生生物的自然产卵场、索饵场、越冬场和洄游通道的新增河道取水的污染类建设项目</w:t>
                  </w:r>
                </w:p>
              </w:tc>
              <w:tc>
                <w:tcPr>
                  <w:tcW w:w="1425" w:type="dxa"/>
                  <w:noWrap w:val="0"/>
                  <w:vAlign w:val="center"/>
                </w:tcPr>
                <w:p w14:paraId="231D45C4">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本项目不涉及</w:t>
                  </w:r>
                </w:p>
              </w:tc>
              <w:tc>
                <w:tcPr>
                  <w:tcW w:w="926" w:type="dxa"/>
                  <w:noWrap w:val="0"/>
                  <w:vAlign w:val="center"/>
                </w:tcPr>
                <w:p w14:paraId="2075C539">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否</w:t>
                  </w:r>
                </w:p>
              </w:tc>
            </w:tr>
            <w:tr w14:paraId="7558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69" w:type="dxa"/>
                  <w:noWrap w:val="0"/>
                  <w:vAlign w:val="center"/>
                </w:tcPr>
                <w:p w14:paraId="0F7CEE58">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海洋</w:t>
                  </w:r>
                </w:p>
              </w:tc>
              <w:tc>
                <w:tcPr>
                  <w:tcW w:w="3898" w:type="dxa"/>
                  <w:noWrap w:val="0"/>
                  <w:vAlign w:val="center"/>
                </w:tcPr>
                <w:p w14:paraId="18E37001">
                  <w:pPr>
                    <w:autoSpaceDE w:val="0"/>
                    <w:autoSpaceDN w:val="0"/>
                    <w:adjustRightInd w:val="0"/>
                    <w:snapToGrid w:val="0"/>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直接向海排放污染物的海洋工程建设项目</w:t>
                  </w:r>
                </w:p>
              </w:tc>
              <w:tc>
                <w:tcPr>
                  <w:tcW w:w="1425" w:type="dxa"/>
                  <w:noWrap w:val="0"/>
                  <w:vAlign w:val="center"/>
                </w:tcPr>
                <w:p w14:paraId="4C2792E3">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本项目不涉及</w:t>
                  </w:r>
                </w:p>
              </w:tc>
              <w:tc>
                <w:tcPr>
                  <w:tcW w:w="926" w:type="dxa"/>
                  <w:noWrap w:val="0"/>
                  <w:vAlign w:val="center"/>
                </w:tcPr>
                <w:p w14:paraId="64A6A835">
                  <w:pPr>
                    <w:autoSpaceDE w:val="0"/>
                    <w:autoSpaceDN w:val="0"/>
                    <w:adjustRightInd w:val="0"/>
                    <w:snapToGrid w:val="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否</w:t>
                  </w:r>
                </w:p>
              </w:tc>
            </w:tr>
          </w:tbl>
          <w:p w14:paraId="09D4B808">
            <w:pPr>
              <w:autoSpaceDE w:val="0"/>
              <w:autoSpaceDN w:val="0"/>
              <w:adjustRightInd w:val="0"/>
              <w:snapToGrid w:val="0"/>
              <w:jc w:val="both"/>
              <w:rPr>
                <w:rFonts w:hint="default" w:ascii="Times New Roman" w:hAnsi="Times New Roman" w:cs="Times New Roman"/>
                <w:color w:val="auto"/>
                <w:kern w:val="0"/>
                <w:sz w:val="24"/>
                <w:szCs w:val="24"/>
                <w:highlight w:val="none"/>
              </w:rPr>
            </w:pPr>
          </w:p>
        </w:tc>
      </w:tr>
      <w:tr w14:paraId="25AA39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62" w:type="dxa"/>
            <w:noWrap w:val="0"/>
            <w:vAlign w:val="center"/>
          </w:tcPr>
          <w:p w14:paraId="772D36B5">
            <w:pPr>
              <w:autoSpaceDE w:val="0"/>
              <w:autoSpaceDN w:val="0"/>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sz w:val="24"/>
                <w:szCs w:val="24"/>
                <w:highlight w:val="none"/>
              </w:rPr>
              <w:t>规划情况</w:t>
            </w:r>
          </w:p>
        </w:tc>
        <w:tc>
          <w:tcPr>
            <w:tcW w:w="7298" w:type="dxa"/>
            <w:gridSpan w:val="3"/>
            <w:noWrap w:val="0"/>
            <w:vAlign w:val="center"/>
          </w:tcPr>
          <w:p w14:paraId="2F7811DE">
            <w:pPr>
              <w:keepNext w:val="0"/>
              <w:keepLines w:val="0"/>
              <w:pageBreakBefore w:val="0"/>
              <w:widowControl w:val="0"/>
              <w:kinsoku/>
              <w:wordWrap/>
              <w:overflowPunct/>
              <w:topLinePunct w:val="0"/>
              <w:autoSpaceDE/>
              <w:autoSpaceDN/>
              <w:bidi w:val="0"/>
              <w:adjustRightInd/>
              <w:snapToGrid/>
              <w:spacing w:line="360" w:lineRule="auto"/>
              <w:ind w:left="0" w:firstLine="241" w:firstLineChars="1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规划名称：</w:t>
            </w:r>
            <w:r>
              <w:rPr>
                <w:rFonts w:hint="eastAsia"/>
                <w:color w:val="auto"/>
                <w:kern w:val="0"/>
                <w:sz w:val="24"/>
                <w:szCs w:val="24"/>
                <w:highlight w:val="none"/>
              </w:rPr>
              <w:t>《</w:t>
            </w:r>
            <w:r>
              <w:rPr>
                <w:rFonts w:hint="eastAsia"/>
                <w:b w:val="0"/>
                <w:bCs w:val="0"/>
                <w:color w:val="auto"/>
                <w:kern w:val="0"/>
                <w:sz w:val="24"/>
                <w:highlight w:val="none"/>
              </w:rPr>
              <w:t>镁铝及机电装备制造产业集聚区规划</w:t>
            </w:r>
            <w:r>
              <w:rPr>
                <w:rFonts w:hint="eastAsia"/>
                <w:color w:val="auto"/>
                <w:kern w:val="0"/>
                <w:sz w:val="24"/>
                <w:szCs w:val="24"/>
                <w:highlight w:val="none"/>
              </w:rPr>
              <w:t>》</w:t>
            </w:r>
          </w:p>
          <w:p w14:paraId="382E2DCA">
            <w:pPr>
              <w:keepNext w:val="0"/>
              <w:keepLines w:val="0"/>
              <w:pageBreakBefore w:val="0"/>
              <w:widowControl w:val="0"/>
              <w:kinsoku/>
              <w:wordWrap/>
              <w:overflowPunct/>
              <w:topLinePunct w:val="0"/>
              <w:autoSpaceDE/>
              <w:autoSpaceDN/>
              <w:bidi w:val="0"/>
              <w:adjustRightInd/>
              <w:snapToGrid/>
              <w:spacing w:line="360" w:lineRule="auto"/>
              <w:ind w:left="0" w:firstLine="241" w:firstLineChars="1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审</w:t>
            </w:r>
            <w:r>
              <w:rPr>
                <w:rFonts w:hint="eastAsia" w:ascii="Times New Roman" w:hAnsi="Times New Roman" w:eastAsia="宋体" w:cs="Times New Roman"/>
                <w:b/>
                <w:bCs/>
                <w:color w:val="auto"/>
                <w:sz w:val="24"/>
                <w:szCs w:val="24"/>
                <w:lang w:val="en-US" w:eastAsia="zh-CN"/>
              </w:rPr>
              <w:t>批</w:t>
            </w:r>
            <w:r>
              <w:rPr>
                <w:rFonts w:hint="default" w:ascii="Times New Roman" w:hAnsi="Times New Roman" w:eastAsia="宋体" w:cs="Times New Roman"/>
                <w:b/>
                <w:bCs/>
                <w:color w:val="auto"/>
                <w:sz w:val="24"/>
                <w:szCs w:val="24"/>
              </w:rPr>
              <w:t>机关：</w:t>
            </w:r>
            <w:r>
              <w:rPr>
                <w:rFonts w:hint="eastAsia"/>
                <w:color w:val="auto"/>
                <w:kern w:val="0"/>
                <w:sz w:val="24"/>
                <w:szCs w:val="24"/>
                <w:highlight w:val="none"/>
                <w:lang w:val="en-US" w:eastAsia="zh-CN"/>
              </w:rPr>
              <w:t>池州市青阳县人民政府</w:t>
            </w:r>
          </w:p>
          <w:p w14:paraId="5573BA5D">
            <w:pPr>
              <w:keepNext w:val="0"/>
              <w:keepLines w:val="0"/>
              <w:pageBreakBefore w:val="0"/>
              <w:widowControl w:val="0"/>
              <w:kinsoku/>
              <w:wordWrap/>
              <w:overflowPunct/>
              <w:topLinePunct w:val="0"/>
              <w:autoSpaceDE/>
              <w:autoSpaceDN/>
              <w:bidi w:val="0"/>
              <w:adjustRightInd/>
              <w:snapToGrid/>
              <w:spacing w:line="360" w:lineRule="auto"/>
              <w:ind w:left="0" w:leftChars="0" w:firstLine="241" w:firstLineChars="1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审批文件</w:t>
            </w:r>
            <w:r>
              <w:rPr>
                <w:rFonts w:hint="eastAsia" w:ascii="Times New Roman" w:hAnsi="Times New Roman" w:eastAsia="宋体" w:cs="Times New Roman"/>
                <w:b/>
                <w:bCs/>
                <w:color w:val="auto"/>
                <w:sz w:val="24"/>
                <w:szCs w:val="24"/>
                <w:lang w:val="en-US" w:eastAsia="zh-CN"/>
              </w:rPr>
              <w:t>名称及文号</w:t>
            </w:r>
            <w:r>
              <w:rPr>
                <w:rFonts w:hint="eastAsia" w:cs="Times New Roman"/>
                <w:b/>
                <w:bCs/>
                <w:color w:val="auto"/>
                <w:sz w:val="24"/>
                <w:szCs w:val="24"/>
                <w:lang w:val="en-US" w:eastAsia="zh-CN"/>
              </w:rPr>
              <w:t>：</w:t>
            </w:r>
          </w:p>
        </w:tc>
      </w:tr>
      <w:tr w14:paraId="79CB60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62" w:type="dxa"/>
            <w:noWrap w:val="0"/>
            <w:vAlign w:val="center"/>
          </w:tcPr>
          <w:p w14:paraId="14FA7ABF">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规划环境影响</w:t>
            </w:r>
          </w:p>
          <w:p w14:paraId="1374BF95">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sz w:val="24"/>
                <w:szCs w:val="24"/>
                <w:highlight w:val="none"/>
              </w:rPr>
              <w:t>评价情况</w:t>
            </w:r>
          </w:p>
        </w:tc>
        <w:tc>
          <w:tcPr>
            <w:tcW w:w="7298" w:type="dxa"/>
            <w:gridSpan w:val="3"/>
            <w:noWrap w:val="0"/>
            <w:vAlign w:val="center"/>
          </w:tcPr>
          <w:p w14:paraId="5FD2E1A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41" w:firstLineChars="100"/>
              <w:jc w:val="left"/>
              <w:textAlignment w:val="auto"/>
              <w:rPr>
                <w:rFonts w:hint="eastAsia"/>
                <w:b w:val="0"/>
                <w:bCs w:val="0"/>
                <w:color w:val="auto"/>
                <w:kern w:val="0"/>
                <w:sz w:val="24"/>
                <w:highlight w:val="none"/>
              </w:rPr>
            </w:pPr>
            <w:r>
              <w:rPr>
                <w:rFonts w:hint="default" w:ascii="Times New Roman" w:hAnsi="Times New Roman" w:eastAsia="宋体" w:cs="Times New Roman"/>
                <w:b/>
                <w:bCs/>
                <w:color w:val="auto"/>
                <w:kern w:val="0"/>
                <w:sz w:val="24"/>
                <w:szCs w:val="24"/>
                <w:highlight w:val="none"/>
              </w:rPr>
              <w:t>规划</w:t>
            </w:r>
            <w:r>
              <w:rPr>
                <w:rFonts w:hint="eastAsia" w:ascii="Times New Roman" w:hAnsi="Times New Roman" w:eastAsia="宋体" w:cs="Times New Roman"/>
                <w:b/>
                <w:bCs/>
                <w:color w:val="auto"/>
                <w:kern w:val="0"/>
                <w:sz w:val="24"/>
                <w:szCs w:val="24"/>
                <w:highlight w:val="none"/>
                <w:lang w:val="en-US" w:eastAsia="zh-CN"/>
              </w:rPr>
              <w:t>环境影响评价文件</w:t>
            </w:r>
            <w:r>
              <w:rPr>
                <w:rFonts w:hint="default" w:ascii="Times New Roman" w:hAnsi="Times New Roman" w:eastAsia="宋体" w:cs="Times New Roman"/>
                <w:b/>
                <w:bCs/>
                <w:color w:val="auto"/>
                <w:kern w:val="0"/>
                <w:sz w:val="24"/>
                <w:szCs w:val="24"/>
                <w:highlight w:val="none"/>
              </w:rPr>
              <w:t>名称：</w:t>
            </w:r>
            <w:r>
              <w:rPr>
                <w:rFonts w:hint="eastAsia"/>
                <w:b w:val="0"/>
                <w:bCs w:val="0"/>
                <w:color w:val="auto"/>
                <w:kern w:val="0"/>
                <w:sz w:val="24"/>
                <w:highlight w:val="none"/>
              </w:rPr>
              <w:t>《镁铝及机电装备制造产业集聚区规划环境影响报告书》</w:t>
            </w:r>
          </w:p>
          <w:p w14:paraId="06B9247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41" w:firstLineChars="100"/>
              <w:jc w:val="left"/>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审查</w:t>
            </w:r>
            <w:r>
              <w:rPr>
                <w:rFonts w:hint="default" w:ascii="Times New Roman" w:hAnsi="Times New Roman" w:eastAsia="宋体" w:cs="Times New Roman"/>
                <w:b/>
                <w:bCs/>
                <w:color w:val="auto"/>
                <w:kern w:val="0"/>
                <w:sz w:val="24"/>
                <w:szCs w:val="24"/>
                <w:highlight w:val="none"/>
                <w:lang w:val="en-US" w:eastAsia="zh-CN"/>
              </w:rPr>
              <w:t>机关：</w:t>
            </w:r>
            <w:r>
              <w:rPr>
                <w:rFonts w:hint="eastAsia" w:ascii="Times New Roman" w:hAnsi="Times New Roman" w:eastAsia="宋体" w:cs="Times New Roman"/>
                <w:color w:val="auto"/>
                <w:kern w:val="0"/>
                <w:sz w:val="24"/>
                <w:szCs w:val="24"/>
                <w:highlight w:val="none"/>
                <w:lang w:val="en-US" w:eastAsia="zh-CN"/>
              </w:rPr>
              <w:t>池州市青阳县生态环境分局</w:t>
            </w:r>
          </w:p>
          <w:p w14:paraId="070ACB2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41" w:firstLineChars="100"/>
              <w:jc w:val="left"/>
              <w:textAlignment w:val="auto"/>
              <w:rPr>
                <w:rFonts w:hint="default"/>
                <w:color w:val="auto"/>
              </w:rPr>
            </w:pPr>
            <w:r>
              <w:rPr>
                <w:rFonts w:hint="eastAsia" w:ascii="Times New Roman" w:hAnsi="Times New Roman" w:eastAsia="宋体" w:cs="Times New Roman"/>
                <w:b/>
                <w:bCs/>
                <w:color w:val="auto"/>
                <w:kern w:val="0"/>
                <w:sz w:val="24"/>
                <w:szCs w:val="24"/>
                <w:highlight w:val="none"/>
                <w:lang w:val="en-US" w:eastAsia="zh-CN"/>
              </w:rPr>
              <w:t>审查文件名称及</w:t>
            </w:r>
            <w:r>
              <w:rPr>
                <w:rFonts w:hint="default" w:ascii="Times New Roman" w:hAnsi="Times New Roman" w:eastAsia="宋体" w:cs="Times New Roman"/>
                <w:b/>
                <w:bCs/>
                <w:color w:val="auto"/>
                <w:kern w:val="0"/>
                <w:sz w:val="24"/>
                <w:szCs w:val="24"/>
                <w:highlight w:val="none"/>
                <w:lang w:val="en-US" w:eastAsia="zh-CN"/>
              </w:rPr>
              <w:t>文号：</w:t>
            </w:r>
            <w:r>
              <w:rPr>
                <w:rFonts w:hint="eastAsia" w:ascii="Times New Roman" w:hAnsi="Times New Roman" w:eastAsia="宋体" w:cs="Times New Roman"/>
                <w:b w:val="0"/>
                <w:bCs w:val="0"/>
                <w:color w:val="auto"/>
                <w:kern w:val="0"/>
                <w:sz w:val="24"/>
                <w:szCs w:val="24"/>
                <w:highlight w:val="none"/>
                <w:lang w:val="en-US" w:eastAsia="zh-CN"/>
              </w:rPr>
              <w:t>“关于印送</w:t>
            </w:r>
            <w:r>
              <w:rPr>
                <w:rFonts w:hint="eastAsia"/>
                <w:b w:val="0"/>
                <w:bCs w:val="0"/>
                <w:color w:val="auto"/>
                <w:kern w:val="0"/>
                <w:sz w:val="24"/>
                <w:highlight w:val="none"/>
              </w:rPr>
              <w:t>《镁铝及机电装备制造产业集聚区规划环境影响报告书审查意见</w:t>
            </w:r>
            <w:r>
              <w:rPr>
                <w:rFonts w:hint="eastAsia"/>
                <w:b w:val="0"/>
                <w:bCs w:val="0"/>
                <w:color w:val="auto"/>
                <w:kern w:val="0"/>
                <w:sz w:val="24"/>
                <w:highlight w:val="none"/>
                <w:lang w:val="en-US" w:eastAsia="zh-CN"/>
              </w:rPr>
              <w:t>的函</w:t>
            </w:r>
            <w:r>
              <w:rPr>
                <w:rFonts w:hint="eastAsia"/>
                <w:b w:val="0"/>
                <w:bCs w:val="0"/>
                <w:color w:val="auto"/>
                <w:kern w:val="0"/>
                <w:sz w:val="24"/>
                <w:highlight w:val="none"/>
              </w:rPr>
              <w:t>》</w:t>
            </w:r>
            <w:r>
              <w:rPr>
                <w:rFonts w:hint="eastAsia"/>
                <w:b w:val="0"/>
                <w:bCs w:val="0"/>
                <w:color w:val="auto"/>
                <w:kern w:val="0"/>
                <w:sz w:val="24"/>
                <w:highlight w:val="none"/>
                <w:lang w:eastAsia="zh-CN"/>
              </w:rPr>
              <w:t>（</w:t>
            </w:r>
            <w:r>
              <w:rPr>
                <w:rFonts w:hint="eastAsia"/>
                <w:b w:val="0"/>
                <w:bCs w:val="0"/>
                <w:color w:val="auto"/>
                <w:kern w:val="0"/>
                <w:sz w:val="24"/>
                <w:highlight w:val="none"/>
                <w:lang w:val="en-US" w:eastAsia="zh-CN"/>
              </w:rPr>
              <w:t>青</w:t>
            </w:r>
            <w:r>
              <w:rPr>
                <w:rFonts w:hint="eastAsia"/>
                <w:color w:val="auto"/>
                <w:kern w:val="0"/>
                <w:sz w:val="24"/>
                <w:highlight w:val="none"/>
              </w:rPr>
              <w:t>环函〔202</w:t>
            </w:r>
            <w:r>
              <w:rPr>
                <w:rFonts w:hint="eastAsia"/>
                <w:color w:val="auto"/>
                <w:kern w:val="0"/>
                <w:sz w:val="24"/>
                <w:highlight w:val="none"/>
                <w:lang w:val="en-US" w:eastAsia="zh-CN"/>
              </w:rPr>
              <w:t>4</w:t>
            </w:r>
            <w:r>
              <w:rPr>
                <w:rFonts w:hint="eastAsia"/>
                <w:color w:val="auto"/>
                <w:kern w:val="0"/>
                <w:sz w:val="24"/>
                <w:highlight w:val="none"/>
              </w:rPr>
              <w:t>〕</w:t>
            </w:r>
            <w:r>
              <w:rPr>
                <w:rFonts w:hint="eastAsia"/>
                <w:color w:val="auto"/>
                <w:kern w:val="0"/>
                <w:sz w:val="24"/>
                <w:highlight w:val="none"/>
                <w:lang w:val="en-US" w:eastAsia="zh-CN"/>
              </w:rPr>
              <w:t>60</w:t>
            </w:r>
            <w:r>
              <w:rPr>
                <w:rFonts w:hint="eastAsia"/>
                <w:color w:val="auto"/>
                <w:kern w:val="0"/>
                <w:sz w:val="24"/>
                <w:highlight w:val="none"/>
              </w:rPr>
              <w:t>号</w:t>
            </w:r>
            <w:r>
              <w:rPr>
                <w:rFonts w:hint="eastAsia"/>
                <w:b w:val="0"/>
                <w:bCs w:val="0"/>
                <w:color w:val="auto"/>
                <w:kern w:val="0"/>
                <w:sz w:val="24"/>
                <w:highlight w:val="none"/>
                <w:lang w:eastAsia="zh-CN"/>
              </w:rPr>
              <w:t>）</w:t>
            </w:r>
            <w:r>
              <w:rPr>
                <w:rFonts w:hint="eastAsia" w:ascii="Times New Roman" w:hAnsi="Times New Roman" w:eastAsia="宋体" w:cs="Times New Roman"/>
                <w:b w:val="0"/>
                <w:bCs w:val="0"/>
                <w:color w:val="auto"/>
                <w:kern w:val="0"/>
                <w:sz w:val="24"/>
                <w:szCs w:val="24"/>
                <w:highlight w:val="none"/>
                <w:lang w:val="en-US" w:eastAsia="zh-CN"/>
              </w:rPr>
              <w:t>”</w:t>
            </w:r>
          </w:p>
        </w:tc>
      </w:tr>
      <w:tr w14:paraId="1D6EB4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62" w:type="dxa"/>
            <w:noWrap w:val="0"/>
            <w:vAlign w:val="center"/>
          </w:tcPr>
          <w:p w14:paraId="776A60DF">
            <w:pPr>
              <w:autoSpaceDE w:val="0"/>
              <w:autoSpaceDN w:val="0"/>
              <w:adjustRightInd w:val="0"/>
              <w:snapToGrid w:val="0"/>
              <w:jc w:val="center"/>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规划及规划环境影响评价符合性分析</w:t>
            </w:r>
          </w:p>
        </w:tc>
        <w:tc>
          <w:tcPr>
            <w:tcW w:w="7298" w:type="dxa"/>
            <w:gridSpan w:val="3"/>
            <w:noWrap w:val="0"/>
            <w:vAlign w:val="center"/>
          </w:tcPr>
          <w:p w14:paraId="7A90B470">
            <w:pPr>
              <w:autoSpaceDE w:val="0"/>
              <w:autoSpaceDN w:val="0"/>
              <w:spacing w:line="360" w:lineRule="auto"/>
              <w:ind w:firstLine="482" w:firstLineChars="200"/>
              <w:rPr>
                <w:rFonts w:hint="default" w:eastAsia="宋体"/>
                <w:b/>
                <w:bCs/>
                <w:color w:val="auto"/>
                <w:kern w:val="0"/>
                <w:sz w:val="24"/>
                <w:highlight w:val="none"/>
                <w:lang w:val="en-US" w:eastAsia="zh-CN"/>
              </w:rPr>
            </w:pPr>
            <w:r>
              <w:rPr>
                <w:rFonts w:hint="eastAsia"/>
                <w:b/>
                <w:bCs/>
                <w:color w:val="auto"/>
                <w:kern w:val="0"/>
                <w:sz w:val="24"/>
                <w:highlight w:val="none"/>
                <w:lang w:val="en-US" w:eastAsia="zh-CN"/>
              </w:rPr>
              <w:t>1.与《</w:t>
            </w:r>
            <w:r>
              <w:rPr>
                <w:rFonts w:hint="eastAsia" w:ascii="Times New Roman" w:hAnsi="Times New Roman" w:eastAsia="宋体" w:cs="Times New Roman"/>
                <w:b/>
                <w:bCs/>
                <w:color w:val="auto"/>
                <w:kern w:val="0"/>
                <w:sz w:val="24"/>
                <w:highlight w:val="none"/>
                <w:lang w:val="en-US" w:eastAsia="zh-CN"/>
              </w:rPr>
              <w:t>镁铝及机电装备制造产业聚集区规划》</w:t>
            </w:r>
            <w:r>
              <w:rPr>
                <w:rFonts w:hint="eastAsia"/>
                <w:b/>
                <w:bCs/>
                <w:color w:val="auto"/>
                <w:kern w:val="0"/>
                <w:sz w:val="24"/>
                <w:highlight w:val="none"/>
                <w:lang w:val="en-US" w:eastAsia="zh-CN"/>
              </w:rPr>
              <w:t>的符合性</w:t>
            </w:r>
          </w:p>
          <w:p w14:paraId="276B58DB">
            <w:pPr>
              <w:autoSpaceDE w:val="0"/>
              <w:autoSpaceDN w:val="0"/>
              <w:spacing w:line="360" w:lineRule="auto"/>
              <w:ind w:firstLine="480" w:firstLineChars="200"/>
              <w:rPr>
                <w:rFonts w:hint="eastAsia"/>
                <w:color w:val="auto"/>
                <w:kern w:val="0"/>
                <w:sz w:val="24"/>
                <w:highlight w:val="none"/>
              </w:rPr>
            </w:pPr>
            <w:r>
              <w:rPr>
                <w:rFonts w:hint="eastAsia"/>
                <w:color w:val="auto"/>
                <w:kern w:val="0"/>
                <w:sz w:val="24"/>
                <w:highlight w:val="none"/>
              </w:rPr>
              <w:t>根据《青阳县人民政府关于设立镁铝及机电装备制造产业聚集区的批复》（2023年12月12日）：同意设立镁铝及机电装备制造产业聚集区，进一步发挥我县资源优势，引进龙头企业，完善产业链条，形成规模效应，促进镁铝轻合金产业高质量发展。规划区域位于青阳开发区木镇新河园区（东至木镇镇镇界、南至318国道，西至新新公路，北至330国道），面积约88.8567公顷。</w:t>
            </w:r>
          </w:p>
          <w:p w14:paraId="1D164DB9">
            <w:pPr>
              <w:autoSpaceDE w:val="0"/>
              <w:autoSpaceDN w:val="0"/>
              <w:spacing w:line="360" w:lineRule="auto"/>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项目行业类别为C3391黑色金属铸造。根据国家产业政策，查阅</w:t>
            </w:r>
            <w:r>
              <w:rPr>
                <w:rFonts w:hint="eastAsia" w:cs="Times New Roman"/>
                <w:color w:val="auto"/>
                <w:sz w:val="24"/>
                <w:highlight w:val="none"/>
                <w:lang w:eastAsia="zh-CN"/>
              </w:rPr>
              <w:t>《产业结构调整指导目录（2024年本）》</w:t>
            </w:r>
            <w:r>
              <w:rPr>
                <w:rFonts w:hint="default" w:ascii="Times New Roman" w:hAnsi="Times New Roman" w:cs="Times New Roman"/>
                <w:color w:val="auto"/>
                <w:sz w:val="24"/>
                <w:highlight w:val="none"/>
              </w:rPr>
              <w:t>中可知，本项目不在鼓励类、限制类、淘汰类之列，可视为允许类</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与</w:t>
            </w:r>
            <w:r>
              <w:rPr>
                <w:rFonts w:hint="eastAsia"/>
                <w:color w:val="auto"/>
                <w:kern w:val="0"/>
                <w:sz w:val="24"/>
                <w:highlight w:val="none"/>
              </w:rPr>
              <w:t>镁铝及机电装备制造产业聚集区</w:t>
            </w:r>
            <w:r>
              <w:rPr>
                <w:rFonts w:hint="default" w:ascii="Times New Roman" w:hAnsi="Times New Roman" w:cs="Times New Roman"/>
                <w:color w:val="auto"/>
                <w:sz w:val="24"/>
                <w:highlight w:val="none"/>
              </w:rPr>
              <w:t>规划产业布局相符。且该项目</w:t>
            </w:r>
            <w:r>
              <w:rPr>
                <w:rFonts w:hint="eastAsia" w:ascii="Times New Roman" w:hAnsi="Times New Roman" w:cs="Times New Roman"/>
                <w:color w:val="auto"/>
                <w:sz w:val="24"/>
                <w:highlight w:val="none"/>
                <w:lang w:val="en-US" w:eastAsia="zh-CN"/>
              </w:rPr>
              <w:t>已</w:t>
            </w:r>
            <w:r>
              <w:rPr>
                <w:rFonts w:hint="default" w:ascii="Times New Roman" w:hAnsi="Times New Roman" w:cs="Times New Roman"/>
                <w:color w:val="auto"/>
                <w:sz w:val="24"/>
                <w:highlight w:val="none"/>
              </w:rPr>
              <w:t>于202</w:t>
            </w:r>
            <w:r>
              <w:rPr>
                <w:rFonts w:hint="eastAsia"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rPr>
              <w:t>年</w:t>
            </w:r>
            <w:r>
              <w:rPr>
                <w:rFonts w:hint="eastAsia" w:ascii="Times New Roman" w:hAnsi="Times New Roman" w:cs="Times New Roman"/>
                <w:color w:val="auto"/>
                <w:sz w:val="24"/>
                <w:highlight w:val="none"/>
                <w:lang w:val="en-US" w:eastAsia="zh-CN"/>
              </w:rPr>
              <w:t>6</w:t>
            </w:r>
            <w:r>
              <w:rPr>
                <w:rFonts w:hint="default" w:ascii="Times New Roman" w:hAnsi="Times New Roman" w:cs="Times New Roman"/>
                <w:color w:val="auto"/>
                <w:sz w:val="24"/>
                <w:highlight w:val="none"/>
              </w:rPr>
              <w:t>月</w:t>
            </w:r>
            <w:r>
              <w:rPr>
                <w:rFonts w:hint="eastAsia"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日在青阳县科技经济信息化局立项备案，备案文件号为：青科经信技改〔202</w:t>
            </w:r>
            <w:r>
              <w:rPr>
                <w:rFonts w:hint="eastAsia"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rPr>
              <w:t>〕</w:t>
            </w:r>
            <w:r>
              <w:rPr>
                <w:rFonts w:hint="eastAsia" w:ascii="Times New Roman" w:hAnsi="Times New Roman" w:cs="Times New Roman"/>
                <w:color w:val="auto"/>
                <w:sz w:val="24"/>
                <w:highlight w:val="none"/>
                <w:lang w:val="en-US" w:eastAsia="zh-CN"/>
              </w:rPr>
              <w:t>21</w:t>
            </w:r>
            <w:r>
              <w:rPr>
                <w:rFonts w:hint="default" w:ascii="Times New Roman" w:hAnsi="Times New Roman" w:cs="Times New Roman"/>
                <w:color w:val="auto"/>
                <w:sz w:val="24"/>
                <w:highlight w:val="none"/>
              </w:rPr>
              <w:t>号。因此，本项目的建设符合</w:t>
            </w:r>
            <w:r>
              <w:rPr>
                <w:rFonts w:hint="eastAsia"/>
                <w:color w:val="auto"/>
                <w:kern w:val="0"/>
                <w:sz w:val="24"/>
                <w:highlight w:val="none"/>
              </w:rPr>
              <w:t>镁铝及机电装备制造产业聚集区</w:t>
            </w:r>
            <w:r>
              <w:rPr>
                <w:rFonts w:hint="default" w:ascii="Times New Roman" w:hAnsi="Times New Roman" w:cs="Times New Roman"/>
                <w:color w:val="auto"/>
                <w:sz w:val="24"/>
                <w:highlight w:val="none"/>
              </w:rPr>
              <w:t>规划要求。</w:t>
            </w:r>
          </w:p>
          <w:p w14:paraId="47091B61">
            <w:pPr>
              <w:autoSpaceDE w:val="0"/>
              <w:autoSpaceDN w:val="0"/>
              <w:spacing w:line="360" w:lineRule="auto"/>
              <w:ind w:firstLine="482" w:firstLineChars="200"/>
              <w:rPr>
                <w:rFonts w:hint="eastAsia"/>
                <w:b/>
                <w:bCs/>
                <w:color w:val="auto"/>
                <w:kern w:val="0"/>
                <w:sz w:val="24"/>
                <w:highlight w:val="none"/>
              </w:rPr>
            </w:pPr>
            <w:r>
              <w:rPr>
                <w:rFonts w:hint="eastAsia"/>
                <w:b/>
                <w:bCs/>
                <w:color w:val="auto"/>
                <w:kern w:val="0"/>
                <w:sz w:val="24"/>
                <w:highlight w:val="none"/>
                <w:lang w:val="en-US" w:eastAsia="zh-CN"/>
              </w:rPr>
              <w:t>2.</w:t>
            </w:r>
            <w:r>
              <w:rPr>
                <w:rFonts w:hint="eastAsia"/>
                <w:b/>
                <w:bCs/>
                <w:color w:val="auto"/>
                <w:kern w:val="0"/>
                <w:sz w:val="24"/>
                <w:highlight w:val="none"/>
              </w:rPr>
              <w:t>与《镁铝及机电装备制造产业集聚区规划环境影响报告书》及其审查意见要求</w:t>
            </w:r>
            <w:r>
              <w:rPr>
                <w:rFonts w:hint="eastAsia"/>
                <w:b/>
                <w:bCs/>
                <w:color w:val="auto"/>
                <w:kern w:val="0"/>
                <w:sz w:val="24"/>
                <w:highlight w:val="none"/>
                <w:lang w:val="en-US" w:eastAsia="zh-CN"/>
              </w:rPr>
              <w:t>的</w:t>
            </w:r>
            <w:r>
              <w:rPr>
                <w:rFonts w:hint="eastAsia"/>
                <w:b/>
                <w:bCs/>
                <w:color w:val="auto"/>
                <w:kern w:val="0"/>
                <w:sz w:val="24"/>
                <w:highlight w:val="none"/>
              </w:rPr>
              <w:t>符合性分析</w:t>
            </w:r>
          </w:p>
          <w:p w14:paraId="4361A104">
            <w:pPr>
              <w:pStyle w:val="2"/>
              <w:keepNext/>
              <w:keepLines/>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kern w:val="0"/>
                <w:sz w:val="21"/>
                <w:szCs w:val="21"/>
                <w:highlight w:val="none"/>
              </w:rPr>
            </w:pPr>
            <w:r>
              <w:rPr>
                <w:rFonts w:hint="default" w:ascii="Times New Roman" w:hAnsi="Times New Roman" w:cs="Times New Roman"/>
                <w:color w:val="auto"/>
                <w:kern w:val="0"/>
                <w:sz w:val="21"/>
                <w:szCs w:val="21"/>
                <w:highlight w:val="none"/>
              </w:rPr>
              <w:t>表1-</w:t>
            </w:r>
            <w:r>
              <w:rPr>
                <w:rFonts w:hint="eastAsia" w:ascii="Times New Roman" w:hAnsi="Times New Roman" w:cs="Times New Roman"/>
                <w:color w:val="auto"/>
                <w:kern w:val="0"/>
                <w:sz w:val="21"/>
                <w:szCs w:val="21"/>
                <w:highlight w:val="none"/>
                <w:lang w:val="en-US" w:eastAsia="zh-CN"/>
              </w:rPr>
              <w:t>2</w:t>
            </w:r>
            <w:r>
              <w:rPr>
                <w:rFonts w:hint="default" w:ascii="Times New Roman" w:hAnsi="Times New Roman" w:cs="Times New Roman"/>
                <w:color w:val="auto"/>
                <w:kern w:val="0"/>
                <w:sz w:val="21"/>
                <w:szCs w:val="21"/>
                <w:highlight w:val="none"/>
              </w:rPr>
              <w:t xml:space="preserve"> 本项目与《镁铝及机电装备制造产业集聚区规划环境影响报告书》符合性分析</w:t>
            </w:r>
          </w:p>
          <w:tbl>
            <w:tblPr>
              <w:tblStyle w:val="36"/>
              <w:tblW w:w="4996" w:type="pct"/>
              <w:tblInd w:w="0"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424"/>
              <w:gridCol w:w="4341"/>
              <w:gridCol w:w="1892"/>
              <w:gridCol w:w="413"/>
            </w:tblGrid>
            <w:tr w14:paraId="54E5697A">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0" w:type="pct"/>
                  <w:tcBorders>
                    <w:tl2br w:val="nil"/>
                    <w:tr2bl w:val="nil"/>
                  </w:tcBorders>
                  <w:noWrap w:val="0"/>
                  <w:vAlign w:val="center"/>
                </w:tcPr>
                <w:p w14:paraId="013579DB">
                  <w:pPr>
                    <w:widowControl/>
                    <w:snapToGrid w:val="0"/>
                    <w:jc w:val="center"/>
                    <w:rPr>
                      <w:b/>
                      <w:bCs/>
                      <w:color w:val="auto"/>
                      <w:szCs w:val="21"/>
                      <w:highlight w:val="none"/>
                    </w:rPr>
                  </w:pPr>
                  <w:r>
                    <w:rPr>
                      <w:rFonts w:hint="eastAsia"/>
                      <w:b/>
                      <w:bCs/>
                      <w:color w:val="auto"/>
                      <w:szCs w:val="21"/>
                      <w:highlight w:val="none"/>
                    </w:rPr>
                    <w:t>序号</w:t>
                  </w:r>
                </w:p>
              </w:tc>
              <w:tc>
                <w:tcPr>
                  <w:tcW w:w="3068" w:type="pct"/>
                  <w:tcBorders>
                    <w:tl2br w:val="nil"/>
                    <w:tr2bl w:val="nil"/>
                  </w:tcBorders>
                  <w:noWrap w:val="0"/>
                  <w:vAlign w:val="center"/>
                </w:tcPr>
                <w:p w14:paraId="217DA6C8">
                  <w:pPr>
                    <w:widowControl/>
                    <w:snapToGrid w:val="0"/>
                    <w:jc w:val="center"/>
                    <w:rPr>
                      <w:b/>
                      <w:bCs/>
                      <w:color w:val="auto"/>
                      <w:szCs w:val="21"/>
                      <w:highlight w:val="none"/>
                    </w:rPr>
                  </w:pPr>
                  <w:r>
                    <w:rPr>
                      <w:rFonts w:hint="eastAsia"/>
                      <w:b/>
                      <w:bCs/>
                      <w:color w:val="auto"/>
                      <w:szCs w:val="21"/>
                      <w:highlight w:val="none"/>
                    </w:rPr>
                    <w:t>园区规划相关内容</w:t>
                  </w:r>
                </w:p>
              </w:tc>
              <w:tc>
                <w:tcPr>
                  <w:tcW w:w="1337" w:type="pct"/>
                  <w:tcBorders>
                    <w:tl2br w:val="nil"/>
                    <w:tr2bl w:val="nil"/>
                  </w:tcBorders>
                  <w:noWrap w:val="0"/>
                  <w:vAlign w:val="center"/>
                </w:tcPr>
                <w:p w14:paraId="2FFE4E6F">
                  <w:pPr>
                    <w:widowControl/>
                    <w:snapToGrid w:val="0"/>
                    <w:jc w:val="center"/>
                    <w:rPr>
                      <w:b/>
                      <w:bCs/>
                      <w:color w:val="auto"/>
                      <w:szCs w:val="21"/>
                      <w:highlight w:val="none"/>
                    </w:rPr>
                  </w:pPr>
                  <w:r>
                    <w:rPr>
                      <w:rFonts w:hint="eastAsia"/>
                      <w:b/>
                      <w:bCs/>
                      <w:color w:val="auto"/>
                      <w:szCs w:val="21"/>
                      <w:highlight w:val="none"/>
                    </w:rPr>
                    <w:t>项目实际情况</w:t>
                  </w:r>
                </w:p>
              </w:tc>
              <w:tc>
                <w:tcPr>
                  <w:tcW w:w="292" w:type="pct"/>
                  <w:tcBorders>
                    <w:tl2br w:val="nil"/>
                    <w:tr2bl w:val="nil"/>
                  </w:tcBorders>
                  <w:noWrap w:val="0"/>
                  <w:vAlign w:val="center"/>
                </w:tcPr>
                <w:p w14:paraId="1BBB9316">
                  <w:pPr>
                    <w:widowControl/>
                    <w:autoSpaceDE w:val="0"/>
                    <w:autoSpaceDN w:val="0"/>
                    <w:snapToGrid w:val="0"/>
                    <w:jc w:val="center"/>
                    <w:rPr>
                      <w:b/>
                      <w:bCs/>
                      <w:color w:val="auto"/>
                      <w:szCs w:val="21"/>
                      <w:highlight w:val="none"/>
                    </w:rPr>
                  </w:pPr>
                  <w:r>
                    <w:rPr>
                      <w:rFonts w:hint="eastAsia"/>
                      <w:b/>
                      <w:bCs/>
                      <w:color w:val="auto"/>
                      <w:szCs w:val="21"/>
                      <w:highlight w:val="none"/>
                    </w:rPr>
                    <w:t>符合性</w:t>
                  </w:r>
                </w:p>
              </w:tc>
            </w:tr>
            <w:tr w14:paraId="7AE7C3FC">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0" w:type="pct"/>
                  <w:tcBorders>
                    <w:tl2br w:val="nil"/>
                    <w:tr2bl w:val="nil"/>
                  </w:tcBorders>
                  <w:noWrap w:val="0"/>
                  <w:vAlign w:val="center"/>
                </w:tcPr>
                <w:p w14:paraId="3A3224D3">
                  <w:pPr>
                    <w:jc w:val="center"/>
                    <w:rPr>
                      <w:color w:val="auto"/>
                      <w:szCs w:val="21"/>
                      <w:highlight w:val="none"/>
                    </w:rPr>
                  </w:pPr>
                  <w:r>
                    <w:rPr>
                      <w:rFonts w:hint="eastAsia"/>
                      <w:color w:val="auto"/>
                      <w:szCs w:val="21"/>
                      <w:highlight w:val="none"/>
                    </w:rPr>
                    <w:t>1</w:t>
                  </w:r>
                </w:p>
              </w:tc>
              <w:tc>
                <w:tcPr>
                  <w:tcW w:w="3068" w:type="pct"/>
                  <w:tcBorders>
                    <w:tl2br w:val="nil"/>
                    <w:tr2bl w:val="nil"/>
                  </w:tcBorders>
                  <w:noWrap w:val="0"/>
                  <w:vAlign w:val="center"/>
                </w:tcPr>
                <w:p w14:paraId="327523D7">
                  <w:pPr>
                    <w:widowControl/>
                    <w:jc w:val="left"/>
                    <w:rPr>
                      <w:color w:val="auto"/>
                      <w:szCs w:val="21"/>
                      <w:highlight w:val="none"/>
                    </w:rPr>
                  </w:pPr>
                  <w:r>
                    <w:rPr>
                      <w:rFonts w:hint="eastAsia"/>
                      <w:color w:val="auto"/>
                      <w:szCs w:val="21"/>
                      <w:highlight w:val="none"/>
                      <w:lang w:val="en-US" w:eastAsia="zh-CN"/>
                    </w:rPr>
                    <w:t>规划范围：</w:t>
                  </w:r>
                  <w:r>
                    <w:rPr>
                      <w:rFonts w:hint="eastAsia"/>
                      <w:color w:val="auto"/>
                      <w:szCs w:val="21"/>
                      <w:highlight w:val="none"/>
                    </w:rPr>
                    <w:t>镁铝及机电装备制造产业集聚区东至木镇镇镇界、南至318国道，西至新新公路，北至330国道，规划面积约88.8567公顷。</w:t>
                  </w:r>
                </w:p>
              </w:tc>
              <w:tc>
                <w:tcPr>
                  <w:tcW w:w="1337" w:type="pct"/>
                  <w:tcBorders>
                    <w:tl2br w:val="nil"/>
                    <w:tr2bl w:val="nil"/>
                  </w:tcBorders>
                  <w:noWrap w:val="0"/>
                  <w:vAlign w:val="center"/>
                </w:tcPr>
                <w:p w14:paraId="469C90D3">
                  <w:pPr>
                    <w:widowControl/>
                    <w:jc w:val="both"/>
                    <w:rPr>
                      <w:rFonts w:hint="eastAsia"/>
                      <w:color w:val="auto"/>
                      <w:szCs w:val="21"/>
                      <w:highlight w:val="none"/>
                      <w:lang w:val="en-US" w:eastAsia="zh-CN"/>
                    </w:rPr>
                  </w:pPr>
                  <w:r>
                    <w:rPr>
                      <w:rFonts w:hint="eastAsia"/>
                      <w:color w:val="auto"/>
                      <w:szCs w:val="21"/>
                      <w:highlight w:val="none"/>
                      <w:lang w:val="en-US" w:eastAsia="zh-CN"/>
                    </w:rPr>
                    <w:t>项目位于镁铝及机电装备制造产业集聚区用地范围内；规划范围和利用规划见附图4、附图5。</w:t>
                  </w:r>
                </w:p>
              </w:tc>
              <w:tc>
                <w:tcPr>
                  <w:tcW w:w="292" w:type="pct"/>
                  <w:tcBorders>
                    <w:tl2br w:val="nil"/>
                    <w:tr2bl w:val="nil"/>
                  </w:tcBorders>
                  <w:noWrap w:val="0"/>
                  <w:vAlign w:val="center"/>
                </w:tcPr>
                <w:p w14:paraId="38C3328C">
                  <w:pPr>
                    <w:jc w:val="center"/>
                    <w:rPr>
                      <w:color w:val="auto"/>
                      <w:szCs w:val="21"/>
                      <w:highlight w:val="none"/>
                    </w:rPr>
                  </w:pPr>
                  <w:r>
                    <w:rPr>
                      <w:rFonts w:hint="eastAsia"/>
                      <w:color w:val="auto"/>
                      <w:szCs w:val="21"/>
                      <w:highlight w:val="none"/>
                    </w:rPr>
                    <w:t>符合</w:t>
                  </w:r>
                </w:p>
              </w:tc>
            </w:tr>
            <w:tr w14:paraId="4250EC00">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PrEx>
              <w:trPr>
                <w:trHeight w:val="454" w:hRule="atLeast"/>
              </w:trPr>
              <w:tc>
                <w:tcPr>
                  <w:tcW w:w="300" w:type="pct"/>
                  <w:tcBorders>
                    <w:tl2br w:val="nil"/>
                    <w:tr2bl w:val="nil"/>
                  </w:tcBorders>
                  <w:noWrap w:val="0"/>
                  <w:vAlign w:val="center"/>
                </w:tcPr>
                <w:p w14:paraId="0432B80A">
                  <w:pPr>
                    <w:jc w:val="center"/>
                    <w:rPr>
                      <w:color w:val="auto"/>
                      <w:szCs w:val="21"/>
                      <w:highlight w:val="none"/>
                    </w:rPr>
                  </w:pPr>
                  <w:r>
                    <w:rPr>
                      <w:rFonts w:hint="eastAsia"/>
                      <w:color w:val="auto"/>
                      <w:szCs w:val="21"/>
                      <w:highlight w:val="none"/>
                    </w:rPr>
                    <w:t>2</w:t>
                  </w:r>
                </w:p>
              </w:tc>
              <w:tc>
                <w:tcPr>
                  <w:tcW w:w="3068" w:type="pct"/>
                  <w:tcBorders>
                    <w:tl2br w:val="nil"/>
                    <w:tr2bl w:val="nil"/>
                  </w:tcBorders>
                  <w:noWrap w:val="0"/>
                  <w:vAlign w:val="center"/>
                </w:tcPr>
                <w:p w14:paraId="39411ABF">
                  <w:pPr>
                    <w:widowControl/>
                    <w:rPr>
                      <w:rFonts w:hint="eastAsia"/>
                      <w:color w:val="auto"/>
                      <w:szCs w:val="21"/>
                      <w:highlight w:val="none"/>
                    </w:rPr>
                  </w:pPr>
                  <w:r>
                    <w:rPr>
                      <w:rFonts w:hint="eastAsia"/>
                      <w:color w:val="auto"/>
                      <w:szCs w:val="21"/>
                      <w:highlight w:val="none"/>
                    </w:rPr>
                    <w:t>功能定位</w:t>
                  </w:r>
                  <w:r>
                    <w:rPr>
                      <w:rFonts w:hint="eastAsia"/>
                      <w:color w:val="auto"/>
                      <w:szCs w:val="21"/>
                      <w:highlight w:val="none"/>
                      <w:lang w:eastAsia="zh-CN"/>
                    </w:rPr>
                    <w:t>：</w:t>
                  </w:r>
                  <w:r>
                    <w:rPr>
                      <w:rFonts w:hint="eastAsia"/>
                      <w:color w:val="auto"/>
                      <w:szCs w:val="21"/>
                      <w:highlight w:val="none"/>
                    </w:rPr>
                    <w:t>优化功能布局，布局镁合金精深加工产业链的上下延展，借助镁基新材料产业的发展，培育壮大高端镁合金零部件生产等下游产业为机电制造产业发展的新动能，推进向高端制造、智能制造转型升级，是青阳县的特色功能片区，新河镇的重要工业发展片区。</w:t>
                  </w:r>
                </w:p>
              </w:tc>
              <w:tc>
                <w:tcPr>
                  <w:tcW w:w="1337" w:type="pct"/>
                  <w:tcBorders>
                    <w:tl2br w:val="nil"/>
                    <w:tr2bl w:val="nil"/>
                  </w:tcBorders>
                  <w:noWrap w:val="0"/>
                  <w:vAlign w:val="center"/>
                </w:tcPr>
                <w:p w14:paraId="2E9E337E">
                  <w:pPr>
                    <w:widowControl/>
                    <w:jc w:val="both"/>
                    <w:rPr>
                      <w:rFonts w:hint="eastAsia"/>
                      <w:color w:val="auto"/>
                      <w:szCs w:val="21"/>
                      <w:highlight w:val="none"/>
                      <w:lang w:val="en-US" w:eastAsia="zh-CN"/>
                    </w:rPr>
                  </w:pPr>
                  <w:r>
                    <w:rPr>
                      <w:rFonts w:hint="eastAsia"/>
                      <w:color w:val="auto"/>
                      <w:szCs w:val="21"/>
                      <w:highlight w:val="none"/>
                      <w:lang w:val="en-US" w:eastAsia="zh-CN"/>
                    </w:rPr>
                    <w:t>本项目为黑色金属铸造，本项目主要生产“精密阀门、工程机械配件、汽车零部件等铸件”，符合园区规划环评功能定位中的“机电制造”。</w:t>
                  </w:r>
                </w:p>
              </w:tc>
              <w:tc>
                <w:tcPr>
                  <w:tcW w:w="292" w:type="pct"/>
                  <w:tcBorders>
                    <w:tl2br w:val="nil"/>
                    <w:tr2bl w:val="nil"/>
                  </w:tcBorders>
                  <w:noWrap w:val="0"/>
                  <w:vAlign w:val="center"/>
                </w:tcPr>
                <w:p w14:paraId="2D71F051">
                  <w:pPr>
                    <w:jc w:val="center"/>
                    <w:rPr>
                      <w:rFonts w:hint="eastAsia"/>
                      <w:color w:val="auto"/>
                      <w:szCs w:val="21"/>
                      <w:highlight w:val="none"/>
                    </w:rPr>
                  </w:pPr>
                  <w:r>
                    <w:rPr>
                      <w:rFonts w:hint="eastAsia"/>
                      <w:color w:val="auto"/>
                      <w:szCs w:val="21"/>
                      <w:highlight w:val="none"/>
                    </w:rPr>
                    <w:t>符合</w:t>
                  </w:r>
                </w:p>
              </w:tc>
            </w:tr>
            <w:tr w14:paraId="7B187290">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0" w:type="pct"/>
                  <w:tcBorders>
                    <w:tl2br w:val="nil"/>
                    <w:tr2bl w:val="nil"/>
                  </w:tcBorders>
                  <w:noWrap w:val="0"/>
                  <w:vAlign w:val="center"/>
                </w:tcPr>
                <w:p w14:paraId="221FA601">
                  <w:pPr>
                    <w:jc w:val="center"/>
                    <w:rPr>
                      <w:color w:val="auto"/>
                      <w:szCs w:val="21"/>
                      <w:highlight w:val="none"/>
                    </w:rPr>
                  </w:pPr>
                  <w:r>
                    <w:rPr>
                      <w:rFonts w:hint="eastAsia"/>
                      <w:color w:val="auto"/>
                      <w:szCs w:val="21"/>
                      <w:highlight w:val="none"/>
                    </w:rPr>
                    <w:t>3</w:t>
                  </w:r>
                </w:p>
              </w:tc>
              <w:tc>
                <w:tcPr>
                  <w:tcW w:w="3068" w:type="pct"/>
                  <w:tcBorders>
                    <w:tl2br w:val="nil"/>
                    <w:tr2bl w:val="nil"/>
                  </w:tcBorders>
                  <w:noWrap w:val="0"/>
                  <w:vAlign w:val="center"/>
                </w:tcPr>
                <w:p w14:paraId="18322BD4">
                  <w:pPr>
                    <w:widowControl/>
                    <w:rPr>
                      <w:rFonts w:hint="eastAsia"/>
                      <w:color w:val="auto"/>
                      <w:szCs w:val="21"/>
                      <w:highlight w:val="none"/>
                    </w:rPr>
                  </w:pPr>
                  <w:r>
                    <w:rPr>
                      <w:rFonts w:hint="eastAsia"/>
                      <w:color w:val="auto"/>
                      <w:szCs w:val="21"/>
                      <w:highlight w:val="none"/>
                      <w:lang w:val="en-US" w:eastAsia="zh-CN"/>
                    </w:rPr>
                    <w:t>主导产业：</w:t>
                  </w:r>
                  <w:r>
                    <w:rPr>
                      <w:rFonts w:hint="eastAsia"/>
                      <w:color w:val="auto"/>
                      <w:szCs w:val="21"/>
                      <w:highlight w:val="none"/>
                    </w:rPr>
                    <w:t>①镁铝基新材料产业集群：依托镁基新材料产业，以技术创新为驱动，以智能制造为引领，以高端产品为重点，打造镁基新材料产业基地。通过镁基材料产业的导入为传统产业赋能，进一步提升传统产业能级，丰富产业链，形成引领带动；②机电装备制造产业集群：借助镁铝新材料产业的发展，培育壮大高端镁铝合金零部件生产等下游产业为机电制造产业发展的新动能；通过对流体设备制造、机电制造、电子元器件生产等传统产业高端化、智能化、绿色化转型，增强产业创新能力，提升现有产业能级，发展为以标准化、品牌化、高端化产品为主的机电装备制造产业集群；</w:t>
                  </w:r>
                </w:p>
              </w:tc>
              <w:tc>
                <w:tcPr>
                  <w:tcW w:w="1337" w:type="pct"/>
                  <w:tcBorders>
                    <w:tl2br w:val="nil"/>
                    <w:tr2bl w:val="nil"/>
                  </w:tcBorders>
                  <w:noWrap w:val="0"/>
                  <w:vAlign w:val="center"/>
                </w:tcPr>
                <w:p w14:paraId="16020967">
                  <w:pPr>
                    <w:widowControl/>
                    <w:rPr>
                      <w:rFonts w:hint="eastAsia"/>
                      <w:color w:val="auto"/>
                      <w:szCs w:val="21"/>
                      <w:highlight w:val="none"/>
                    </w:rPr>
                  </w:pPr>
                  <w:r>
                    <w:rPr>
                      <w:rFonts w:hint="eastAsia"/>
                      <w:color w:val="auto"/>
                      <w:szCs w:val="21"/>
                      <w:highlight w:val="none"/>
                    </w:rPr>
                    <w:t>项目行业类别为C3391黑色金属铸造。根据国家产业政策，查阅</w:t>
                  </w:r>
                  <w:r>
                    <w:rPr>
                      <w:rFonts w:hint="eastAsia"/>
                      <w:color w:val="auto"/>
                      <w:szCs w:val="21"/>
                      <w:highlight w:val="none"/>
                      <w:lang w:eastAsia="zh-CN"/>
                    </w:rPr>
                    <w:t>《产业结构调整指导目录（2024年本）》</w:t>
                  </w:r>
                  <w:r>
                    <w:rPr>
                      <w:rFonts w:hint="eastAsia"/>
                      <w:color w:val="auto"/>
                      <w:szCs w:val="21"/>
                      <w:highlight w:val="none"/>
                    </w:rPr>
                    <w:t>中可知，本项目不在鼓励类、限制类、淘汰类之列，可视为允许类，与镁铝及机电装备制造产业聚集区规划产业布局相符。</w:t>
                  </w:r>
                </w:p>
              </w:tc>
              <w:tc>
                <w:tcPr>
                  <w:tcW w:w="292" w:type="pct"/>
                  <w:tcBorders>
                    <w:tl2br w:val="nil"/>
                    <w:tr2bl w:val="nil"/>
                  </w:tcBorders>
                  <w:noWrap w:val="0"/>
                  <w:vAlign w:val="center"/>
                </w:tcPr>
                <w:p w14:paraId="7BF5341F">
                  <w:pPr>
                    <w:jc w:val="center"/>
                    <w:rPr>
                      <w:rFonts w:hint="eastAsia"/>
                      <w:color w:val="auto"/>
                      <w:szCs w:val="21"/>
                      <w:highlight w:val="none"/>
                    </w:rPr>
                  </w:pPr>
                  <w:r>
                    <w:rPr>
                      <w:rFonts w:hint="eastAsia"/>
                      <w:color w:val="auto"/>
                      <w:szCs w:val="21"/>
                      <w:highlight w:val="none"/>
                    </w:rPr>
                    <w:t>符合</w:t>
                  </w:r>
                </w:p>
              </w:tc>
            </w:tr>
            <w:tr w14:paraId="1AFDFE46">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0" w:type="pct"/>
                  <w:tcBorders>
                    <w:tl2br w:val="nil"/>
                    <w:tr2bl w:val="nil"/>
                  </w:tcBorders>
                  <w:noWrap w:val="0"/>
                  <w:vAlign w:val="center"/>
                </w:tcPr>
                <w:p w14:paraId="145B2065">
                  <w:pPr>
                    <w:jc w:val="center"/>
                    <w:rPr>
                      <w:color w:val="auto"/>
                      <w:szCs w:val="21"/>
                      <w:highlight w:val="none"/>
                    </w:rPr>
                  </w:pPr>
                  <w:r>
                    <w:rPr>
                      <w:rFonts w:hint="eastAsia"/>
                      <w:color w:val="auto"/>
                      <w:szCs w:val="21"/>
                      <w:highlight w:val="none"/>
                    </w:rPr>
                    <w:t>4</w:t>
                  </w:r>
                </w:p>
              </w:tc>
              <w:tc>
                <w:tcPr>
                  <w:tcW w:w="3068" w:type="pct"/>
                  <w:tcBorders>
                    <w:tl2br w:val="nil"/>
                    <w:tr2bl w:val="nil"/>
                  </w:tcBorders>
                  <w:noWrap w:val="0"/>
                  <w:vAlign w:val="center"/>
                </w:tcPr>
                <w:p w14:paraId="00F655B9">
                  <w:pPr>
                    <w:widowControl/>
                    <w:rPr>
                      <w:rFonts w:hint="eastAsia"/>
                      <w:color w:val="auto"/>
                      <w:szCs w:val="21"/>
                      <w:highlight w:val="none"/>
                    </w:rPr>
                  </w:pPr>
                  <w:r>
                    <w:rPr>
                      <w:rFonts w:hint="eastAsia"/>
                      <w:color w:val="auto"/>
                      <w:szCs w:val="21"/>
                      <w:highlight w:val="none"/>
                      <w:lang w:val="en-US" w:eastAsia="zh-CN"/>
                    </w:rPr>
                    <w:t>供水工程：</w:t>
                  </w:r>
                  <w:r>
                    <w:rPr>
                      <w:rFonts w:hint="eastAsia"/>
                      <w:color w:val="auto"/>
                      <w:szCs w:val="21"/>
                      <w:highlight w:val="none"/>
                    </w:rPr>
                    <w:t>规划区内不设水厂，新河镇区由青阳县城南水厂统一供水。在镇区内主要道路下布置给水干管</w:t>
                  </w:r>
                  <w:r>
                    <w:rPr>
                      <w:rFonts w:hint="eastAsia"/>
                      <w:color w:val="auto"/>
                      <w:szCs w:val="21"/>
                      <w:highlight w:val="none"/>
                      <w:lang w:eastAsia="zh-CN"/>
                    </w:rPr>
                    <w:t>，在</w:t>
                  </w:r>
                  <w:r>
                    <w:rPr>
                      <w:rFonts w:hint="eastAsia"/>
                      <w:color w:val="auto"/>
                      <w:szCs w:val="21"/>
                      <w:highlight w:val="none"/>
                    </w:rPr>
                    <w:t>支路下布置给水支管，并且尽量以环状形式敷设，以确保城镇用水的安全性和可靠性。规划室外给水管管径为DN200毫米～DN300毫米，并在镇区内主要道路上布置室外市政消火栓，其间距不得大于120米。集聚区供水依托青阳县城南水厂，水源为牛桥水库，城南自来水厂位于蓉东路与环城南路交叉口处，规模为9万m</w:t>
                  </w:r>
                  <w:r>
                    <w:rPr>
                      <w:rFonts w:hint="eastAsia"/>
                      <w:color w:val="auto"/>
                      <w:szCs w:val="21"/>
                      <w:highlight w:val="none"/>
                      <w:vertAlign w:val="superscript"/>
                    </w:rPr>
                    <w:t>3</w:t>
                  </w:r>
                  <w:r>
                    <w:rPr>
                      <w:rFonts w:hint="eastAsia"/>
                      <w:color w:val="auto"/>
                      <w:szCs w:val="21"/>
                      <w:highlight w:val="none"/>
                    </w:rPr>
                    <w:t>/d，用地面积4.5ha，现有供水规模为2万m</w:t>
                  </w:r>
                  <w:r>
                    <w:rPr>
                      <w:rFonts w:hint="eastAsia"/>
                      <w:color w:val="auto"/>
                      <w:szCs w:val="21"/>
                      <w:highlight w:val="none"/>
                      <w:vertAlign w:val="superscript"/>
                    </w:rPr>
                    <w:t>3</w:t>
                  </w:r>
                  <w:r>
                    <w:rPr>
                      <w:rFonts w:hint="eastAsia"/>
                      <w:color w:val="auto"/>
                      <w:szCs w:val="21"/>
                      <w:highlight w:val="none"/>
                    </w:rPr>
                    <w:t>/d，现正在进行扩建，扩建后规模为7万m</w:t>
                  </w:r>
                  <w:r>
                    <w:rPr>
                      <w:rFonts w:hint="eastAsia"/>
                      <w:color w:val="auto"/>
                      <w:szCs w:val="21"/>
                      <w:highlight w:val="none"/>
                      <w:vertAlign w:val="superscript"/>
                    </w:rPr>
                    <w:t>3</w:t>
                  </w:r>
                  <w:r>
                    <w:rPr>
                      <w:rFonts w:hint="eastAsia"/>
                      <w:color w:val="auto"/>
                      <w:szCs w:val="21"/>
                      <w:highlight w:val="none"/>
                    </w:rPr>
                    <w:t>/d。规划期末最高日总用水量约为7772.991m</w:t>
                  </w:r>
                  <w:r>
                    <w:rPr>
                      <w:rFonts w:hint="eastAsia"/>
                      <w:color w:val="auto"/>
                      <w:szCs w:val="21"/>
                      <w:highlight w:val="none"/>
                      <w:vertAlign w:val="superscript"/>
                    </w:rPr>
                    <w:t>3</w:t>
                  </w:r>
                  <w:r>
                    <w:rPr>
                      <w:rFonts w:hint="eastAsia"/>
                      <w:color w:val="auto"/>
                      <w:szCs w:val="21"/>
                      <w:highlight w:val="none"/>
                    </w:rPr>
                    <w:t>/d。</w:t>
                  </w:r>
                </w:p>
              </w:tc>
              <w:tc>
                <w:tcPr>
                  <w:tcW w:w="1337" w:type="pct"/>
                  <w:tcBorders>
                    <w:tl2br w:val="nil"/>
                    <w:tr2bl w:val="nil"/>
                  </w:tcBorders>
                  <w:noWrap w:val="0"/>
                  <w:vAlign w:val="center"/>
                </w:tcPr>
                <w:p w14:paraId="2851DD75">
                  <w:pPr>
                    <w:widowControl/>
                    <w:rPr>
                      <w:rFonts w:hint="eastAsia" w:eastAsia="宋体"/>
                      <w:color w:val="auto"/>
                      <w:szCs w:val="21"/>
                      <w:highlight w:val="none"/>
                      <w:lang w:eastAsia="zh-CN"/>
                    </w:rPr>
                  </w:pPr>
                  <w:r>
                    <w:rPr>
                      <w:rFonts w:hint="eastAsia"/>
                      <w:color w:val="auto"/>
                      <w:szCs w:val="21"/>
                      <w:highlight w:val="none"/>
                      <w:lang w:eastAsia="zh-CN"/>
                    </w:rPr>
                    <w:t>本项目位于镁铝及机电装备制造产业集聚区供水范围内，</w:t>
                  </w:r>
                  <w:r>
                    <w:rPr>
                      <w:rFonts w:hint="eastAsia"/>
                      <w:color w:val="auto"/>
                      <w:szCs w:val="21"/>
                      <w:highlight w:val="none"/>
                      <w:lang w:val="en-US" w:eastAsia="zh-CN"/>
                    </w:rPr>
                    <w:t>技改项目不新增用水量</w:t>
                  </w:r>
                  <w:r>
                    <w:rPr>
                      <w:rFonts w:hint="eastAsia"/>
                      <w:color w:val="auto"/>
                      <w:szCs w:val="21"/>
                      <w:highlight w:val="none"/>
                      <w:lang w:eastAsia="zh-CN"/>
                    </w:rPr>
                    <w:t>。</w:t>
                  </w:r>
                </w:p>
              </w:tc>
              <w:tc>
                <w:tcPr>
                  <w:tcW w:w="292" w:type="pct"/>
                  <w:tcBorders>
                    <w:tl2br w:val="nil"/>
                    <w:tr2bl w:val="nil"/>
                  </w:tcBorders>
                  <w:noWrap w:val="0"/>
                  <w:vAlign w:val="center"/>
                </w:tcPr>
                <w:p w14:paraId="4DF7AEA1">
                  <w:pPr>
                    <w:jc w:val="center"/>
                    <w:rPr>
                      <w:rFonts w:hint="eastAsia"/>
                      <w:color w:val="auto"/>
                      <w:szCs w:val="21"/>
                      <w:highlight w:val="none"/>
                    </w:rPr>
                  </w:pPr>
                  <w:r>
                    <w:rPr>
                      <w:rFonts w:hint="eastAsia"/>
                      <w:color w:val="auto"/>
                      <w:szCs w:val="21"/>
                      <w:highlight w:val="none"/>
                    </w:rPr>
                    <w:t>符合</w:t>
                  </w:r>
                </w:p>
              </w:tc>
            </w:tr>
            <w:tr w14:paraId="5F1434CE">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0" w:type="pct"/>
                  <w:tcBorders>
                    <w:tl2br w:val="nil"/>
                    <w:tr2bl w:val="nil"/>
                  </w:tcBorders>
                  <w:noWrap w:val="0"/>
                  <w:vAlign w:val="center"/>
                </w:tcPr>
                <w:p w14:paraId="2C48C833">
                  <w:pPr>
                    <w:jc w:val="center"/>
                    <w:rPr>
                      <w:color w:val="auto"/>
                      <w:szCs w:val="21"/>
                      <w:highlight w:val="none"/>
                    </w:rPr>
                  </w:pPr>
                  <w:r>
                    <w:rPr>
                      <w:rFonts w:hint="eastAsia"/>
                      <w:color w:val="auto"/>
                      <w:szCs w:val="21"/>
                      <w:highlight w:val="none"/>
                    </w:rPr>
                    <w:t>5</w:t>
                  </w:r>
                </w:p>
              </w:tc>
              <w:tc>
                <w:tcPr>
                  <w:tcW w:w="3068" w:type="pct"/>
                  <w:tcBorders>
                    <w:tl2br w:val="nil"/>
                    <w:tr2bl w:val="nil"/>
                  </w:tcBorders>
                  <w:noWrap w:val="0"/>
                  <w:vAlign w:val="center"/>
                </w:tcPr>
                <w:p w14:paraId="60A08C20">
                  <w:pPr>
                    <w:widowControl/>
                    <w:ind w:firstLine="420" w:firstLineChars="200"/>
                    <w:rPr>
                      <w:rFonts w:hint="eastAsia"/>
                      <w:color w:val="auto"/>
                      <w:szCs w:val="21"/>
                      <w:highlight w:val="none"/>
                    </w:rPr>
                  </w:pPr>
                  <w:r>
                    <w:rPr>
                      <w:rFonts w:hint="eastAsia"/>
                      <w:color w:val="auto"/>
                      <w:szCs w:val="21"/>
                      <w:highlight w:val="none"/>
                    </w:rPr>
                    <w:t>新河镇污水处理厂位于新河镇西侧，总设计规模为800m</w:t>
                  </w:r>
                  <w:r>
                    <w:rPr>
                      <w:rFonts w:hint="eastAsia"/>
                      <w:color w:val="auto"/>
                      <w:szCs w:val="21"/>
                      <w:highlight w:val="none"/>
                      <w:vertAlign w:val="superscript"/>
                    </w:rPr>
                    <w:t>3</w:t>
                  </w:r>
                  <w:r>
                    <w:rPr>
                      <w:rFonts w:hint="eastAsia"/>
                      <w:color w:val="auto"/>
                      <w:szCs w:val="21"/>
                      <w:highlight w:val="none"/>
                    </w:rPr>
                    <w:t>/d，占地面积0.47公顷。于2017年9月开工建设，2018年3月正式投入运行，现状采用A2O+滤布滤池、紫外消毒处理工艺，尾水排放达到《城镇污水处理厂污染物排放标准》（GB18918-2002）一级A排放标准，目前，新河镇</w:t>
                  </w:r>
                  <w:r>
                    <w:rPr>
                      <w:rFonts w:hint="eastAsia"/>
                      <w:color w:val="auto"/>
                      <w:szCs w:val="21"/>
                      <w:highlight w:val="none"/>
                      <w:lang w:eastAsia="zh-CN"/>
                    </w:rPr>
                    <w:t>污水处理厂</w:t>
                  </w:r>
                  <w:r>
                    <w:rPr>
                      <w:rFonts w:hint="eastAsia"/>
                      <w:color w:val="auto"/>
                      <w:szCs w:val="21"/>
                      <w:highlight w:val="none"/>
                    </w:rPr>
                    <w:t>现状处理量为800m</w:t>
                  </w:r>
                  <w:r>
                    <w:rPr>
                      <w:rFonts w:hint="eastAsia"/>
                      <w:color w:val="auto"/>
                      <w:szCs w:val="21"/>
                      <w:highlight w:val="none"/>
                      <w:vertAlign w:val="superscript"/>
                    </w:rPr>
                    <w:t>3</w:t>
                  </w:r>
                  <w:r>
                    <w:rPr>
                      <w:rFonts w:hint="eastAsia"/>
                      <w:color w:val="auto"/>
                      <w:szCs w:val="21"/>
                      <w:highlight w:val="none"/>
                    </w:rPr>
                    <w:t>/d。现状剩余处理规模800m</w:t>
                  </w:r>
                  <w:r>
                    <w:rPr>
                      <w:rFonts w:hint="eastAsia"/>
                      <w:color w:val="auto"/>
                      <w:szCs w:val="21"/>
                      <w:highlight w:val="none"/>
                      <w:vertAlign w:val="superscript"/>
                    </w:rPr>
                    <w:t>3</w:t>
                  </w:r>
                  <w:r>
                    <w:rPr>
                      <w:rFonts w:hint="eastAsia"/>
                      <w:color w:val="auto"/>
                      <w:szCs w:val="21"/>
                      <w:highlight w:val="none"/>
                    </w:rPr>
                    <w:t>/d。新河镇污水处理厂主要接纳新河镇的工业污水和生活污水。</w:t>
                  </w:r>
                </w:p>
              </w:tc>
              <w:tc>
                <w:tcPr>
                  <w:tcW w:w="1337" w:type="pct"/>
                  <w:tcBorders>
                    <w:tl2br w:val="nil"/>
                    <w:tr2bl w:val="nil"/>
                  </w:tcBorders>
                  <w:noWrap w:val="0"/>
                  <w:vAlign w:val="center"/>
                </w:tcPr>
                <w:p w14:paraId="7CF4C348">
                  <w:pPr>
                    <w:widowControl/>
                    <w:rPr>
                      <w:rFonts w:hint="eastAsia" w:eastAsia="宋体"/>
                      <w:color w:val="auto"/>
                      <w:szCs w:val="21"/>
                      <w:highlight w:val="none"/>
                      <w:lang w:eastAsia="zh-CN"/>
                    </w:rPr>
                  </w:pPr>
                  <w:r>
                    <w:rPr>
                      <w:rFonts w:hint="eastAsia"/>
                      <w:color w:val="auto"/>
                      <w:szCs w:val="21"/>
                      <w:highlight w:val="none"/>
                    </w:rPr>
                    <w:t>本项目位于镁铝及机电装备制造产业集聚区，在新河镇污水处理厂纳管范围内</w:t>
                  </w:r>
                  <w:r>
                    <w:rPr>
                      <w:rFonts w:hint="eastAsia"/>
                      <w:color w:val="auto"/>
                      <w:szCs w:val="21"/>
                      <w:highlight w:val="none"/>
                      <w:lang w:eastAsia="zh-CN"/>
                    </w:rPr>
                    <w:t>，</w:t>
                  </w:r>
                  <w:r>
                    <w:rPr>
                      <w:rFonts w:hint="eastAsia"/>
                      <w:color w:val="auto"/>
                      <w:szCs w:val="21"/>
                      <w:highlight w:val="none"/>
                      <w:lang w:val="en-US" w:eastAsia="zh-CN"/>
                    </w:rPr>
                    <w:t>技改项目不新增废水排放量</w:t>
                  </w:r>
                  <w:r>
                    <w:rPr>
                      <w:rFonts w:hint="eastAsia"/>
                      <w:color w:val="auto"/>
                      <w:szCs w:val="21"/>
                      <w:highlight w:val="none"/>
                      <w:lang w:eastAsia="zh-CN"/>
                    </w:rPr>
                    <w:t>。</w:t>
                  </w:r>
                </w:p>
              </w:tc>
              <w:tc>
                <w:tcPr>
                  <w:tcW w:w="292" w:type="pct"/>
                  <w:tcBorders>
                    <w:tl2br w:val="nil"/>
                    <w:tr2bl w:val="nil"/>
                  </w:tcBorders>
                  <w:noWrap w:val="0"/>
                  <w:vAlign w:val="center"/>
                </w:tcPr>
                <w:p w14:paraId="5679ADB4">
                  <w:pPr>
                    <w:jc w:val="center"/>
                    <w:rPr>
                      <w:rFonts w:hint="eastAsia"/>
                      <w:color w:val="auto"/>
                      <w:szCs w:val="21"/>
                      <w:highlight w:val="none"/>
                    </w:rPr>
                  </w:pPr>
                  <w:r>
                    <w:rPr>
                      <w:rFonts w:hint="eastAsia"/>
                      <w:color w:val="auto"/>
                      <w:szCs w:val="21"/>
                      <w:highlight w:val="none"/>
                    </w:rPr>
                    <w:t>符合</w:t>
                  </w:r>
                </w:p>
              </w:tc>
            </w:tr>
          </w:tbl>
          <w:p w14:paraId="6DA28E52">
            <w:pPr>
              <w:jc w:val="center"/>
              <w:rPr>
                <w:b/>
                <w:bCs/>
                <w:color w:val="auto"/>
                <w:kern w:val="0"/>
                <w:sz w:val="24"/>
                <w:highlight w:val="none"/>
              </w:rPr>
            </w:pPr>
            <w:r>
              <w:rPr>
                <w:rFonts w:hint="eastAsia"/>
                <w:b/>
                <w:bCs/>
                <w:color w:val="auto"/>
                <w:kern w:val="0"/>
                <w:sz w:val="24"/>
                <w:highlight w:val="none"/>
                <w:lang w:val="en-US" w:eastAsia="zh-CN"/>
              </w:rPr>
              <w:t>3.</w:t>
            </w:r>
            <w:r>
              <w:rPr>
                <w:rFonts w:hint="eastAsia"/>
                <w:b/>
                <w:bCs/>
                <w:color w:val="auto"/>
                <w:kern w:val="0"/>
                <w:sz w:val="24"/>
                <w:highlight w:val="none"/>
              </w:rPr>
              <w:t>本项目与《镁铝及机电装备制造产业集聚区规划环境影响报告书》审查意见</w:t>
            </w:r>
            <w:r>
              <w:rPr>
                <w:rFonts w:hint="eastAsia"/>
                <w:b/>
                <w:bCs/>
                <w:color w:val="auto"/>
                <w:kern w:val="0"/>
                <w:sz w:val="24"/>
                <w:highlight w:val="none"/>
                <w:lang w:eastAsia="zh-CN"/>
              </w:rPr>
              <w:t>（青环函〔2024〕60号）</w:t>
            </w:r>
            <w:r>
              <w:rPr>
                <w:rFonts w:hint="eastAsia"/>
                <w:b/>
                <w:bCs/>
                <w:color w:val="auto"/>
                <w:kern w:val="0"/>
                <w:sz w:val="24"/>
                <w:highlight w:val="none"/>
              </w:rPr>
              <w:t>符合性分析</w:t>
            </w:r>
          </w:p>
          <w:tbl>
            <w:tblPr>
              <w:tblStyle w:val="36"/>
              <w:tblW w:w="4996" w:type="pct"/>
              <w:tblInd w:w="0"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426"/>
              <w:gridCol w:w="4340"/>
              <w:gridCol w:w="1890"/>
              <w:gridCol w:w="414"/>
            </w:tblGrid>
            <w:tr w14:paraId="5AB6F548">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1862A4F2">
                  <w:pPr>
                    <w:widowControl/>
                    <w:snapToGrid w:val="0"/>
                    <w:jc w:val="center"/>
                    <w:rPr>
                      <w:b/>
                      <w:bCs/>
                      <w:color w:val="auto"/>
                      <w:szCs w:val="21"/>
                      <w:highlight w:val="none"/>
                    </w:rPr>
                  </w:pPr>
                  <w:r>
                    <w:rPr>
                      <w:rFonts w:hint="eastAsia"/>
                      <w:b/>
                      <w:bCs/>
                      <w:color w:val="auto"/>
                      <w:szCs w:val="21"/>
                      <w:highlight w:val="none"/>
                    </w:rPr>
                    <w:t>序号</w:t>
                  </w:r>
                </w:p>
              </w:tc>
              <w:tc>
                <w:tcPr>
                  <w:tcW w:w="3068" w:type="pct"/>
                  <w:tcBorders>
                    <w:tl2br w:val="nil"/>
                    <w:tr2bl w:val="nil"/>
                  </w:tcBorders>
                  <w:noWrap w:val="0"/>
                  <w:vAlign w:val="center"/>
                </w:tcPr>
                <w:p w14:paraId="27952986">
                  <w:pPr>
                    <w:widowControl/>
                    <w:snapToGrid w:val="0"/>
                    <w:jc w:val="center"/>
                    <w:rPr>
                      <w:b/>
                      <w:bCs/>
                      <w:color w:val="auto"/>
                      <w:szCs w:val="21"/>
                      <w:highlight w:val="none"/>
                    </w:rPr>
                  </w:pPr>
                  <w:r>
                    <w:rPr>
                      <w:rFonts w:hint="eastAsia"/>
                      <w:b/>
                      <w:bCs/>
                      <w:color w:val="auto"/>
                      <w:szCs w:val="21"/>
                      <w:highlight w:val="none"/>
                    </w:rPr>
                    <w:t>意见要求</w:t>
                  </w:r>
                </w:p>
              </w:tc>
              <w:tc>
                <w:tcPr>
                  <w:tcW w:w="1336" w:type="pct"/>
                  <w:tcBorders>
                    <w:tl2br w:val="nil"/>
                    <w:tr2bl w:val="nil"/>
                  </w:tcBorders>
                  <w:noWrap w:val="0"/>
                  <w:vAlign w:val="center"/>
                </w:tcPr>
                <w:p w14:paraId="460383E7">
                  <w:pPr>
                    <w:widowControl/>
                    <w:snapToGrid w:val="0"/>
                    <w:jc w:val="center"/>
                    <w:rPr>
                      <w:b/>
                      <w:bCs/>
                      <w:color w:val="auto"/>
                      <w:szCs w:val="21"/>
                      <w:highlight w:val="none"/>
                    </w:rPr>
                  </w:pPr>
                  <w:r>
                    <w:rPr>
                      <w:rFonts w:hint="eastAsia"/>
                      <w:b/>
                      <w:bCs/>
                      <w:color w:val="auto"/>
                      <w:szCs w:val="21"/>
                      <w:highlight w:val="none"/>
                    </w:rPr>
                    <w:t>项目实际情况</w:t>
                  </w:r>
                </w:p>
              </w:tc>
              <w:tc>
                <w:tcPr>
                  <w:tcW w:w="293" w:type="pct"/>
                  <w:tcBorders>
                    <w:tl2br w:val="nil"/>
                    <w:tr2bl w:val="nil"/>
                  </w:tcBorders>
                  <w:noWrap w:val="0"/>
                  <w:vAlign w:val="center"/>
                </w:tcPr>
                <w:p w14:paraId="6FBD28BF">
                  <w:pPr>
                    <w:widowControl/>
                    <w:autoSpaceDE w:val="0"/>
                    <w:autoSpaceDN w:val="0"/>
                    <w:snapToGrid w:val="0"/>
                    <w:jc w:val="center"/>
                    <w:rPr>
                      <w:b/>
                      <w:bCs/>
                      <w:color w:val="auto"/>
                      <w:szCs w:val="21"/>
                      <w:highlight w:val="none"/>
                    </w:rPr>
                  </w:pPr>
                  <w:r>
                    <w:rPr>
                      <w:rFonts w:hint="eastAsia"/>
                      <w:b/>
                      <w:bCs/>
                      <w:color w:val="auto"/>
                      <w:szCs w:val="21"/>
                      <w:highlight w:val="none"/>
                    </w:rPr>
                    <w:t>符合性</w:t>
                  </w:r>
                </w:p>
              </w:tc>
            </w:tr>
            <w:tr w14:paraId="2FAEF7F0">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01485875">
                  <w:pPr>
                    <w:jc w:val="center"/>
                    <w:rPr>
                      <w:color w:val="auto"/>
                      <w:szCs w:val="21"/>
                      <w:highlight w:val="none"/>
                    </w:rPr>
                  </w:pPr>
                  <w:r>
                    <w:rPr>
                      <w:rFonts w:hint="eastAsia"/>
                      <w:color w:val="auto"/>
                      <w:szCs w:val="21"/>
                      <w:highlight w:val="none"/>
                    </w:rPr>
                    <w:t>1</w:t>
                  </w:r>
                </w:p>
              </w:tc>
              <w:tc>
                <w:tcPr>
                  <w:tcW w:w="3068" w:type="pct"/>
                  <w:tcBorders>
                    <w:tl2br w:val="nil"/>
                    <w:tr2bl w:val="nil"/>
                  </w:tcBorders>
                  <w:noWrap w:val="0"/>
                  <w:vAlign w:val="center"/>
                </w:tcPr>
                <w:p w14:paraId="5FFDD483">
                  <w:pPr>
                    <w:widowControl/>
                    <w:jc w:val="left"/>
                    <w:rPr>
                      <w:color w:val="auto"/>
                      <w:szCs w:val="21"/>
                      <w:highlight w:val="none"/>
                    </w:rPr>
                  </w:pPr>
                  <w:r>
                    <w:rPr>
                      <w:rFonts w:hint="eastAsia"/>
                      <w:color w:val="auto"/>
                      <w:szCs w:val="21"/>
                      <w:highlight w:val="none"/>
                      <w:lang w:val="en-US" w:eastAsia="zh-CN"/>
                    </w:rPr>
                    <w:t>规划范围：</w:t>
                  </w:r>
                  <w:r>
                    <w:rPr>
                      <w:rFonts w:hint="eastAsia"/>
                      <w:color w:val="auto"/>
                      <w:szCs w:val="21"/>
                      <w:highlight w:val="none"/>
                    </w:rPr>
                    <w:t>东至木镇镇镇界、南至 318 国道，西至新新公路，北至 330 国道，规划面积约 88.8567 公顷。</w:t>
                  </w:r>
                </w:p>
              </w:tc>
              <w:tc>
                <w:tcPr>
                  <w:tcW w:w="1336" w:type="pct"/>
                  <w:tcBorders>
                    <w:tl2br w:val="nil"/>
                    <w:tr2bl w:val="nil"/>
                  </w:tcBorders>
                  <w:noWrap w:val="0"/>
                  <w:vAlign w:val="center"/>
                </w:tcPr>
                <w:p w14:paraId="00897E1A">
                  <w:pPr>
                    <w:widowControl/>
                    <w:rPr>
                      <w:color w:val="auto"/>
                      <w:szCs w:val="21"/>
                      <w:highlight w:val="none"/>
                    </w:rPr>
                  </w:pPr>
                  <w:r>
                    <w:rPr>
                      <w:rFonts w:hint="eastAsia"/>
                      <w:color w:val="auto"/>
                      <w:szCs w:val="21"/>
                      <w:highlight w:val="none"/>
                    </w:rPr>
                    <w:t>项目位于镁铝及机电装备制造产业集聚区用地范围内；规划范围如图</w:t>
                  </w:r>
                  <w:r>
                    <w:rPr>
                      <w:rFonts w:hint="eastAsia"/>
                      <w:color w:val="auto"/>
                      <w:szCs w:val="21"/>
                      <w:highlight w:val="none"/>
                      <w:lang w:val="en-US" w:eastAsia="zh-CN"/>
                    </w:rPr>
                    <w:t>1-1</w:t>
                  </w:r>
                  <w:r>
                    <w:rPr>
                      <w:rFonts w:hint="eastAsia"/>
                      <w:color w:val="auto"/>
                      <w:szCs w:val="21"/>
                      <w:highlight w:val="none"/>
                    </w:rPr>
                    <w:t>所示，土地利用规划如图1</w:t>
                  </w:r>
                  <w:r>
                    <w:rPr>
                      <w:rFonts w:hint="eastAsia"/>
                      <w:color w:val="auto"/>
                      <w:szCs w:val="21"/>
                      <w:highlight w:val="none"/>
                      <w:lang w:val="en-US" w:eastAsia="zh-CN"/>
                    </w:rPr>
                    <w:t>-2</w:t>
                  </w:r>
                  <w:r>
                    <w:rPr>
                      <w:rFonts w:hint="eastAsia"/>
                      <w:color w:val="auto"/>
                      <w:szCs w:val="21"/>
                      <w:highlight w:val="none"/>
                    </w:rPr>
                    <w:t xml:space="preserve"> 所示；</w:t>
                  </w:r>
                </w:p>
              </w:tc>
              <w:tc>
                <w:tcPr>
                  <w:tcW w:w="293" w:type="pct"/>
                  <w:tcBorders>
                    <w:tl2br w:val="nil"/>
                    <w:tr2bl w:val="nil"/>
                  </w:tcBorders>
                  <w:noWrap w:val="0"/>
                  <w:vAlign w:val="center"/>
                </w:tcPr>
                <w:p w14:paraId="642DEC47">
                  <w:pPr>
                    <w:jc w:val="center"/>
                    <w:rPr>
                      <w:color w:val="auto"/>
                      <w:szCs w:val="21"/>
                      <w:highlight w:val="none"/>
                    </w:rPr>
                  </w:pPr>
                  <w:r>
                    <w:rPr>
                      <w:rFonts w:hint="eastAsia"/>
                      <w:color w:val="auto"/>
                      <w:szCs w:val="21"/>
                      <w:highlight w:val="none"/>
                    </w:rPr>
                    <w:t>符合</w:t>
                  </w:r>
                </w:p>
              </w:tc>
            </w:tr>
            <w:tr w14:paraId="7CBDDA85">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222B9E2B">
                  <w:pPr>
                    <w:jc w:val="center"/>
                    <w:rPr>
                      <w:color w:val="auto"/>
                      <w:szCs w:val="21"/>
                      <w:highlight w:val="none"/>
                    </w:rPr>
                  </w:pPr>
                  <w:r>
                    <w:rPr>
                      <w:rFonts w:hint="eastAsia"/>
                      <w:color w:val="auto"/>
                      <w:szCs w:val="21"/>
                      <w:highlight w:val="none"/>
                    </w:rPr>
                    <w:t>2</w:t>
                  </w:r>
                </w:p>
              </w:tc>
              <w:tc>
                <w:tcPr>
                  <w:tcW w:w="3068" w:type="pct"/>
                  <w:tcBorders>
                    <w:tl2br w:val="nil"/>
                    <w:tr2bl w:val="nil"/>
                  </w:tcBorders>
                  <w:noWrap w:val="0"/>
                  <w:vAlign w:val="center"/>
                </w:tcPr>
                <w:p w14:paraId="76EDE405">
                  <w:pPr>
                    <w:widowControl/>
                    <w:rPr>
                      <w:rFonts w:hint="eastAsia"/>
                      <w:color w:val="auto"/>
                      <w:szCs w:val="21"/>
                      <w:highlight w:val="none"/>
                    </w:rPr>
                  </w:pPr>
                  <w:r>
                    <w:rPr>
                      <w:rFonts w:hint="eastAsia"/>
                      <w:color w:val="auto"/>
                      <w:szCs w:val="21"/>
                      <w:highlight w:val="none"/>
                    </w:rPr>
                    <w:t>功能定位</w:t>
                  </w:r>
                  <w:r>
                    <w:rPr>
                      <w:rFonts w:hint="eastAsia"/>
                      <w:color w:val="auto"/>
                      <w:szCs w:val="21"/>
                      <w:highlight w:val="none"/>
                      <w:lang w:eastAsia="zh-CN"/>
                    </w:rPr>
                    <w:t>：以镁铝新材料产业集群、机电装备制造产业集群为主导产业，优化功能布局，布局镁合金深加工产业链的上下延展，借助镁基新材料产业的发展，培育壮大高端镁合金零部件生产等下游产业为机电制造产业发展的新动能，推进向高端制造、智能制造转型升级，是青阳县的特色功能片区，是新河镇的重要工业发展片区。</w:t>
                  </w:r>
                </w:p>
              </w:tc>
              <w:tc>
                <w:tcPr>
                  <w:tcW w:w="1336" w:type="pct"/>
                  <w:tcBorders>
                    <w:tl2br w:val="nil"/>
                    <w:tr2bl w:val="nil"/>
                  </w:tcBorders>
                  <w:noWrap w:val="0"/>
                  <w:vAlign w:val="center"/>
                </w:tcPr>
                <w:p w14:paraId="31F0F6D5">
                  <w:pPr>
                    <w:widowControl/>
                    <w:rPr>
                      <w:rFonts w:hint="eastAsia"/>
                      <w:color w:val="auto"/>
                      <w:szCs w:val="21"/>
                      <w:highlight w:val="none"/>
                    </w:rPr>
                  </w:pPr>
                  <w:r>
                    <w:rPr>
                      <w:rFonts w:hint="eastAsia"/>
                      <w:color w:val="auto"/>
                      <w:szCs w:val="21"/>
                      <w:highlight w:val="none"/>
                    </w:rPr>
                    <w:t>本项目为黑色金属铸造，</w:t>
                  </w:r>
                  <w:r>
                    <w:rPr>
                      <w:rFonts w:hint="eastAsia"/>
                      <w:color w:val="auto"/>
                      <w:szCs w:val="21"/>
                      <w:highlight w:val="none"/>
                      <w:lang w:val="en-US" w:eastAsia="zh-CN"/>
                    </w:rPr>
                    <w:t>本项目主要生产“精密阀门、工程机械配件、汽车零部件等铸件”，</w:t>
                  </w:r>
                  <w:r>
                    <w:rPr>
                      <w:rFonts w:hint="eastAsia"/>
                      <w:color w:val="auto"/>
                      <w:szCs w:val="21"/>
                      <w:highlight w:val="none"/>
                    </w:rPr>
                    <w:t>符合园区规划环评功能定位</w:t>
                  </w:r>
                  <w:r>
                    <w:rPr>
                      <w:rFonts w:hint="eastAsia"/>
                      <w:color w:val="auto"/>
                      <w:szCs w:val="21"/>
                      <w:highlight w:val="none"/>
                      <w:lang w:val="en-US" w:eastAsia="zh-CN"/>
                    </w:rPr>
                    <w:t>中的“机电装备制造”</w:t>
                  </w:r>
                  <w:r>
                    <w:rPr>
                      <w:rFonts w:hint="eastAsia"/>
                      <w:color w:val="auto"/>
                      <w:szCs w:val="21"/>
                      <w:highlight w:val="none"/>
                    </w:rPr>
                    <w:t>。</w:t>
                  </w:r>
                </w:p>
              </w:tc>
              <w:tc>
                <w:tcPr>
                  <w:tcW w:w="293" w:type="pct"/>
                  <w:tcBorders>
                    <w:tl2br w:val="nil"/>
                    <w:tr2bl w:val="nil"/>
                  </w:tcBorders>
                  <w:noWrap w:val="0"/>
                  <w:vAlign w:val="center"/>
                </w:tcPr>
                <w:p w14:paraId="72A76D5D">
                  <w:pPr>
                    <w:jc w:val="center"/>
                    <w:rPr>
                      <w:rFonts w:hint="eastAsia"/>
                      <w:color w:val="auto"/>
                      <w:szCs w:val="21"/>
                      <w:highlight w:val="none"/>
                    </w:rPr>
                  </w:pPr>
                  <w:r>
                    <w:rPr>
                      <w:rFonts w:hint="eastAsia"/>
                      <w:color w:val="auto"/>
                      <w:szCs w:val="21"/>
                      <w:highlight w:val="none"/>
                    </w:rPr>
                    <w:t>符合</w:t>
                  </w:r>
                </w:p>
              </w:tc>
            </w:tr>
            <w:tr w14:paraId="0CFB2B56">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09ED81E4">
                  <w:pPr>
                    <w:jc w:val="center"/>
                    <w:rPr>
                      <w:color w:val="auto"/>
                      <w:szCs w:val="21"/>
                      <w:highlight w:val="none"/>
                    </w:rPr>
                  </w:pPr>
                  <w:r>
                    <w:rPr>
                      <w:rFonts w:hint="eastAsia"/>
                      <w:color w:val="auto"/>
                      <w:szCs w:val="21"/>
                      <w:highlight w:val="none"/>
                    </w:rPr>
                    <w:t>3</w:t>
                  </w:r>
                </w:p>
              </w:tc>
              <w:tc>
                <w:tcPr>
                  <w:tcW w:w="3068" w:type="pct"/>
                  <w:tcBorders>
                    <w:tl2br w:val="nil"/>
                    <w:tr2bl w:val="nil"/>
                  </w:tcBorders>
                  <w:noWrap w:val="0"/>
                  <w:vAlign w:val="center"/>
                </w:tcPr>
                <w:p w14:paraId="79497C8F">
                  <w:pPr>
                    <w:widowControl/>
                    <w:rPr>
                      <w:rFonts w:hint="eastAsia"/>
                      <w:color w:val="auto"/>
                      <w:szCs w:val="21"/>
                      <w:highlight w:val="none"/>
                    </w:rPr>
                  </w:pPr>
                  <w:r>
                    <w:rPr>
                      <w:rFonts w:hint="eastAsia"/>
                      <w:color w:val="auto"/>
                      <w:szCs w:val="21"/>
                      <w:highlight w:val="none"/>
                      <w:lang w:val="en-US" w:eastAsia="zh-CN"/>
                    </w:rPr>
                    <w:t>加强《规划》引领，坚持绿色协调发展。《规划》应全面贯彻落实习近平生态文明思想，加强《规划》与《长江三角洲一体化发展规划纲要》、深入打好污染防治攻坚战等相关要求、区域生态环境分区管控要求”“三区三线”“等的协调衔接。统筹推进园区整体发展和生态保护，基于区域资源、生态、环境制约因素合理控制开发利用强度和园区建设时序，进一步提高土地利用效率，协调好产业发展与区域环境保护的关系。统筹园区减污降碳协同共治、资源节约集约及循环化利用、能源智慧高效利用、环境风险防控等重大事项，引导园区高质量发展。认真落实园区近期发展规划，着力推进园区产业转型升级和结构优化，结合区域生态环境承载力，确保产业发展与区域生态环境保护、人居环境质量保障相协调。</w:t>
                  </w:r>
                </w:p>
              </w:tc>
              <w:tc>
                <w:tcPr>
                  <w:tcW w:w="1336" w:type="pct"/>
                  <w:tcBorders>
                    <w:tl2br w:val="nil"/>
                    <w:tr2bl w:val="nil"/>
                  </w:tcBorders>
                  <w:noWrap w:val="0"/>
                  <w:vAlign w:val="center"/>
                </w:tcPr>
                <w:p w14:paraId="16BE5A4E">
                  <w:pPr>
                    <w:widowControl/>
                    <w:rPr>
                      <w:rFonts w:hint="eastAsia"/>
                      <w:color w:val="auto"/>
                      <w:szCs w:val="21"/>
                      <w:highlight w:val="none"/>
                    </w:rPr>
                  </w:pPr>
                  <w:r>
                    <w:rPr>
                      <w:rFonts w:hint="eastAsia"/>
                      <w:color w:val="auto"/>
                      <w:szCs w:val="21"/>
                      <w:highlight w:val="none"/>
                    </w:rPr>
                    <w:t>镁铝及机电装备制造产业集聚区拟用地位于青阳县开发区木镇新河园区，面积 88.8567公顷。经套合自然资源部下发的“三区三线”划定成果，拟用地范围位于城镇开发边界内85.1952公顷，不涉及占用永久基本农田和生态保护红线，符合“三区三线”管控要求。</w:t>
                  </w:r>
                </w:p>
              </w:tc>
              <w:tc>
                <w:tcPr>
                  <w:tcW w:w="293" w:type="pct"/>
                  <w:tcBorders>
                    <w:tl2br w:val="nil"/>
                    <w:tr2bl w:val="nil"/>
                  </w:tcBorders>
                  <w:noWrap w:val="0"/>
                  <w:vAlign w:val="center"/>
                </w:tcPr>
                <w:p w14:paraId="62EEE351">
                  <w:pPr>
                    <w:jc w:val="center"/>
                    <w:rPr>
                      <w:rFonts w:hint="eastAsia"/>
                      <w:color w:val="auto"/>
                      <w:szCs w:val="21"/>
                      <w:highlight w:val="none"/>
                    </w:rPr>
                  </w:pPr>
                  <w:r>
                    <w:rPr>
                      <w:rFonts w:hint="eastAsia"/>
                      <w:color w:val="auto"/>
                      <w:szCs w:val="21"/>
                      <w:highlight w:val="none"/>
                    </w:rPr>
                    <w:t>符合</w:t>
                  </w:r>
                </w:p>
              </w:tc>
            </w:tr>
            <w:tr w14:paraId="3466AD36">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210B60A8">
                  <w:pPr>
                    <w:jc w:val="center"/>
                    <w:rPr>
                      <w:color w:val="auto"/>
                      <w:szCs w:val="21"/>
                      <w:highlight w:val="none"/>
                    </w:rPr>
                  </w:pPr>
                  <w:r>
                    <w:rPr>
                      <w:rFonts w:hint="eastAsia"/>
                      <w:color w:val="auto"/>
                      <w:szCs w:val="21"/>
                      <w:highlight w:val="none"/>
                    </w:rPr>
                    <w:t>4</w:t>
                  </w:r>
                </w:p>
              </w:tc>
              <w:tc>
                <w:tcPr>
                  <w:tcW w:w="3068" w:type="pct"/>
                  <w:tcBorders>
                    <w:tl2br w:val="nil"/>
                    <w:tr2bl w:val="nil"/>
                  </w:tcBorders>
                  <w:noWrap w:val="0"/>
                  <w:vAlign w:val="center"/>
                </w:tcPr>
                <w:p w14:paraId="773BFCF8">
                  <w:pPr>
                    <w:widowControl/>
                    <w:rPr>
                      <w:rFonts w:hint="eastAsia" w:eastAsia="宋体"/>
                      <w:color w:val="auto"/>
                      <w:szCs w:val="21"/>
                      <w:highlight w:val="none"/>
                      <w:lang w:eastAsia="zh-CN"/>
                    </w:rPr>
                  </w:pPr>
                  <w:r>
                    <w:rPr>
                      <w:rFonts w:hint="eastAsia"/>
                      <w:color w:val="auto"/>
                      <w:szCs w:val="21"/>
                      <w:highlight w:val="none"/>
                    </w:rPr>
                    <w:t>严守环境质量底线，保护区域生态环境质量。园区应坚持“生态优先、绿色发展”的战略定位，以生态环境质量改善、防范环境风险为核心，明确园区发展存在的环境制约因素，重点关注园区开发对受纳水体等的影响、对园区规划范围内和周围居民区的影响，以及区内企业环境风险防范。根据国家和安徽省大气、水、土壤、环境风险防范和固体废物污染防治相关要求，妥善解决区域现存生态环境问题，确保园区建设项目污染物长期稳定达标排放，区域生态环境质量持续改善</w:t>
                  </w:r>
                  <w:r>
                    <w:rPr>
                      <w:rFonts w:hint="eastAsia"/>
                      <w:color w:val="auto"/>
                      <w:szCs w:val="21"/>
                      <w:highlight w:val="none"/>
                      <w:lang w:eastAsia="zh-CN"/>
                    </w:rPr>
                    <w:t>。</w:t>
                  </w:r>
                </w:p>
              </w:tc>
              <w:tc>
                <w:tcPr>
                  <w:tcW w:w="1336" w:type="pct"/>
                  <w:tcBorders>
                    <w:tl2br w:val="nil"/>
                    <w:tr2bl w:val="nil"/>
                  </w:tcBorders>
                  <w:noWrap w:val="0"/>
                  <w:vAlign w:val="center"/>
                </w:tcPr>
                <w:p w14:paraId="7A2CC3F4">
                  <w:pPr>
                    <w:widowControl/>
                    <w:rPr>
                      <w:rFonts w:hint="default" w:eastAsia="宋体"/>
                      <w:color w:val="auto"/>
                      <w:szCs w:val="21"/>
                      <w:highlight w:val="none"/>
                      <w:lang w:val="en-US" w:eastAsia="zh-CN"/>
                    </w:rPr>
                  </w:pPr>
                  <w:r>
                    <w:rPr>
                      <w:rFonts w:hint="eastAsia"/>
                      <w:color w:val="auto"/>
                      <w:szCs w:val="21"/>
                      <w:highlight w:val="none"/>
                      <w:lang w:eastAsia="zh-CN"/>
                    </w:rPr>
                    <w:t>项目</w:t>
                  </w:r>
                  <w:r>
                    <w:rPr>
                      <w:rFonts w:hint="eastAsia"/>
                      <w:color w:val="auto"/>
                      <w:szCs w:val="21"/>
                      <w:highlight w:val="none"/>
                      <w:lang w:val="en-US" w:eastAsia="zh-CN"/>
                    </w:rPr>
                    <w:t>为黑色</w:t>
                  </w:r>
                  <w:r>
                    <w:rPr>
                      <w:rFonts w:hint="eastAsia"/>
                      <w:color w:val="auto"/>
                      <w:szCs w:val="21"/>
                      <w:highlight w:val="none"/>
                      <w:lang w:eastAsia="zh-CN"/>
                    </w:rPr>
                    <w:t>金属</w:t>
                  </w:r>
                  <w:r>
                    <w:rPr>
                      <w:rFonts w:hint="eastAsia"/>
                      <w:color w:val="auto"/>
                      <w:szCs w:val="21"/>
                      <w:highlight w:val="none"/>
                      <w:lang w:val="en-US" w:eastAsia="zh-CN"/>
                    </w:rPr>
                    <w:t>铸造</w:t>
                  </w:r>
                  <w:r>
                    <w:rPr>
                      <w:rFonts w:hint="eastAsia"/>
                      <w:color w:val="auto"/>
                      <w:szCs w:val="21"/>
                      <w:highlight w:val="none"/>
                      <w:lang w:eastAsia="zh-CN"/>
                    </w:rPr>
                    <w:t>，在生产过程中，涉及</w:t>
                  </w:r>
                  <w:r>
                    <w:rPr>
                      <w:rFonts w:hint="eastAsia"/>
                      <w:color w:val="auto"/>
                      <w:szCs w:val="21"/>
                      <w:highlight w:val="none"/>
                      <w:lang w:val="en-US" w:eastAsia="zh-CN"/>
                    </w:rPr>
                    <w:t>废气排放</w:t>
                  </w:r>
                  <w:r>
                    <w:rPr>
                      <w:rFonts w:hint="eastAsia"/>
                      <w:color w:val="auto"/>
                      <w:szCs w:val="21"/>
                      <w:highlight w:val="none"/>
                      <w:lang w:eastAsia="zh-CN"/>
                    </w:rPr>
                    <w:t>，配套相应的废气收集、处理措施，均能稳定达标排放。</w:t>
                  </w:r>
                  <w:r>
                    <w:rPr>
                      <w:rFonts w:hint="eastAsia"/>
                      <w:color w:val="auto"/>
                      <w:szCs w:val="21"/>
                      <w:highlight w:val="none"/>
                      <w:lang w:val="en-US" w:eastAsia="zh-CN"/>
                    </w:rPr>
                    <w:t>废水进入区域污水处理厂处理，项目营运期采取相应的防渗及风险防范措施。</w:t>
                  </w:r>
                </w:p>
              </w:tc>
              <w:tc>
                <w:tcPr>
                  <w:tcW w:w="293" w:type="pct"/>
                  <w:tcBorders>
                    <w:tl2br w:val="nil"/>
                    <w:tr2bl w:val="nil"/>
                  </w:tcBorders>
                  <w:noWrap w:val="0"/>
                  <w:vAlign w:val="center"/>
                </w:tcPr>
                <w:p w14:paraId="7EBCCB87">
                  <w:pPr>
                    <w:jc w:val="center"/>
                    <w:rPr>
                      <w:rFonts w:hint="eastAsia"/>
                      <w:color w:val="auto"/>
                      <w:szCs w:val="21"/>
                      <w:highlight w:val="none"/>
                    </w:rPr>
                  </w:pPr>
                  <w:r>
                    <w:rPr>
                      <w:rFonts w:hint="eastAsia"/>
                      <w:color w:val="auto"/>
                      <w:szCs w:val="21"/>
                      <w:highlight w:val="none"/>
                    </w:rPr>
                    <w:t>符合</w:t>
                  </w:r>
                </w:p>
              </w:tc>
            </w:tr>
            <w:tr w14:paraId="1F141B83">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2AC5FF26">
                  <w:pPr>
                    <w:jc w:val="center"/>
                    <w:rPr>
                      <w:color w:val="auto"/>
                      <w:szCs w:val="21"/>
                      <w:highlight w:val="none"/>
                    </w:rPr>
                  </w:pPr>
                  <w:r>
                    <w:rPr>
                      <w:rFonts w:hint="eastAsia"/>
                      <w:color w:val="auto"/>
                      <w:szCs w:val="21"/>
                      <w:highlight w:val="none"/>
                    </w:rPr>
                    <w:t>5</w:t>
                  </w:r>
                </w:p>
              </w:tc>
              <w:tc>
                <w:tcPr>
                  <w:tcW w:w="3068" w:type="pct"/>
                  <w:tcBorders>
                    <w:tl2br w:val="nil"/>
                    <w:tr2bl w:val="nil"/>
                  </w:tcBorders>
                  <w:noWrap w:val="0"/>
                  <w:vAlign w:val="center"/>
                </w:tcPr>
                <w:p w14:paraId="62655594">
                  <w:pPr>
                    <w:widowControl/>
                    <w:rPr>
                      <w:rFonts w:hint="eastAsia"/>
                      <w:color w:val="auto"/>
                      <w:szCs w:val="21"/>
                      <w:highlight w:val="none"/>
                    </w:rPr>
                  </w:pPr>
                  <w:r>
                    <w:rPr>
                      <w:rFonts w:hint="eastAsia"/>
                      <w:color w:val="auto"/>
                      <w:szCs w:val="21"/>
                      <w:highlight w:val="none"/>
                    </w:rPr>
                    <w:t>优化产业布局，加强生态环境分区管控。落实生态环境分区管控要求，结合国家和省长江经济带发展负面清单管控要求及区域资源优势和环境制约因素、园区产业定位等，进一步完善产业发展规划，优化主导产业发展方向、功能分区和重大项目布局。园区严禁建设《安徽省长江经济带发展负面清单实施细则》禁止类项目。合理规划不同功能区的环境保护空间，严禁不符合管控要求的各类开发建设活动，规划实施不得损害周边地表水、地下水、环境空气和声环境等敏感目标环境质量和生态功能。做好园区与周边地表水、居住区之间的有效隔离和管控，居住区周边严禁布设生态环境影响较大的建设项目，保障居住区和各类自然保护地的生态环境质量，实现产业发展与区域生态环境保护相协调。</w:t>
                  </w:r>
                </w:p>
              </w:tc>
              <w:tc>
                <w:tcPr>
                  <w:tcW w:w="1336" w:type="pct"/>
                  <w:vMerge w:val="restart"/>
                  <w:tcBorders>
                    <w:tl2br w:val="nil"/>
                    <w:tr2bl w:val="nil"/>
                  </w:tcBorders>
                  <w:noWrap w:val="0"/>
                  <w:vAlign w:val="center"/>
                </w:tcPr>
                <w:p w14:paraId="3BF18F64">
                  <w:pPr>
                    <w:widowControl/>
                    <w:rPr>
                      <w:rFonts w:hint="default" w:eastAsia="宋体"/>
                      <w:color w:val="auto"/>
                      <w:szCs w:val="21"/>
                      <w:highlight w:val="none"/>
                      <w:lang w:val="en-US" w:eastAsia="zh-CN"/>
                    </w:rPr>
                  </w:pPr>
                  <w:r>
                    <w:rPr>
                      <w:rFonts w:hint="eastAsia"/>
                      <w:color w:val="auto"/>
                      <w:szCs w:val="21"/>
                      <w:highlight w:val="none"/>
                    </w:rPr>
                    <w:t>项目行业类别为C3391黑色金属铸造。根据国家产业政策，查阅</w:t>
                  </w:r>
                  <w:r>
                    <w:rPr>
                      <w:rFonts w:hint="eastAsia"/>
                      <w:color w:val="auto"/>
                      <w:szCs w:val="21"/>
                      <w:highlight w:val="none"/>
                      <w:lang w:eastAsia="zh-CN"/>
                    </w:rPr>
                    <w:t>《产业结构调整指导目录（2024年本）》</w:t>
                  </w:r>
                  <w:r>
                    <w:rPr>
                      <w:rFonts w:hint="eastAsia"/>
                      <w:color w:val="auto"/>
                      <w:szCs w:val="21"/>
                      <w:highlight w:val="none"/>
                    </w:rPr>
                    <w:t>中可知，本项目不在鼓励类、限制类、淘汰类之列，可视为允许类，与镁铝及机电装备制造产业聚集区规划产业布局相符</w:t>
                  </w:r>
                  <w:r>
                    <w:rPr>
                      <w:rFonts w:hint="eastAsia"/>
                      <w:color w:val="auto"/>
                      <w:szCs w:val="21"/>
                      <w:highlight w:val="none"/>
                      <w:lang w:eastAsia="zh-CN"/>
                    </w:rPr>
                    <w:t>。</w:t>
                  </w:r>
                  <w:r>
                    <w:rPr>
                      <w:rFonts w:hint="eastAsia"/>
                      <w:color w:val="auto"/>
                      <w:szCs w:val="21"/>
                      <w:highlight w:val="none"/>
                      <w:lang w:val="en-US" w:eastAsia="zh-CN"/>
                    </w:rPr>
                    <w:t>本项目不涉及</w:t>
                  </w:r>
                  <w:r>
                    <w:rPr>
                      <w:rFonts w:hint="eastAsia"/>
                      <w:color w:val="auto"/>
                      <w:szCs w:val="21"/>
                      <w:highlight w:val="none"/>
                      <w:lang w:eastAsia="zh-CN"/>
                    </w:rPr>
                    <w:t>限制类和淘汰类工艺及设备。</w:t>
                  </w:r>
                  <w:r>
                    <w:rPr>
                      <w:rFonts w:hint="eastAsia"/>
                      <w:color w:val="auto"/>
                      <w:szCs w:val="21"/>
                      <w:highlight w:val="none"/>
                      <w:lang w:val="en-US" w:eastAsia="zh-CN"/>
                    </w:rPr>
                    <w:t>距离项目区最近敏感点为东南侧约324米的十里岗村，满足环境防护距离要求。</w:t>
                  </w:r>
                </w:p>
              </w:tc>
              <w:tc>
                <w:tcPr>
                  <w:tcW w:w="293" w:type="pct"/>
                  <w:tcBorders>
                    <w:tl2br w:val="nil"/>
                    <w:tr2bl w:val="nil"/>
                  </w:tcBorders>
                  <w:noWrap w:val="0"/>
                  <w:vAlign w:val="center"/>
                </w:tcPr>
                <w:p w14:paraId="20C4EB2B">
                  <w:pPr>
                    <w:jc w:val="center"/>
                    <w:rPr>
                      <w:rFonts w:hint="eastAsia"/>
                      <w:color w:val="auto"/>
                      <w:szCs w:val="21"/>
                      <w:highlight w:val="none"/>
                    </w:rPr>
                  </w:pPr>
                  <w:r>
                    <w:rPr>
                      <w:rFonts w:hint="eastAsia"/>
                      <w:color w:val="auto"/>
                      <w:szCs w:val="21"/>
                      <w:highlight w:val="none"/>
                    </w:rPr>
                    <w:t>符合</w:t>
                  </w:r>
                </w:p>
              </w:tc>
            </w:tr>
            <w:tr w14:paraId="672A067F">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682E5C19">
                  <w:pPr>
                    <w:jc w:val="center"/>
                    <w:rPr>
                      <w:rFonts w:hint="eastAsia" w:eastAsia="宋体"/>
                      <w:color w:val="auto"/>
                      <w:szCs w:val="21"/>
                      <w:highlight w:val="none"/>
                      <w:lang w:val="en-US" w:eastAsia="zh-CN"/>
                    </w:rPr>
                  </w:pPr>
                  <w:r>
                    <w:rPr>
                      <w:rFonts w:hint="eastAsia"/>
                      <w:color w:val="auto"/>
                      <w:szCs w:val="21"/>
                      <w:highlight w:val="none"/>
                      <w:lang w:val="en-US" w:eastAsia="zh-CN"/>
                    </w:rPr>
                    <w:t>6</w:t>
                  </w:r>
                </w:p>
              </w:tc>
              <w:tc>
                <w:tcPr>
                  <w:tcW w:w="3068" w:type="pct"/>
                  <w:tcBorders>
                    <w:tl2br w:val="nil"/>
                    <w:tr2bl w:val="nil"/>
                  </w:tcBorders>
                  <w:noWrap w:val="0"/>
                  <w:vAlign w:val="center"/>
                </w:tcPr>
                <w:p w14:paraId="0B7F0ADE">
                  <w:pPr>
                    <w:widowControl/>
                    <w:rPr>
                      <w:rFonts w:hint="eastAsia"/>
                      <w:color w:val="auto"/>
                      <w:szCs w:val="21"/>
                      <w:highlight w:val="none"/>
                    </w:rPr>
                  </w:pPr>
                  <w:r>
                    <w:rPr>
                      <w:rFonts w:hint="eastAsia"/>
                      <w:color w:val="auto"/>
                      <w:szCs w:val="21"/>
                      <w:highlight w:val="none"/>
                    </w:rPr>
                    <w:t>细化生态环境准入清单，推动高质量发展。根据国家和区域发展战略，结合区域生态环境质量现状、生态环境分区管控要求、“三区三线”成果等，严格落实《报告书》生态环境准入要求。严格执行国家产业政策，坚决遏制高耗能、高排放项目盲目发展，限制与规划主导产业不相关且污染物排放量大的项目，严禁不符合区域生态环境保护要求的项目。引进项目的生产工艺、设备、自动化水平，以及单位产品能耗、污染物排放、碳排放等不应低于国内同行业先进水平。</w:t>
                  </w:r>
                </w:p>
              </w:tc>
              <w:tc>
                <w:tcPr>
                  <w:tcW w:w="1336" w:type="pct"/>
                  <w:vMerge w:val="continue"/>
                  <w:tcBorders>
                    <w:tl2br w:val="nil"/>
                    <w:tr2bl w:val="nil"/>
                  </w:tcBorders>
                  <w:noWrap w:val="0"/>
                  <w:vAlign w:val="center"/>
                </w:tcPr>
                <w:p w14:paraId="51789928">
                  <w:pPr>
                    <w:widowControl/>
                    <w:rPr>
                      <w:rFonts w:hint="eastAsia"/>
                      <w:color w:val="auto"/>
                      <w:szCs w:val="21"/>
                      <w:highlight w:val="none"/>
                    </w:rPr>
                  </w:pPr>
                </w:p>
              </w:tc>
              <w:tc>
                <w:tcPr>
                  <w:tcW w:w="293" w:type="pct"/>
                  <w:tcBorders>
                    <w:tl2br w:val="nil"/>
                    <w:tr2bl w:val="nil"/>
                  </w:tcBorders>
                  <w:noWrap w:val="0"/>
                  <w:vAlign w:val="center"/>
                </w:tcPr>
                <w:p w14:paraId="0C5C8071">
                  <w:pPr>
                    <w:jc w:val="center"/>
                    <w:rPr>
                      <w:rFonts w:hint="eastAsia" w:eastAsia="宋体"/>
                      <w:color w:val="auto"/>
                      <w:szCs w:val="21"/>
                      <w:highlight w:val="none"/>
                      <w:lang w:val="en-US" w:eastAsia="zh-CN"/>
                    </w:rPr>
                  </w:pPr>
                  <w:r>
                    <w:rPr>
                      <w:rFonts w:hint="eastAsia"/>
                      <w:color w:val="auto"/>
                      <w:szCs w:val="21"/>
                      <w:highlight w:val="none"/>
                      <w:lang w:val="en-US" w:eastAsia="zh-CN"/>
                    </w:rPr>
                    <w:t>符合</w:t>
                  </w:r>
                </w:p>
              </w:tc>
            </w:tr>
            <w:tr w14:paraId="5388B1A0">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1378EC36">
                  <w:pPr>
                    <w:jc w:val="center"/>
                    <w:rPr>
                      <w:rFonts w:hint="eastAsia" w:eastAsia="宋体"/>
                      <w:color w:val="auto"/>
                      <w:szCs w:val="21"/>
                      <w:highlight w:val="none"/>
                      <w:lang w:val="en-US" w:eastAsia="zh-CN"/>
                    </w:rPr>
                  </w:pPr>
                  <w:r>
                    <w:rPr>
                      <w:rFonts w:hint="eastAsia"/>
                      <w:color w:val="auto"/>
                      <w:szCs w:val="21"/>
                      <w:highlight w:val="none"/>
                      <w:lang w:val="en-US" w:eastAsia="zh-CN"/>
                    </w:rPr>
                    <w:t>7</w:t>
                  </w:r>
                </w:p>
              </w:tc>
              <w:tc>
                <w:tcPr>
                  <w:tcW w:w="3068" w:type="pct"/>
                  <w:tcBorders>
                    <w:tl2br w:val="nil"/>
                    <w:tr2bl w:val="nil"/>
                  </w:tcBorders>
                  <w:noWrap w:val="0"/>
                  <w:vAlign w:val="center"/>
                </w:tcPr>
                <w:p w14:paraId="514F6E44">
                  <w:pPr>
                    <w:widowControl/>
                    <w:rPr>
                      <w:rFonts w:hint="eastAsia"/>
                      <w:color w:val="auto"/>
                      <w:szCs w:val="21"/>
                      <w:highlight w:val="none"/>
                    </w:rPr>
                  </w:pPr>
                  <w:r>
                    <w:rPr>
                      <w:rFonts w:hint="eastAsia"/>
                      <w:color w:val="auto"/>
                      <w:szCs w:val="21"/>
                      <w:highlight w:val="none"/>
                    </w:rPr>
                    <w:t>完善环保基础设施建设，强化环境污染防控。根据开发时序和开发强度要求，进一步优化区域供水、排水、供热等规划。结合区域环境质量现状，细化园区污染防治基础设施建设、排放和运行管理要求及应急处理处置方案，保障园区周边受纳水体的水环境功能、下游水环境保护目标及相关考核断面水质稳定达标。加快园区雨、污水管网建设。</w:t>
                  </w:r>
                </w:p>
              </w:tc>
              <w:tc>
                <w:tcPr>
                  <w:tcW w:w="1336" w:type="pct"/>
                  <w:tcBorders>
                    <w:tl2br w:val="nil"/>
                    <w:tr2bl w:val="nil"/>
                  </w:tcBorders>
                  <w:noWrap w:val="0"/>
                  <w:vAlign w:val="center"/>
                </w:tcPr>
                <w:p w14:paraId="224822CD">
                  <w:pPr>
                    <w:widowControl/>
                    <w:rPr>
                      <w:rFonts w:hint="eastAsia"/>
                      <w:color w:val="auto"/>
                      <w:szCs w:val="21"/>
                      <w:highlight w:val="none"/>
                    </w:rPr>
                  </w:pPr>
                  <w:r>
                    <w:rPr>
                      <w:rFonts w:hint="eastAsia"/>
                      <w:color w:val="auto"/>
                      <w:szCs w:val="21"/>
                      <w:highlight w:val="none"/>
                      <w:lang w:val="en-US" w:eastAsia="zh-CN"/>
                    </w:rPr>
                    <w:t>生活污水</w:t>
                  </w:r>
                  <w:r>
                    <w:rPr>
                      <w:rFonts w:hint="eastAsia"/>
                      <w:color w:val="auto"/>
                      <w:szCs w:val="21"/>
                      <w:highlight w:val="none"/>
                    </w:rPr>
                    <w:t>由厂区化粪池</w:t>
                  </w:r>
                  <w:r>
                    <w:rPr>
                      <w:rFonts w:hint="eastAsia"/>
                      <w:color w:val="auto"/>
                      <w:szCs w:val="21"/>
                      <w:highlight w:val="none"/>
                      <w:lang w:val="en-US" w:eastAsia="zh-CN"/>
                    </w:rPr>
                    <w:t>收集</w:t>
                  </w:r>
                  <w:r>
                    <w:rPr>
                      <w:rFonts w:hint="eastAsia"/>
                      <w:color w:val="auto"/>
                      <w:szCs w:val="21"/>
                      <w:highlight w:val="none"/>
                    </w:rPr>
                    <w:t>后经污水总排口接入市政污水管网，经新河镇污水处理厂处理后排入东山河。</w:t>
                  </w:r>
                </w:p>
              </w:tc>
              <w:tc>
                <w:tcPr>
                  <w:tcW w:w="293" w:type="pct"/>
                  <w:tcBorders>
                    <w:tl2br w:val="nil"/>
                    <w:tr2bl w:val="nil"/>
                  </w:tcBorders>
                  <w:noWrap w:val="0"/>
                  <w:vAlign w:val="center"/>
                </w:tcPr>
                <w:p w14:paraId="036D9705">
                  <w:pPr>
                    <w:jc w:val="center"/>
                    <w:rPr>
                      <w:rFonts w:hint="eastAsia" w:eastAsia="宋体"/>
                      <w:color w:val="auto"/>
                      <w:szCs w:val="21"/>
                      <w:highlight w:val="none"/>
                      <w:lang w:val="en-US" w:eastAsia="zh-CN"/>
                    </w:rPr>
                  </w:pPr>
                  <w:r>
                    <w:rPr>
                      <w:rFonts w:hint="eastAsia"/>
                      <w:color w:val="auto"/>
                      <w:szCs w:val="21"/>
                      <w:highlight w:val="none"/>
                      <w:lang w:val="en-US" w:eastAsia="zh-CN"/>
                    </w:rPr>
                    <w:t>符合</w:t>
                  </w:r>
                </w:p>
              </w:tc>
            </w:tr>
            <w:tr w14:paraId="73E5E720">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301" w:type="pct"/>
                  <w:tcBorders>
                    <w:tl2br w:val="nil"/>
                    <w:tr2bl w:val="nil"/>
                  </w:tcBorders>
                  <w:noWrap w:val="0"/>
                  <w:vAlign w:val="center"/>
                </w:tcPr>
                <w:p w14:paraId="459DB027">
                  <w:pPr>
                    <w:jc w:val="center"/>
                    <w:rPr>
                      <w:rFonts w:hint="default"/>
                      <w:color w:val="auto"/>
                      <w:szCs w:val="21"/>
                      <w:highlight w:val="none"/>
                      <w:lang w:val="en-US" w:eastAsia="zh-CN"/>
                    </w:rPr>
                  </w:pPr>
                  <w:r>
                    <w:rPr>
                      <w:rFonts w:hint="eastAsia"/>
                      <w:color w:val="auto"/>
                      <w:szCs w:val="21"/>
                      <w:highlight w:val="none"/>
                      <w:lang w:val="en-US" w:eastAsia="zh-CN"/>
                    </w:rPr>
                    <w:t>8</w:t>
                  </w:r>
                </w:p>
              </w:tc>
              <w:tc>
                <w:tcPr>
                  <w:tcW w:w="3068" w:type="pct"/>
                  <w:tcBorders>
                    <w:tl2br w:val="nil"/>
                    <w:tr2bl w:val="nil"/>
                  </w:tcBorders>
                  <w:noWrap w:val="0"/>
                  <w:vAlign w:val="center"/>
                </w:tcPr>
                <w:p w14:paraId="2A3E334D">
                  <w:pPr>
                    <w:widowControl/>
                    <w:rPr>
                      <w:rFonts w:hint="eastAsia"/>
                      <w:color w:val="auto"/>
                      <w:szCs w:val="21"/>
                      <w:highlight w:val="none"/>
                    </w:rPr>
                  </w:pPr>
                  <w:r>
                    <w:rPr>
                      <w:rFonts w:hint="eastAsia"/>
                      <w:color w:val="auto"/>
                      <w:szCs w:val="21"/>
                      <w:highlight w:val="none"/>
                    </w:rPr>
                    <w:t>（六）提升环境管理水平，加强生态环境风险防控。着力提升园区环境管理水平，统筹考虑区域内污染物排放、大气环境保护、水环境保护、环境风险防范、环境管理等要求，健全区域风险防范体系和生态安全保障体系，加强对园区内重要环境风险源的管控，完善环境风险防范应急措施。加强日常环境监管与监测，落实区域环境管理要求。做好园区重大环境风险源的识别与管控，确保事故废水与外环境有效隔离、及时处置。在规划实施过程中，适时开展规划环境影响的跟踪评价。</w:t>
                  </w:r>
                </w:p>
              </w:tc>
              <w:tc>
                <w:tcPr>
                  <w:tcW w:w="1336" w:type="pct"/>
                  <w:tcBorders>
                    <w:tl2br w:val="nil"/>
                    <w:tr2bl w:val="nil"/>
                  </w:tcBorders>
                  <w:noWrap w:val="0"/>
                  <w:vAlign w:val="center"/>
                </w:tcPr>
                <w:p w14:paraId="258C6863">
                  <w:pPr>
                    <w:widowControl/>
                    <w:rPr>
                      <w:rFonts w:hint="eastAsia"/>
                      <w:color w:val="auto"/>
                      <w:szCs w:val="21"/>
                      <w:highlight w:val="none"/>
                    </w:rPr>
                  </w:pPr>
                  <w:r>
                    <w:rPr>
                      <w:rFonts w:hint="eastAsia"/>
                      <w:color w:val="auto"/>
                      <w:szCs w:val="21"/>
                      <w:highlight w:val="none"/>
                    </w:rPr>
                    <w:t>本项目针对风险区域设置风险防范措施，并</w:t>
                  </w:r>
                  <w:r>
                    <w:rPr>
                      <w:rFonts w:hint="eastAsia"/>
                      <w:color w:val="auto"/>
                      <w:szCs w:val="21"/>
                      <w:highlight w:val="none"/>
                      <w:lang w:val="en-US" w:eastAsia="zh-CN"/>
                    </w:rPr>
                    <w:t>制定</w:t>
                  </w:r>
                  <w:r>
                    <w:rPr>
                      <w:rFonts w:hint="eastAsia"/>
                      <w:color w:val="auto"/>
                      <w:szCs w:val="21"/>
                      <w:highlight w:val="none"/>
                    </w:rPr>
                    <w:t>日常监测计划，确保企业安全生产。</w:t>
                  </w:r>
                </w:p>
              </w:tc>
              <w:tc>
                <w:tcPr>
                  <w:tcW w:w="293" w:type="pct"/>
                  <w:tcBorders>
                    <w:tl2br w:val="nil"/>
                    <w:tr2bl w:val="nil"/>
                  </w:tcBorders>
                  <w:noWrap w:val="0"/>
                  <w:vAlign w:val="center"/>
                </w:tcPr>
                <w:p w14:paraId="06191DAC">
                  <w:pPr>
                    <w:jc w:val="center"/>
                    <w:rPr>
                      <w:rFonts w:hint="default"/>
                      <w:color w:val="auto"/>
                      <w:szCs w:val="21"/>
                      <w:highlight w:val="none"/>
                      <w:lang w:val="en-US" w:eastAsia="zh-CN"/>
                    </w:rPr>
                  </w:pPr>
                  <w:r>
                    <w:rPr>
                      <w:rFonts w:hint="eastAsia"/>
                      <w:color w:val="auto"/>
                      <w:szCs w:val="21"/>
                      <w:highlight w:val="none"/>
                      <w:lang w:val="en-US" w:eastAsia="zh-CN"/>
                    </w:rPr>
                    <w:t>符合</w:t>
                  </w:r>
                </w:p>
              </w:tc>
            </w:tr>
          </w:tbl>
          <w:p w14:paraId="7C6398D4">
            <w:pPr>
              <w:pStyle w:val="65"/>
              <w:rPr>
                <w:rFonts w:hint="default"/>
                <w:color w:val="auto"/>
              </w:rPr>
            </w:pPr>
            <w:r>
              <w:rPr>
                <w:rFonts w:hint="eastAsia"/>
                <w:color w:val="auto"/>
                <w:kern w:val="0"/>
                <w:sz w:val="24"/>
                <w:highlight w:val="none"/>
                <w:lang w:val="en-US" w:eastAsia="zh-CN"/>
              </w:rPr>
              <w:t>综上，</w:t>
            </w:r>
            <w:r>
              <w:rPr>
                <w:rFonts w:hint="eastAsia"/>
                <w:color w:val="auto"/>
                <w:kern w:val="0"/>
                <w:sz w:val="24"/>
                <w:highlight w:val="none"/>
              </w:rPr>
              <w:t>本项目</w:t>
            </w:r>
            <w:r>
              <w:rPr>
                <w:rFonts w:hint="eastAsia"/>
                <w:color w:val="auto"/>
                <w:kern w:val="0"/>
                <w:sz w:val="24"/>
                <w:highlight w:val="none"/>
                <w:lang w:val="en-US" w:eastAsia="zh-CN"/>
              </w:rPr>
              <w:t>符合《</w:t>
            </w:r>
            <w:r>
              <w:rPr>
                <w:rFonts w:hint="eastAsia"/>
                <w:color w:val="auto"/>
                <w:kern w:val="0"/>
                <w:sz w:val="24"/>
                <w:highlight w:val="none"/>
              </w:rPr>
              <w:t>镁铝及机电装备制造产业集聚区规划环境影响报告书》及其审查意见要求。</w:t>
            </w:r>
          </w:p>
        </w:tc>
      </w:tr>
      <w:tr w14:paraId="5D7B2F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62" w:type="dxa"/>
            <w:noWrap w:val="0"/>
            <w:vAlign w:val="center"/>
          </w:tcPr>
          <w:p w14:paraId="0D121EEF">
            <w:pPr>
              <w:keepNext w:val="0"/>
              <w:keepLines w:val="0"/>
              <w:pageBreakBefore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其他符合性分析</w:t>
            </w:r>
          </w:p>
        </w:tc>
        <w:tc>
          <w:tcPr>
            <w:tcW w:w="7298" w:type="dxa"/>
            <w:gridSpan w:val="3"/>
            <w:noWrap w:val="0"/>
            <w:vAlign w:val="center"/>
          </w:tcPr>
          <w:p w14:paraId="261E115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lang w:val="en-US" w:eastAsia="zh-CN"/>
              </w:rPr>
              <w:t>选址</w:t>
            </w:r>
          </w:p>
          <w:p w14:paraId="68CAFB3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本项目位于</w:t>
            </w:r>
            <w:r>
              <w:rPr>
                <w:rFonts w:hint="eastAsia" w:cs="Times New Roman"/>
                <w:color w:val="auto"/>
                <w:kern w:val="0"/>
                <w:sz w:val="24"/>
                <w:szCs w:val="24"/>
                <w:highlight w:val="none"/>
                <w:lang w:val="en-US" w:eastAsia="zh-CN"/>
              </w:rPr>
              <w:t>青阳县新河镇镁铝及机电装备制造产业集聚区</w:t>
            </w:r>
            <w:r>
              <w:rPr>
                <w:rFonts w:hint="default" w:ascii="Times New Roman" w:hAnsi="Times New Roman" w:eastAsia="宋体" w:cs="Times New Roman"/>
                <w:color w:val="auto"/>
                <w:kern w:val="0"/>
                <w:sz w:val="24"/>
                <w:szCs w:val="24"/>
                <w:highlight w:val="none"/>
                <w:lang w:val="en-US" w:eastAsia="zh-CN"/>
              </w:rPr>
              <w:t>，项目所在地地理位置优越，交通便利。根据项目周边环境的现场踏勘情况，对照《</w:t>
            </w:r>
            <w:r>
              <w:rPr>
                <w:rFonts w:hint="default" w:ascii="Times New Roman" w:hAnsi="Times New Roman" w:eastAsia="宋体" w:cs="Times New Roman"/>
                <w:color w:val="auto"/>
                <w:kern w:val="2"/>
                <w:sz w:val="24"/>
                <w:szCs w:val="24"/>
                <w:lang w:val="en-US" w:eastAsia="zh-CN" w:bidi="ar-SA"/>
              </w:rPr>
              <w:t>青阳县新河镇镁铝及机电装备制造产业集聚区</w:t>
            </w:r>
            <w:r>
              <w:rPr>
                <w:rFonts w:hint="default" w:ascii="Times New Roman" w:hAnsi="Times New Roman" w:eastAsia="宋体" w:cs="Times New Roman"/>
                <w:color w:val="auto"/>
                <w:kern w:val="0"/>
                <w:sz w:val="24"/>
                <w:szCs w:val="24"/>
                <w:highlight w:val="none"/>
                <w:lang w:val="en-US" w:eastAsia="zh-CN"/>
              </w:rPr>
              <w:t>》中土地利用规划图，本项目属于工业用地</w:t>
            </w:r>
            <w:r>
              <w:rPr>
                <w:rFonts w:hint="eastAsia"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rPr>
              <w:t>项目所在地周边为</w:t>
            </w:r>
            <w:r>
              <w:rPr>
                <w:rFonts w:hint="eastAsia" w:ascii="Times New Roman" w:hAnsi="Times New Roman" w:eastAsia="宋体" w:cs="Times New Roman"/>
                <w:color w:val="auto"/>
                <w:kern w:val="0"/>
                <w:sz w:val="24"/>
                <w:szCs w:val="24"/>
                <w:highlight w:val="none"/>
                <w:lang w:val="en-US" w:eastAsia="zh-CN"/>
              </w:rPr>
              <w:t>园区其他</w:t>
            </w:r>
            <w:r>
              <w:rPr>
                <w:rFonts w:hint="default" w:ascii="Times New Roman" w:hAnsi="Times New Roman" w:eastAsia="宋体" w:cs="Times New Roman"/>
                <w:color w:val="auto"/>
                <w:kern w:val="0"/>
                <w:sz w:val="24"/>
                <w:szCs w:val="24"/>
                <w:highlight w:val="none"/>
                <w:lang w:val="en-US" w:eastAsia="zh-CN"/>
              </w:rPr>
              <w:t>工业企业</w:t>
            </w:r>
            <w:r>
              <w:rPr>
                <w:rFonts w:hint="eastAsia" w:ascii="Times New Roman" w:hAnsi="Times New Roman" w:eastAsia="宋体" w:cs="Times New Roman"/>
                <w:color w:val="auto"/>
                <w:kern w:val="0"/>
                <w:sz w:val="24"/>
                <w:szCs w:val="24"/>
                <w:highlight w:val="none"/>
                <w:lang w:val="en-US" w:eastAsia="zh-CN"/>
              </w:rPr>
              <w:t>及道路等（见附图）</w:t>
            </w:r>
            <w:r>
              <w:rPr>
                <w:rFonts w:hint="default" w:ascii="Times New Roman" w:hAnsi="Times New Roman" w:eastAsia="宋体" w:cs="Times New Roman"/>
                <w:color w:val="auto"/>
                <w:kern w:val="0"/>
                <w:sz w:val="24"/>
                <w:szCs w:val="24"/>
                <w:highlight w:val="none"/>
                <w:lang w:val="en-US" w:eastAsia="zh-CN"/>
              </w:rPr>
              <w:t>，距离</w:t>
            </w:r>
            <w:r>
              <w:rPr>
                <w:rFonts w:hint="eastAsia" w:ascii="Times New Roman" w:hAnsi="Times New Roman" w:eastAsia="宋体" w:cs="Times New Roman"/>
                <w:color w:val="auto"/>
                <w:kern w:val="0"/>
                <w:sz w:val="24"/>
                <w:szCs w:val="24"/>
                <w:highlight w:val="none"/>
                <w:lang w:val="en-US" w:eastAsia="zh-CN"/>
              </w:rPr>
              <w:t>项目地东南侧十里岗村约324m、西侧十里岗村委会约467m、西侧公安局安全联勤办公室约402m</w:t>
            </w:r>
            <w:r>
              <w:rPr>
                <w:rFonts w:hint="default" w:ascii="Times New Roman" w:hAnsi="Times New Roman" w:eastAsia="宋体" w:cs="Times New Roman"/>
                <w:color w:val="auto"/>
                <w:kern w:val="0"/>
                <w:sz w:val="24"/>
                <w:szCs w:val="24"/>
                <w:highlight w:val="none"/>
                <w:lang w:val="en-US" w:eastAsia="zh-CN"/>
              </w:rPr>
              <w:t>。</w:t>
            </w:r>
          </w:p>
          <w:p w14:paraId="459B38D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项目所在</w:t>
            </w:r>
            <w:r>
              <w:rPr>
                <w:rFonts w:hint="eastAsia" w:cs="Times New Roman"/>
                <w:color w:val="auto"/>
                <w:kern w:val="0"/>
                <w:sz w:val="24"/>
                <w:szCs w:val="24"/>
                <w:highlight w:val="none"/>
                <w:lang w:val="en-US" w:eastAsia="zh-CN"/>
              </w:rPr>
              <w:t>青阳县新河镇镁铝及机电装备制造产业集聚区</w:t>
            </w:r>
            <w:r>
              <w:rPr>
                <w:rFonts w:hint="eastAsia" w:ascii="Times New Roman" w:hAnsi="Times New Roman" w:eastAsia="宋体" w:cs="Times New Roman"/>
                <w:color w:val="auto"/>
                <w:kern w:val="0"/>
                <w:sz w:val="24"/>
                <w:szCs w:val="24"/>
                <w:highlight w:val="none"/>
                <w:lang w:val="en-US" w:eastAsia="zh-CN"/>
              </w:rPr>
              <w:t>目前相关市政管网已基本铺设到位，项目废水可通过园区市政管网排入污水处理厂；项目各废气分别经相应废气治理措施处理达标后，分别通过相应的排气筒排放；</w:t>
            </w:r>
            <w:r>
              <w:rPr>
                <w:rFonts w:hint="eastAsia" w:ascii="Times New Roman" w:hAnsi="Times New Roman" w:cs="Times New Roman"/>
                <w:color w:val="auto"/>
                <w:kern w:val="0"/>
                <w:sz w:val="24"/>
                <w:szCs w:val="24"/>
                <w:highlight w:val="none"/>
                <w:lang w:val="en-US" w:eastAsia="zh-CN"/>
              </w:rPr>
              <w:t>项目产生的危险废物均收集暂存后交由有资质单位处理，一般固体废物均得到妥善处理。故</w:t>
            </w:r>
            <w:r>
              <w:rPr>
                <w:rFonts w:hint="eastAsia" w:ascii="Times New Roman" w:hAnsi="Times New Roman" w:eastAsia="宋体" w:cs="Times New Roman"/>
                <w:color w:val="auto"/>
                <w:kern w:val="0"/>
                <w:sz w:val="24"/>
                <w:szCs w:val="24"/>
                <w:highlight w:val="none"/>
                <w:lang w:val="en-US" w:eastAsia="zh-CN"/>
              </w:rPr>
              <w:t>项目各项污染对环境的影响较小。</w:t>
            </w:r>
          </w:p>
          <w:p w14:paraId="343AD43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综上所述，项目选址是可行的。</w:t>
            </w:r>
          </w:p>
          <w:p w14:paraId="5450578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lang w:val="en-US" w:eastAsia="zh-CN"/>
              </w:rPr>
              <w:t>产业政策符合性分析</w:t>
            </w:r>
          </w:p>
          <w:p w14:paraId="2812A89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color w:val="auto"/>
                <w:kern w:val="0"/>
                <w:sz w:val="24"/>
                <w:highlight w:val="none"/>
                <w:lang w:eastAsia="zh-CN" w:bidi="ar"/>
              </w:rPr>
            </w:pPr>
            <w:r>
              <w:rPr>
                <w:color w:val="auto"/>
                <w:kern w:val="0"/>
                <w:sz w:val="24"/>
                <w:szCs w:val="20"/>
                <w:highlight w:val="none"/>
              </w:rPr>
              <w:t>项目属于</w:t>
            </w:r>
            <w:r>
              <w:rPr>
                <w:rFonts w:hint="eastAsia"/>
                <w:color w:val="auto"/>
                <w:kern w:val="0"/>
                <w:sz w:val="24"/>
                <w:szCs w:val="20"/>
                <w:highlight w:val="none"/>
              </w:rPr>
              <w:t>C3391黑色金属铸造</w:t>
            </w:r>
            <w:r>
              <w:rPr>
                <w:rFonts w:hint="eastAsia"/>
                <w:bCs/>
                <w:color w:val="auto"/>
                <w:kern w:val="0"/>
                <w:sz w:val="24"/>
                <w:szCs w:val="20"/>
                <w:highlight w:val="none"/>
                <w:lang w:eastAsia="zh-CN"/>
              </w:rPr>
              <w:t>。</w:t>
            </w:r>
            <w:r>
              <w:rPr>
                <w:color w:val="auto"/>
                <w:kern w:val="0"/>
                <w:sz w:val="24"/>
                <w:highlight w:val="none"/>
                <w:lang w:bidi="ar"/>
              </w:rPr>
              <w:t>根据</w:t>
            </w:r>
            <w:r>
              <w:rPr>
                <w:rFonts w:hint="eastAsia"/>
                <w:color w:val="auto"/>
                <w:kern w:val="0"/>
                <w:sz w:val="24"/>
                <w:highlight w:val="none"/>
                <w:lang w:eastAsia="zh-CN" w:bidi="ar"/>
              </w:rPr>
              <w:t>国家发展改革委</w:t>
            </w:r>
            <w:r>
              <w:rPr>
                <w:color w:val="auto"/>
                <w:kern w:val="0"/>
                <w:sz w:val="24"/>
                <w:highlight w:val="none"/>
                <w:lang w:bidi="ar"/>
              </w:rPr>
              <w:t>发布的《产业结构调整指导目录（</w:t>
            </w:r>
            <w:r>
              <w:rPr>
                <w:rFonts w:eastAsia="TimesNewRomanPSMT"/>
                <w:color w:val="auto"/>
                <w:kern w:val="0"/>
                <w:sz w:val="24"/>
                <w:highlight w:val="none"/>
                <w:lang w:bidi="ar"/>
              </w:rPr>
              <w:t>20</w:t>
            </w:r>
            <w:r>
              <w:rPr>
                <w:rFonts w:hint="eastAsia" w:eastAsia="宋体"/>
                <w:color w:val="auto"/>
                <w:kern w:val="0"/>
                <w:sz w:val="24"/>
                <w:highlight w:val="none"/>
                <w:lang w:val="en-US" w:eastAsia="zh-CN" w:bidi="ar"/>
              </w:rPr>
              <w:t>24</w:t>
            </w:r>
            <w:r>
              <w:rPr>
                <w:color w:val="auto"/>
                <w:kern w:val="0"/>
                <w:sz w:val="24"/>
                <w:highlight w:val="none"/>
                <w:lang w:bidi="ar"/>
              </w:rPr>
              <w:t>年本）》的相关要求，本项目不属于该文件明文规定限制</w:t>
            </w:r>
            <w:r>
              <w:rPr>
                <w:rFonts w:hint="eastAsia"/>
                <w:color w:val="auto"/>
                <w:kern w:val="0"/>
                <w:sz w:val="24"/>
                <w:highlight w:val="none"/>
                <w:lang w:val="en-US" w:eastAsia="zh-CN" w:bidi="ar"/>
              </w:rPr>
              <w:t>类或</w:t>
            </w:r>
            <w:r>
              <w:rPr>
                <w:color w:val="auto"/>
                <w:kern w:val="0"/>
                <w:sz w:val="24"/>
                <w:highlight w:val="none"/>
                <w:lang w:bidi="ar"/>
              </w:rPr>
              <w:t>淘汰类产业</w:t>
            </w:r>
            <w:r>
              <w:rPr>
                <w:rFonts w:hint="eastAsia"/>
                <w:color w:val="auto"/>
                <w:kern w:val="0"/>
                <w:sz w:val="24"/>
                <w:highlight w:val="none"/>
                <w:lang w:eastAsia="zh-CN" w:bidi="ar"/>
              </w:rPr>
              <w:t>。</w:t>
            </w:r>
          </w:p>
          <w:p w14:paraId="7F57CF4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kern w:val="0"/>
                <w:sz w:val="24"/>
                <w:highlight w:val="none"/>
                <w:lang w:eastAsia="zh-CN" w:bidi="ar"/>
              </w:rPr>
            </w:pPr>
            <w:r>
              <w:rPr>
                <w:color w:val="auto"/>
                <w:kern w:val="0"/>
                <w:sz w:val="24"/>
                <w:highlight w:val="none"/>
                <w:lang w:bidi="ar"/>
              </w:rPr>
              <w:t>根据国家发展改革委、商务部会同各地区各有关部门制定的《市场准入负面清单（</w:t>
            </w:r>
            <w:r>
              <w:rPr>
                <w:rFonts w:eastAsia="TimesNewRomanPSMT"/>
                <w:color w:val="auto"/>
                <w:kern w:val="0"/>
                <w:sz w:val="24"/>
                <w:highlight w:val="none"/>
                <w:lang w:bidi="ar"/>
              </w:rPr>
              <w:t>202</w:t>
            </w:r>
            <w:r>
              <w:rPr>
                <w:rFonts w:hint="eastAsia" w:eastAsia="宋体"/>
                <w:color w:val="auto"/>
                <w:kern w:val="0"/>
                <w:sz w:val="24"/>
                <w:highlight w:val="none"/>
                <w:lang w:val="en-US" w:eastAsia="zh-CN" w:bidi="ar"/>
              </w:rPr>
              <w:t>5</w:t>
            </w:r>
            <w:r>
              <w:rPr>
                <w:color w:val="auto"/>
                <w:kern w:val="0"/>
                <w:sz w:val="24"/>
                <w:highlight w:val="none"/>
                <w:lang w:bidi="ar"/>
              </w:rPr>
              <w:t>年版）》，本项目不属</w:t>
            </w:r>
            <w:r>
              <w:rPr>
                <w:rFonts w:hint="eastAsia" w:ascii="宋体" w:hAnsi="宋体" w:eastAsia="宋体" w:cs="宋体"/>
                <w:color w:val="auto"/>
                <w:kern w:val="0"/>
                <w:sz w:val="24"/>
                <w:highlight w:val="none"/>
                <w:lang w:bidi="ar"/>
              </w:rPr>
              <w:t>于“与市场准入相关的禁止性规定”中的“制造业”禁止措施，亦不属于“市场准入负面清单”中的“禁止准入类”</w:t>
            </w:r>
            <w:r>
              <w:rPr>
                <w:rFonts w:hint="eastAsia" w:ascii="宋体" w:hAnsi="宋体" w:eastAsia="宋体" w:cs="宋体"/>
                <w:color w:val="auto"/>
                <w:kern w:val="0"/>
                <w:sz w:val="24"/>
                <w:highlight w:val="none"/>
                <w:lang w:eastAsia="zh-CN" w:bidi="ar"/>
              </w:rPr>
              <w:t>。</w:t>
            </w:r>
          </w:p>
          <w:p w14:paraId="622F43D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lang w:bidi="ar"/>
              </w:rPr>
            </w:pPr>
            <w:r>
              <w:rPr>
                <w:rFonts w:hint="default" w:ascii="Times New Roman" w:hAnsi="Times New Roman" w:eastAsia="宋体" w:cs="Times New Roman"/>
                <w:color w:val="auto"/>
                <w:kern w:val="0"/>
                <w:sz w:val="24"/>
                <w:szCs w:val="24"/>
                <w:highlight w:val="none"/>
                <w:lang w:bidi="ar"/>
              </w:rPr>
              <w:t>根据《长江经济带发展负面清单实施细则》“禁止新建、扩建不符合国家石化、现代煤化工等产业布局规划的项目；禁止新建、扩建法律法规和相关政策明令禁止的落后产能项目；禁止新建、扩建不符合国家产能置换要求的钢</w:t>
            </w:r>
            <w:r>
              <w:rPr>
                <w:rFonts w:hint="default" w:ascii="Times New Roman" w:hAnsi="Times New Roman" w:eastAsia="宋体" w:cs="Times New Roman"/>
                <w:b w:val="0"/>
                <w:bCs w:val="0"/>
                <w:color w:val="auto"/>
                <w:kern w:val="0"/>
                <w:sz w:val="24"/>
                <w:szCs w:val="24"/>
                <w:highlight w:val="none"/>
                <w:lang w:bidi="ar"/>
              </w:rPr>
              <w:t>铁，水泥、电解铝、平板玻璃等严重过剩产能行业的项目”，本项目</w:t>
            </w:r>
            <w:r>
              <w:rPr>
                <w:rFonts w:hint="default" w:ascii="Times New Roman" w:hAnsi="Times New Roman" w:eastAsia="宋体" w:cs="Times New Roman"/>
                <w:b w:val="0"/>
                <w:bCs w:val="0"/>
                <w:color w:val="auto"/>
                <w:kern w:val="0"/>
                <w:sz w:val="24"/>
                <w:szCs w:val="24"/>
                <w:highlight w:val="none"/>
                <w:u w:val="none"/>
                <w:lang w:bidi="ar"/>
              </w:rPr>
              <w:t>不属于该细则中的禁止新建、扩建项目</w:t>
            </w:r>
            <w:r>
              <w:rPr>
                <w:rFonts w:hint="default" w:ascii="Times New Roman" w:hAnsi="Times New Roman" w:eastAsia="宋体" w:cs="Times New Roman"/>
                <w:b w:val="0"/>
                <w:bCs w:val="0"/>
                <w:color w:val="auto"/>
                <w:kern w:val="0"/>
                <w:sz w:val="24"/>
                <w:szCs w:val="24"/>
                <w:highlight w:val="none"/>
                <w:lang w:bidi="ar"/>
              </w:rPr>
              <w:t>。</w:t>
            </w:r>
          </w:p>
          <w:p w14:paraId="3570A2C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kern w:val="0"/>
                <w:sz w:val="24"/>
                <w:szCs w:val="24"/>
                <w:highlight w:val="none"/>
                <w:lang w:eastAsia="zh-CN" w:bidi="ar"/>
              </w:rPr>
            </w:pPr>
            <w:r>
              <w:rPr>
                <w:rFonts w:hint="default" w:ascii="Times New Roman" w:hAnsi="Times New Roman" w:eastAsia="宋体" w:cs="Times New Roman"/>
                <w:color w:val="auto"/>
                <w:kern w:val="0"/>
                <w:sz w:val="24"/>
                <w:szCs w:val="24"/>
                <w:highlight w:val="none"/>
                <w:lang w:val="en-US" w:eastAsia="zh-CN" w:bidi="ar"/>
              </w:rPr>
              <w:t>综上</w:t>
            </w:r>
            <w:r>
              <w:rPr>
                <w:rFonts w:hint="default" w:ascii="Times New Roman" w:hAnsi="Times New Roman" w:eastAsia="宋体" w:cs="Times New Roman"/>
                <w:color w:val="auto"/>
                <w:kern w:val="0"/>
                <w:sz w:val="24"/>
                <w:szCs w:val="24"/>
                <w:highlight w:val="none"/>
                <w:lang w:bidi="ar"/>
              </w:rPr>
              <w:t>，本项目的建设符合国家和地方相关产业政策的要求</w:t>
            </w:r>
            <w:r>
              <w:rPr>
                <w:rFonts w:hint="eastAsia" w:ascii="Times New Roman" w:hAnsi="Times New Roman" w:eastAsia="宋体" w:cs="Times New Roman"/>
                <w:color w:val="auto"/>
                <w:kern w:val="0"/>
                <w:sz w:val="24"/>
                <w:szCs w:val="24"/>
                <w:highlight w:val="none"/>
                <w:lang w:eastAsia="zh-CN" w:bidi="ar"/>
              </w:rPr>
              <w:t>。</w:t>
            </w:r>
          </w:p>
          <w:p w14:paraId="7D68E11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与安徽省生态环境厅《关于印发安徽省“三线一单”生态环境分区管控管理办法（暂行）》的通知（皖环发</w:t>
            </w:r>
            <w:r>
              <w:rPr>
                <w:rFonts w:hint="eastAsia" w:cs="Times New Roman"/>
                <w:b/>
                <w:bCs/>
                <w:color w:val="auto"/>
                <w:kern w:val="2"/>
                <w:sz w:val="24"/>
                <w:szCs w:val="24"/>
                <w:lang w:val="en-US" w:eastAsia="zh-CN"/>
              </w:rPr>
              <w:t>〔2022〕5号</w:t>
            </w:r>
            <w:r>
              <w:rPr>
                <w:rFonts w:hint="default" w:ascii="Times New Roman" w:hAnsi="Times New Roman" w:eastAsia="宋体" w:cs="Times New Roman"/>
                <w:b/>
                <w:bCs/>
                <w:color w:val="auto"/>
                <w:kern w:val="2"/>
                <w:sz w:val="24"/>
                <w:szCs w:val="24"/>
                <w:lang w:val="en-US" w:eastAsia="zh-CN"/>
              </w:rPr>
              <w:t>）、《长江经济带战略环境评价安徽省</w:t>
            </w:r>
            <w:r>
              <w:rPr>
                <w:rFonts w:hint="eastAsia" w:ascii="Times New Roman" w:hAnsi="Times New Roman" w:eastAsia="宋体" w:cs="Times New Roman"/>
                <w:b/>
                <w:bCs/>
                <w:color w:val="auto"/>
                <w:kern w:val="2"/>
                <w:sz w:val="24"/>
                <w:szCs w:val="24"/>
                <w:lang w:val="en-US" w:eastAsia="zh-CN"/>
              </w:rPr>
              <w:t>池州市</w:t>
            </w:r>
            <w:r>
              <w:rPr>
                <w:rFonts w:hint="default" w:ascii="Times New Roman" w:hAnsi="Times New Roman" w:eastAsia="宋体" w:cs="Times New Roman"/>
                <w:b/>
                <w:bCs/>
                <w:color w:val="auto"/>
                <w:kern w:val="2"/>
                <w:sz w:val="24"/>
                <w:szCs w:val="24"/>
                <w:lang w:val="en-US" w:eastAsia="zh-CN"/>
              </w:rPr>
              <w:t>“三线一单”文本》符合性分析</w:t>
            </w:r>
          </w:p>
          <w:p w14:paraId="439A3DE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根据《关于以改善环境质量为核心加强环境影响评价管理的通知》（环评</w:t>
            </w:r>
            <w:r>
              <w:rPr>
                <w:rFonts w:hint="eastAsia" w:cs="Times New Roman"/>
                <w:color w:val="auto"/>
                <w:sz w:val="24"/>
                <w:szCs w:val="24"/>
                <w:highlight w:val="none"/>
                <w:lang w:eastAsia="zh-CN"/>
              </w:rPr>
              <w:t>〔2016〕150号</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为适应以改善环境质量为核心的环境管理要求，切实加强环境影响评价（以下简称环评）管理，落实</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生态保护红线、环境质量底线、资源利用上线和环境准入负面清单</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（以下简称</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三线一单</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）约束</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w:t>
            </w:r>
          </w:p>
          <w:p w14:paraId="2672055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结合</w:t>
            </w:r>
            <w:r>
              <w:rPr>
                <w:rFonts w:hint="eastAsia" w:ascii="Times New Roman" w:hAnsi="Times New Roman" w:eastAsia="宋体" w:cs="Times New Roman"/>
                <w:color w:val="auto"/>
                <w:sz w:val="24"/>
                <w:szCs w:val="24"/>
                <w:highlight w:val="none"/>
                <w:lang w:val="en-US" w:eastAsia="zh-CN"/>
              </w:rPr>
              <w:t>池州</w:t>
            </w:r>
            <w:r>
              <w:rPr>
                <w:rFonts w:hint="default" w:ascii="Times New Roman" w:hAnsi="Times New Roman" w:eastAsia="宋体" w:cs="Times New Roman"/>
                <w:color w:val="auto"/>
                <w:sz w:val="24"/>
                <w:szCs w:val="24"/>
                <w:highlight w:val="none"/>
              </w:rPr>
              <w:t>生态红线、环境质量底线、资源利用上线、</w:t>
            </w:r>
            <w:r>
              <w:rPr>
                <w:rFonts w:hint="eastAsia" w:ascii="Times New Roman" w:hAnsi="Times New Roman" w:eastAsia="宋体" w:cs="Times New Roman"/>
                <w:color w:val="auto"/>
                <w:sz w:val="24"/>
                <w:szCs w:val="24"/>
                <w:highlight w:val="none"/>
                <w:lang w:val="en-US" w:eastAsia="zh-CN"/>
              </w:rPr>
              <w:t>生态环境准入清单</w:t>
            </w:r>
            <w:r>
              <w:rPr>
                <w:rFonts w:hint="default" w:ascii="Times New Roman" w:hAnsi="Times New Roman" w:eastAsia="宋体" w:cs="Times New Roman"/>
                <w:color w:val="auto"/>
                <w:sz w:val="24"/>
                <w:szCs w:val="24"/>
                <w:highlight w:val="none"/>
              </w:rPr>
              <w:t>分析，项</w:t>
            </w:r>
            <w:r>
              <w:rPr>
                <w:rFonts w:hint="default" w:ascii="Times New Roman" w:hAnsi="Times New Roman" w:eastAsia="宋体" w:cs="Times New Roman"/>
                <w:color w:val="auto"/>
                <w:kern w:val="0"/>
                <w:sz w:val="24"/>
                <w:szCs w:val="24"/>
                <w:highlight w:val="none"/>
                <w:lang w:val="en-US" w:eastAsia="zh-CN"/>
              </w:rPr>
              <w:t>目</w:t>
            </w:r>
            <w:r>
              <w:rPr>
                <w:rFonts w:hint="eastAsia"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rPr>
              <w:t>三线一单</w:t>
            </w:r>
            <w:r>
              <w:rPr>
                <w:rFonts w:hint="eastAsia"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rPr>
              <w:t>符合性分析如下：</w:t>
            </w:r>
          </w:p>
          <w:p w14:paraId="3469657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（1）</w:t>
            </w:r>
            <w:r>
              <w:rPr>
                <w:rFonts w:hint="default" w:ascii="Times New Roman" w:hAnsi="Times New Roman" w:eastAsia="宋体" w:cs="Times New Roman"/>
                <w:b/>
                <w:bCs/>
                <w:color w:val="auto"/>
                <w:kern w:val="0"/>
                <w:sz w:val="24"/>
                <w:szCs w:val="24"/>
                <w:highlight w:val="none"/>
                <w:lang w:val="en-US" w:eastAsia="zh-CN"/>
              </w:rPr>
              <w:t>生态保护红线</w:t>
            </w:r>
          </w:p>
          <w:p w14:paraId="1CE64D22">
            <w:pPr>
              <w:spacing w:line="360" w:lineRule="auto"/>
              <w:ind w:firstLine="480" w:firstLineChars="200"/>
              <w:rPr>
                <w:rFonts w:hint="eastAsia"/>
                <w:color w:val="auto"/>
                <w:sz w:val="24"/>
              </w:rPr>
            </w:pPr>
            <w:r>
              <w:rPr>
                <w:rFonts w:hint="eastAsia"/>
                <w:color w:val="auto"/>
                <w:sz w:val="24"/>
              </w:rPr>
              <w:t>本次项目位于青阳县新河镇镁铝及机电装备制造产业集聚区，项目占地范围内无生态特殊及重要敏感区，项目建设不涉及自然保护区、风景名胜区、地质公园等敏感区，不在生态保护红线范围内（图1-1）。</w:t>
            </w:r>
          </w:p>
          <w:p w14:paraId="26F8A00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2" w:firstLineChars="200"/>
              <w:jc w:val="both"/>
              <w:textAlignment w:val="auto"/>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（2）环境质量底线及分区管控</w:t>
            </w:r>
          </w:p>
          <w:p w14:paraId="37D6487E">
            <w:pPr>
              <w:spacing w:line="360" w:lineRule="auto"/>
              <w:ind w:firstLine="480" w:firstLineChars="200"/>
              <w:rPr>
                <w:rFonts w:hint="eastAsia"/>
                <w:color w:val="auto"/>
                <w:sz w:val="24"/>
              </w:rPr>
            </w:pPr>
            <w:r>
              <w:rPr>
                <w:rFonts w:hint="eastAsia"/>
                <w:color w:val="auto"/>
                <w:sz w:val="24"/>
              </w:rPr>
              <w:t>①水环境质量底线及分区管控</w:t>
            </w:r>
          </w:p>
          <w:p w14:paraId="0B5AA214">
            <w:pPr>
              <w:spacing w:line="360" w:lineRule="auto"/>
              <w:ind w:firstLine="480" w:firstLineChars="200"/>
              <w:rPr>
                <w:rFonts w:hint="eastAsia"/>
                <w:color w:val="auto"/>
                <w:sz w:val="24"/>
              </w:rPr>
            </w:pPr>
            <w:r>
              <w:rPr>
                <w:rFonts w:hint="eastAsia"/>
                <w:color w:val="auto"/>
                <w:sz w:val="24"/>
              </w:rPr>
              <w:t>对照池州市水环境管控分区图（图1-2），本项目位于水环境工业污染重点管控区，具体管控要求：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p w14:paraId="78DC05E2">
            <w:pPr>
              <w:spacing w:line="360" w:lineRule="auto"/>
              <w:ind w:firstLine="480" w:firstLineChars="200"/>
              <w:rPr>
                <w:rFonts w:hint="eastAsia"/>
                <w:color w:val="auto"/>
                <w:sz w:val="24"/>
              </w:rPr>
            </w:pPr>
            <w:r>
              <w:rPr>
                <w:rFonts w:hint="eastAsia"/>
                <w:color w:val="auto"/>
                <w:sz w:val="24"/>
              </w:rPr>
              <w:t>本项目为</w:t>
            </w:r>
            <w:r>
              <w:rPr>
                <w:rFonts w:hint="eastAsia"/>
                <w:color w:val="auto"/>
                <w:sz w:val="24"/>
                <w:lang w:val="en-US" w:eastAsia="zh-CN"/>
              </w:rPr>
              <w:t>技改</w:t>
            </w:r>
            <w:r>
              <w:rPr>
                <w:rFonts w:hint="eastAsia"/>
                <w:color w:val="auto"/>
                <w:sz w:val="24"/>
              </w:rPr>
              <w:t>项目，生活污水经化粪池收集后接入新河镇污水处理站处理。因此，对周边水环境影响较小，满足管控要求。</w:t>
            </w:r>
          </w:p>
          <w:p w14:paraId="6CC51405">
            <w:pPr>
              <w:spacing w:line="360" w:lineRule="auto"/>
              <w:ind w:firstLine="480" w:firstLineChars="200"/>
              <w:rPr>
                <w:rFonts w:hint="eastAsia"/>
                <w:color w:val="auto"/>
                <w:sz w:val="24"/>
              </w:rPr>
            </w:pPr>
            <w:r>
              <w:rPr>
                <w:rFonts w:hint="eastAsia"/>
                <w:color w:val="auto"/>
                <w:sz w:val="24"/>
              </w:rPr>
              <w:t>项目环境质量现状：根据202</w:t>
            </w:r>
            <w:r>
              <w:rPr>
                <w:rFonts w:hint="eastAsia"/>
                <w:color w:val="auto"/>
                <w:sz w:val="24"/>
                <w:lang w:val="en-US" w:eastAsia="zh-CN"/>
              </w:rPr>
              <w:t>4</w:t>
            </w:r>
            <w:r>
              <w:rPr>
                <w:rFonts w:hint="eastAsia"/>
                <w:color w:val="auto"/>
                <w:sz w:val="24"/>
              </w:rPr>
              <w:t>年青阳县环境质量状况公报，本项目所在地地表水质量达标。</w:t>
            </w:r>
          </w:p>
          <w:p w14:paraId="68A2CD2C">
            <w:pPr>
              <w:spacing w:line="360" w:lineRule="auto"/>
              <w:ind w:firstLine="480" w:firstLineChars="200"/>
              <w:rPr>
                <w:rFonts w:hint="eastAsia"/>
                <w:color w:val="auto"/>
                <w:sz w:val="24"/>
              </w:rPr>
            </w:pPr>
            <w:r>
              <w:rPr>
                <w:rFonts w:hint="eastAsia"/>
                <w:color w:val="auto"/>
                <w:sz w:val="24"/>
              </w:rPr>
              <w:t>②大气环境质量底线及分区管控</w:t>
            </w:r>
          </w:p>
          <w:p w14:paraId="5D8235AE">
            <w:pPr>
              <w:spacing w:line="360" w:lineRule="auto"/>
              <w:ind w:firstLine="480" w:firstLineChars="200"/>
              <w:rPr>
                <w:rFonts w:hint="eastAsia"/>
                <w:color w:val="auto"/>
                <w:sz w:val="24"/>
              </w:rPr>
            </w:pPr>
            <w:r>
              <w:rPr>
                <w:rFonts w:hint="eastAsia"/>
                <w:color w:val="auto"/>
                <w:sz w:val="24"/>
              </w:rPr>
              <w:t>对照池州市大气环境管控分区图（图1-3），本项目位于大气环境布局敏感重点管控区，重点管控区具体管控要求：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严格目标实施计划，加强环境监管，促进生态环境质量好转；大气主要污染物总量指标实行区域内等量或倍量削减替代，执行特别排放标准的行业实施提标升级改造。</w:t>
            </w:r>
          </w:p>
          <w:p w14:paraId="5DC3B724">
            <w:pPr>
              <w:spacing w:line="360" w:lineRule="auto"/>
              <w:ind w:firstLine="480" w:firstLineChars="200"/>
              <w:rPr>
                <w:rFonts w:hint="eastAsia"/>
                <w:color w:val="auto"/>
                <w:sz w:val="24"/>
              </w:rPr>
            </w:pPr>
            <w:r>
              <w:rPr>
                <w:rFonts w:hint="eastAsia"/>
                <w:color w:val="auto"/>
                <w:sz w:val="24"/>
              </w:rPr>
              <w:t>本项目运营期废气均经收集处理后达标排放。因此，在采取措施的情况下，对周边环境影响较小，满足管控要求。</w:t>
            </w:r>
          </w:p>
          <w:p w14:paraId="5379C1BD">
            <w:pPr>
              <w:spacing w:line="360" w:lineRule="auto"/>
              <w:ind w:firstLine="480" w:firstLineChars="200"/>
              <w:rPr>
                <w:rFonts w:hint="eastAsia"/>
                <w:color w:val="auto"/>
                <w:sz w:val="24"/>
              </w:rPr>
            </w:pPr>
            <w:r>
              <w:rPr>
                <w:rFonts w:hint="eastAsia"/>
                <w:color w:val="auto"/>
                <w:sz w:val="24"/>
              </w:rPr>
              <w:t>项目环境质量现状：根据</w:t>
            </w:r>
            <w:r>
              <w:rPr>
                <w:rFonts w:hint="eastAsia"/>
                <w:color w:val="auto"/>
                <w:sz w:val="24"/>
                <w:lang w:eastAsia="zh-CN"/>
              </w:rPr>
              <w:t>《</w:t>
            </w:r>
            <w:r>
              <w:rPr>
                <w:rFonts w:hint="eastAsia"/>
                <w:color w:val="auto"/>
                <w:sz w:val="24"/>
              </w:rPr>
              <w:t>202</w:t>
            </w:r>
            <w:r>
              <w:rPr>
                <w:rFonts w:hint="eastAsia"/>
                <w:color w:val="auto"/>
                <w:sz w:val="24"/>
                <w:lang w:val="en-US" w:eastAsia="zh-CN"/>
              </w:rPr>
              <w:t>4</w:t>
            </w:r>
            <w:r>
              <w:rPr>
                <w:rFonts w:hint="eastAsia"/>
                <w:color w:val="auto"/>
                <w:sz w:val="24"/>
              </w:rPr>
              <w:t>年青阳县环境质量状况公报</w:t>
            </w:r>
            <w:r>
              <w:rPr>
                <w:rFonts w:hint="eastAsia"/>
                <w:color w:val="auto"/>
                <w:sz w:val="24"/>
                <w:lang w:eastAsia="zh-CN"/>
              </w:rPr>
              <w:t>》</w:t>
            </w:r>
            <w:r>
              <w:rPr>
                <w:rFonts w:hint="eastAsia"/>
                <w:color w:val="auto"/>
                <w:sz w:val="24"/>
              </w:rPr>
              <w:t>及引用监测数据，项目区域为达标区。</w:t>
            </w:r>
          </w:p>
          <w:p w14:paraId="6B517F56">
            <w:pPr>
              <w:spacing w:line="360" w:lineRule="auto"/>
              <w:ind w:firstLine="480" w:firstLineChars="200"/>
              <w:rPr>
                <w:rFonts w:hint="eastAsia"/>
                <w:color w:val="auto"/>
                <w:sz w:val="24"/>
              </w:rPr>
            </w:pPr>
            <w:r>
              <w:rPr>
                <w:rFonts w:hint="eastAsia"/>
                <w:color w:val="auto"/>
                <w:sz w:val="24"/>
              </w:rPr>
              <w:t>③土壤环境风险防控底线及分区管控</w:t>
            </w:r>
          </w:p>
          <w:p w14:paraId="6DEE0E10">
            <w:pPr>
              <w:spacing w:line="360" w:lineRule="auto"/>
              <w:ind w:firstLine="480" w:firstLineChars="200"/>
              <w:rPr>
                <w:rFonts w:hint="eastAsia"/>
                <w:color w:val="auto"/>
                <w:sz w:val="24"/>
              </w:rPr>
            </w:pPr>
            <w:r>
              <w:rPr>
                <w:rFonts w:hint="eastAsia"/>
                <w:color w:val="auto"/>
                <w:sz w:val="24"/>
              </w:rPr>
              <w:t>对照池州市土壤环境管控分区图（图1-4），本项目位于一般管控区。</w:t>
            </w:r>
          </w:p>
          <w:p w14:paraId="1449B183">
            <w:pPr>
              <w:spacing w:line="360" w:lineRule="auto"/>
              <w:ind w:firstLine="480" w:firstLineChars="200"/>
              <w:rPr>
                <w:rFonts w:hint="eastAsia"/>
                <w:color w:val="auto"/>
                <w:sz w:val="24"/>
                <w:lang w:val="zh-CN"/>
              </w:rPr>
            </w:pPr>
            <w:r>
              <w:rPr>
                <w:rFonts w:hint="eastAsia"/>
                <w:color w:val="auto"/>
                <w:sz w:val="24"/>
              </w:rPr>
              <w:t>本项目为</w:t>
            </w:r>
            <w:r>
              <w:rPr>
                <w:rFonts w:hint="eastAsia"/>
                <w:color w:val="auto"/>
                <w:sz w:val="24"/>
                <w:lang w:val="en-US" w:eastAsia="zh-CN"/>
              </w:rPr>
              <w:t>技改</w:t>
            </w:r>
            <w:r>
              <w:rPr>
                <w:rFonts w:hint="eastAsia"/>
                <w:color w:val="auto"/>
                <w:sz w:val="24"/>
              </w:rPr>
              <w:t>项目，运营期一般固废收集后委外处置，危险废物在危废库暂存后委托有资质单位处置。本项目危废库以及机加工区域重点防渗，其他区域进行一般防渗。因此，在采取措施的情况下，对土壤环境影响较小。</w:t>
            </w:r>
          </w:p>
          <w:p w14:paraId="305B8722">
            <w:pPr>
              <w:spacing w:line="360" w:lineRule="auto"/>
              <w:ind w:firstLine="482" w:firstLineChars="200"/>
              <w:rPr>
                <w:rFonts w:hint="eastAsia"/>
                <w:b/>
                <w:bCs/>
                <w:color w:val="auto"/>
                <w:sz w:val="24"/>
              </w:rPr>
            </w:pPr>
            <w:r>
              <w:rPr>
                <w:rFonts w:hint="eastAsia"/>
                <w:b/>
                <w:bCs/>
                <w:color w:val="auto"/>
                <w:sz w:val="24"/>
                <w:lang w:eastAsia="zh-CN"/>
              </w:rPr>
              <w:t>（</w:t>
            </w:r>
            <w:r>
              <w:rPr>
                <w:rFonts w:hint="eastAsia"/>
                <w:b/>
                <w:bCs/>
                <w:color w:val="auto"/>
                <w:sz w:val="24"/>
                <w:lang w:val="en-US" w:eastAsia="zh-CN"/>
              </w:rPr>
              <w:t>3</w:t>
            </w:r>
            <w:r>
              <w:rPr>
                <w:rFonts w:hint="eastAsia"/>
                <w:b/>
                <w:bCs/>
                <w:color w:val="auto"/>
                <w:sz w:val="24"/>
                <w:lang w:eastAsia="zh-CN"/>
              </w:rPr>
              <w:t>）</w:t>
            </w:r>
            <w:r>
              <w:rPr>
                <w:rFonts w:hint="eastAsia"/>
                <w:b/>
                <w:bCs/>
                <w:color w:val="auto"/>
                <w:sz w:val="24"/>
              </w:rPr>
              <w:t>资源利用上线及自然资源开发分区管控</w:t>
            </w:r>
          </w:p>
          <w:p w14:paraId="38B69F96">
            <w:pPr>
              <w:spacing w:line="360" w:lineRule="auto"/>
              <w:ind w:firstLine="480" w:firstLineChars="200"/>
              <w:rPr>
                <w:rFonts w:hint="eastAsia"/>
                <w:color w:val="auto"/>
                <w:sz w:val="24"/>
              </w:rPr>
            </w:pPr>
            <w:r>
              <w:rPr>
                <w:rFonts w:hint="eastAsia"/>
                <w:color w:val="auto"/>
                <w:sz w:val="24"/>
              </w:rPr>
              <w:t>①煤炭资源利用上线及分区管控</w:t>
            </w:r>
          </w:p>
          <w:p w14:paraId="29B9BE9E">
            <w:pPr>
              <w:spacing w:line="360" w:lineRule="auto"/>
              <w:ind w:firstLine="480" w:firstLineChars="200"/>
              <w:rPr>
                <w:rFonts w:hint="eastAsia"/>
                <w:color w:val="auto"/>
                <w:sz w:val="24"/>
              </w:rPr>
            </w:pPr>
            <w:r>
              <w:rPr>
                <w:rFonts w:hint="eastAsia"/>
                <w:color w:val="auto"/>
                <w:sz w:val="24"/>
              </w:rPr>
              <w:t>对照池州市高污染燃料禁燃区分布图（图1-5），项目位于一般管控区，具体管控要求：落实《安徽省“十四五”节能减排实施方案》《池州市“十四五”生态环境保护规划》《池州市“十四五”节能减排方案》要求。</w:t>
            </w:r>
          </w:p>
          <w:p w14:paraId="60A7AE42">
            <w:pPr>
              <w:spacing w:line="360" w:lineRule="auto"/>
              <w:ind w:firstLine="480" w:firstLineChars="200"/>
              <w:rPr>
                <w:rFonts w:hint="eastAsia"/>
                <w:color w:val="auto"/>
                <w:sz w:val="24"/>
              </w:rPr>
            </w:pPr>
            <w:r>
              <w:rPr>
                <w:rFonts w:hint="eastAsia"/>
                <w:color w:val="auto"/>
                <w:sz w:val="24"/>
              </w:rPr>
              <w:t>本项目不涉及高污染燃料使用。</w:t>
            </w:r>
          </w:p>
          <w:p w14:paraId="5707B2EB">
            <w:pPr>
              <w:spacing w:line="360" w:lineRule="auto"/>
              <w:ind w:firstLine="480" w:firstLineChars="200"/>
              <w:rPr>
                <w:rFonts w:hint="eastAsia"/>
                <w:color w:val="auto"/>
                <w:sz w:val="24"/>
              </w:rPr>
            </w:pPr>
            <w:r>
              <w:rPr>
                <w:rFonts w:hint="eastAsia"/>
                <w:color w:val="auto"/>
                <w:sz w:val="24"/>
              </w:rPr>
              <w:t>②水资源利用上线及分区管控</w:t>
            </w:r>
          </w:p>
          <w:p w14:paraId="6F14DDBA">
            <w:pPr>
              <w:spacing w:line="360" w:lineRule="auto"/>
              <w:ind w:firstLine="480" w:firstLineChars="200"/>
              <w:rPr>
                <w:rFonts w:hint="eastAsia"/>
                <w:color w:val="auto"/>
                <w:sz w:val="24"/>
              </w:rPr>
            </w:pPr>
            <w:r>
              <w:rPr>
                <w:rFonts w:hint="eastAsia"/>
                <w:color w:val="auto"/>
                <w:sz w:val="24"/>
              </w:rPr>
              <w:t>依据《安徽省人民政府办公厅关于公布地下水超采区、限采区范围的通知》（皖政办秘</w:t>
            </w:r>
            <w:r>
              <w:rPr>
                <w:rFonts w:hint="eastAsia"/>
                <w:color w:val="auto"/>
                <w:sz w:val="24"/>
                <w:lang w:eastAsia="zh-CN"/>
              </w:rPr>
              <w:t>〔2015〕179号</w:t>
            </w:r>
            <w:r>
              <w:rPr>
                <w:rFonts w:hint="eastAsia"/>
                <w:color w:val="auto"/>
                <w:sz w:val="24"/>
              </w:rPr>
              <w:t>），省水利厅</w:t>
            </w:r>
            <w:r>
              <w:rPr>
                <w:rFonts w:hint="eastAsia"/>
                <w:color w:val="auto"/>
                <w:sz w:val="24"/>
                <w:lang w:eastAsia="zh-CN"/>
              </w:rPr>
              <w:t>、省</w:t>
            </w:r>
            <w:r>
              <w:rPr>
                <w:rFonts w:hint="eastAsia"/>
                <w:color w:val="auto"/>
                <w:sz w:val="24"/>
              </w:rPr>
              <w:t>发改委、经信委、自然资源厅、生态环境厅、住建厅联合印发的《关于印发〈安徽省地下水超采区治理方案</w:t>
            </w:r>
            <w:r>
              <w:rPr>
                <w:rFonts w:hint="eastAsia"/>
                <w:color w:val="auto"/>
                <w:sz w:val="24"/>
                <w:lang w:eastAsia="zh-CN"/>
              </w:rPr>
              <w:t>〉的通知》</w:t>
            </w:r>
            <w:r>
              <w:rPr>
                <w:rFonts w:hint="eastAsia"/>
                <w:color w:val="auto"/>
                <w:sz w:val="24"/>
              </w:rPr>
              <w:t>（皖水资源</w:t>
            </w:r>
            <w:r>
              <w:rPr>
                <w:rFonts w:hint="eastAsia"/>
                <w:color w:val="auto"/>
                <w:sz w:val="24"/>
                <w:lang w:eastAsia="zh-CN"/>
              </w:rPr>
              <w:t>〔2015〕91号</w:t>
            </w:r>
            <w:r>
              <w:rPr>
                <w:rFonts w:hint="eastAsia"/>
                <w:color w:val="auto"/>
                <w:sz w:val="24"/>
              </w:rPr>
              <w:t>）要求，结合《安徽省地下水超采区评价》成果，将已公布的限采区作为2025年水资源重点管控区域。其余区域作为水资源一般管控区。池州市行政区划内无地下水限采区，因此池州市水资源管控分区皆为一般管控区。管控要求：落实《国务院办公厅关于印发实行最严格水资源管理制度考核办法的通知》《关于落实池州市“十四五”用水总量和强度双控目标的通知》等要求。</w:t>
            </w:r>
          </w:p>
          <w:p w14:paraId="4A40177C">
            <w:pPr>
              <w:spacing w:line="360" w:lineRule="auto"/>
              <w:ind w:firstLine="480" w:firstLineChars="200"/>
              <w:rPr>
                <w:rFonts w:hint="eastAsia"/>
                <w:color w:val="auto"/>
                <w:sz w:val="24"/>
              </w:rPr>
            </w:pPr>
            <w:r>
              <w:rPr>
                <w:rFonts w:hint="eastAsia"/>
                <w:color w:val="auto"/>
                <w:sz w:val="24"/>
              </w:rPr>
              <w:t>本项目总体使用新鲜用水量较少，对区域水资源影响较小，满足管控要求。</w:t>
            </w:r>
          </w:p>
          <w:p w14:paraId="049B8B8C">
            <w:pPr>
              <w:spacing w:line="360" w:lineRule="auto"/>
              <w:ind w:firstLine="480" w:firstLineChars="200"/>
              <w:rPr>
                <w:rFonts w:hint="eastAsia"/>
                <w:color w:val="auto"/>
                <w:sz w:val="24"/>
              </w:rPr>
            </w:pPr>
            <w:r>
              <w:rPr>
                <w:rFonts w:hint="eastAsia"/>
                <w:color w:val="auto"/>
                <w:sz w:val="24"/>
              </w:rPr>
              <w:t>③土地资源利用上线及分区管控</w:t>
            </w:r>
          </w:p>
          <w:p w14:paraId="14F24F39">
            <w:pPr>
              <w:spacing w:line="360" w:lineRule="auto"/>
              <w:ind w:firstLine="480" w:firstLineChars="200"/>
              <w:rPr>
                <w:rFonts w:hint="eastAsia"/>
                <w:color w:val="auto"/>
                <w:sz w:val="24"/>
              </w:rPr>
            </w:pPr>
            <w:r>
              <w:rPr>
                <w:rFonts w:hint="eastAsia"/>
                <w:color w:val="auto"/>
                <w:sz w:val="24"/>
              </w:rPr>
              <w:t>本项目位于土地资源一般管控区（图1-6）。管控要求为：衔接自然资源部门国土空间总体规划等有关文件关于土地资源开发利用总量及强度要求，深化细化分区管控要求。</w:t>
            </w:r>
          </w:p>
          <w:p w14:paraId="5C1DF0BB">
            <w:pPr>
              <w:spacing w:line="360" w:lineRule="auto"/>
              <w:ind w:firstLine="480" w:firstLineChars="200"/>
              <w:rPr>
                <w:rFonts w:hint="eastAsia"/>
                <w:color w:val="auto"/>
                <w:sz w:val="24"/>
              </w:rPr>
            </w:pPr>
            <w:r>
              <w:rPr>
                <w:rFonts w:hint="eastAsia"/>
                <w:color w:val="auto"/>
                <w:sz w:val="24"/>
              </w:rPr>
              <w:t>本项目用地为工业用地，符合土地资源一般管控区管控要求。</w:t>
            </w:r>
          </w:p>
          <w:p w14:paraId="637F8399">
            <w:pPr>
              <w:spacing w:line="360" w:lineRule="auto"/>
              <w:ind w:firstLine="480" w:firstLineChars="200"/>
              <w:rPr>
                <w:rFonts w:hint="eastAsia"/>
                <w:color w:val="auto"/>
                <w:sz w:val="24"/>
              </w:rPr>
            </w:pPr>
            <w:r>
              <w:rPr>
                <w:rFonts w:hint="eastAsia"/>
                <w:color w:val="auto"/>
                <w:sz w:val="24"/>
              </w:rPr>
              <w:t>④岸线资源利用上线及分区管控</w:t>
            </w:r>
          </w:p>
          <w:p w14:paraId="70EF0F64">
            <w:pPr>
              <w:spacing w:line="360" w:lineRule="auto"/>
              <w:ind w:firstLine="480" w:firstLineChars="200"/>
              <w:rPr>
                <w:rFonts w:hint="eastAsia"/>
                <w:color w:val="auto"/>
                <w:sz w:val="24"/>
              </w:rPr>
            </w:pPr>
            <w:r>
              <w:rPr>
                <w:rFonts w:hint="eastAsia"/>
                <w:color w:val="auto"/>
                <w:sz w:val="24"/>
              </w:rPr>
              <w:t>根据《安徽省长江岸线保护和开发利用规划》，池州市长江岸线总长度189km，一共划分有2个保护区，22个保留区，19个开发利用区，35个控制利用区。</w:t>
            </w:r>
          </w:p>
          <w:p w14:paraId="194DC000">
            <w:pPr>
              <w:spacing w:line="360" w:lineRule="auto"/>
              <w:ind w:firstLine="480" w:firstLineChars="200"/>
              <w:rPr>
                <w:rFonts w:hint="eastAsia"/>
                <w:color w:val="auto"/>
                <w:sz w:val="24"/>
              </w:rPr>
            </w:pPr>
            <w:r>
              <w:rPr>
                <w:rFonts w:hint="eastAsia"/>
                <w:color w:val="auto"/>
                <w:sz w:val="24"/>
              </w:rPr>
              <w:t>本项目不涉及长江岸线。</w:t>
            </w:r>
          </w:p>
          <w:p w14:paraId="40C9F3DE">
            <w:pPr>
              <w:spacing w:line="360" w:lineRule="auto"/>
              <w:ind w:firstLine="480" w:firstLineChars="200"/>
              <w:rPr>
                <w:rFonts w:hint="eastAsia"/>
                <w:color w:val="auto"/>
                <w:sz w:val="24"/>
              </w:rPr>
            </w:pPr>
            <w:r>
              <w:rPr>
                <w:rFonts w:hint="eastAsia"/>
                <w:color w:val="auto"/>
                <w:sz w:val="24"/>
              </w:rPr>
              <w:t>⑤生态环境管控单元划定及分类管控</w:t>
            </w:r>
          </w:p>
          <w:p w14:paraId="4B24492A">
            <w:pPr>
              <w:spacing w:line="360" w:lineRule="auto"/>
              <w:ind w:firstLine="480" w:firstLineChars="200"/>
              <w:rPr>
                <w:rFonts w:hint="eastAsia"/>
                <w:color w:val="auto"/>
                <w:sz w:val="24"/>
              </w:rPr>
            </w:pPr>
            <w:r>
              <w:rPr>
                <w:rFonts w:hint="eastAsia"/>
                <w:color w:val="auto"/>
                <w:sz w:val="24"/>
              </w:rPr>
              <w:t>对照安徽省“三线一单”公众服务平台（图1-7），本项目位于重点管控单元。</w:t>
            </w:r>
          </w:p>
          <w:p w14:paraId="1676FB19">
            <w:pPr>
              <w:spacing w:line="360" w:lineRule="auto"/>
              <w:ind w:firstLine="480" w:firstLineChars="200"/>
              <w:rPr>
                <w:rFonts w:hint="eastAsia"/>
                <w:color w:val="auto"/>
                <w:sz w:val="24"/>
              </w:rPr>
            </w:pPr>
            <w:r>
              <w:rPr>
                <w:rFonts w:hint="eastAsia"/>
                <w:color w:val="auto"/>
                <w:sz w:val="24"/>
              </w:rPr>
              <w:t>本项目建成后对产生的废气、废水、噪声、固废均采取有效防治措施，对环境影响较小，满足相关管控单元管控要求。</w:t>
            </w:r>
          </w:p>
          <w:p w14:paraId="414DE3EF">
            <w:pPr>
              <w:spacing w:line="360" w:lineRule="auto"/>
              <w:ind w:firstLine="480" w:firstLineChars="200"/>
              <w:rPr>
                <w:rFonts w:hint="eastAsia"/>
                <w:color w:val="auto"/>
                <w:sz w:val="24"/>
                <w:lang w:val="zh-CN"/>
              </w:rPr>
            </w:pPr>
            <w:r>
              <w:rPr>
                <w:rFonts w:hint="eastAsia"/>
                <w:color w:val="auto"/>
                <w:sz w:val="24"/>
              </w:rPr>
              <w:t>对照《长江经济带战略环境评价池州市“三线一单”生态环境准入清单》，本项目点位的管控单元编号为</w:t>
            </w:r>
            <w:r>
              <w:rPr>
                <w:rFonts w:hint="eastAsia"/>
                <w:color w:val="auto"/>
                <w:sz w:val="24"/>
                <w:lang w:val="zh-CN"/>
              </w:rPr>
              <w:t>ZH34172320007</w:t>
            </w:r>
            <w:r>
              <w:rPr>
                <w:rFonts w:hint="eastAsia"/>
                <w:color w:val="auto"/>
                <w:sz w:val="24"/>
              </w:rPr>
              <w:t>。具体管控单元要求分析见表1-3。</w:t>
            </w:r>
          </w:p>
          <w:p w14:paraId="4962B6A9">
            <w:pPr>
              <w:pStyle w:val="69"/>
              <w:keepNext w:val="0"/>
              <w:widowControl w:val="0"/>
              <w:snapToGrid/>
              <w:spacing w:before="0" w:after="0" w:line="240" w:lineRule="auto"/>
              <w:ind w:right="0"/>
              <w:rPr>
                <w:rFonts w:hint="eastAsia"/>
                <w:color w:val="auto"/>
              </w:rPr>
            </w:pPr>
            <w:r>
              <w:rPr>
                <w:color w:val="auto"/>
              </w:rPr>
              <w:t>表1-</w:t>
            </w:r>
            <w:r>
              <w:rPr>
                <w:rFonts w:hint="eastAsia"/>
                <w:color w:val="auto"/>
              </w:rPr>
              <w:t xml:space="preserve">3 </w:t>
            </w:r>
            <w:r>
              <w:rPr>
                <w:color w:val="auto"/>
              </w:rPr>
              <w:t xml:space="preserve"> 项目所在地管控要求一览表</w:t>
            </w:r>
          </w:p>
          <w:tbl>
            <w:tblPr>
              <w:tblStyle w:val="36"/>
              <w:tblW w:w="7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650"/>
              <w:gridCol w:w="450"/>
              <w:gridCol w:w="3367"/>
              <w:gridCol w:w="1815"/>
              <w:gridCol w:w="434"/>
            </w:tblGrid>
            <w:tr w14:paraId="7E84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noWrap w:val="0"/>
                  <w:vAlign w:val="center"/>
                </w:tcPr>
                <w:p w14:paraId="36DB2746">
                  <w:pPr>
                    <w:jc w:val="center"/>
                    <w:rPr>
                      <w:b/>
                      <w:bCs/>
                      <w:color w:val="auto"/>
                      <w:szCs w:val="21"/>
                    </w:rPr>
                  </w:pPr>
                  <w:r>
                    <w:rPr>
                      <w:b/>
                      <w:bCs/>
                      <w:color w:val="auto"/>
                      <w:szCs w:val="21"/>
                    </w:rPr>
                    <w:t>环境管控单元</w:t>
                  </w:r>
                  <w:r>
                    <w:rPr>
                      <w:rFonts w:hint="eastAsia"/>
                      <w:b/>
                      <w:bCs/>
                      <w:color w:val="auto"/>
                      <w:szCs w:val="21"/>
                    </w:rPr>
                    <w:t>代码</w:t>
                  </w:r>
                </w:p>
              </w:tc>
              <w:tc>
                <w:tcPr>
                  <w:tcW w:w="650" w:type="dxa"/>
                  <w:noWrap w:val="0"/>
                  <w:vAlign w:val="center"/>
                </w:tcPr>
                <w:p w14:paraId="0ECBA1F6">
                  <w:pPr>
                    <w:jc w:val="center"/>
                    <w:rPr>
                      <w:b/>
                      <w:bCs/>
                      <w:color w:val="auto"/>
                      <w:szCs w:val="21"/>
                    </w:rPr>
                  </w:pPr>
                  <w:r>
                    <w:rPr>
                      <w:b/>
                      <w:bCs/>
                      <w:color w:val="auto"/>
                      <w:szCs w:val="21"/>
                    </w:rPr>
                    <w:t>环境管控单元分类</w:t>
                  </w:r>
                </w:p>
              </w:tc>
              <w:tc>
                <w:tcPr>
                  <w:tcW w:w="450" w:type="dxa"/>
                  <w:noWrap w:val="0"/>
                  <w:vAlign w:val="center"/>
                </w:tcPr>
                <w:p w14:paraId="468F4FBD">
                  <w:pPr>
                    <w:jc w:val="center"/>
                    <w:rPr>
                      <w:b/>
                      <w:bCs/>
                      <w:color w:val="auto"/>
                      <w:szCs w:val="21"/>
                    </w:rPr>
                  </w:pPr>
                  <w:r>
                    <w:rPr>
                      <w:b/>
                      <w:bCs/>
                      <w:color w:val="auto"/>
                      <w:szCs w:val="21"/>
                    </w:rPr>
                    <w:t>管控类别</w:t>
                  </w:r>
                </w:p>
              </w:tc>
              <w:tc>
                <w:tcPr>
                  <w:tcW w:w="3367" w:type="dxa"/>
                  <w:noWrap w:val="0"/>
                  <w:vAlign w:val="center"/>
                </w:tcPr>
                <w:p w14:paraId="201D4A00">
                  <w:pPr>
                    <w:jc w:val="center"/>
                    <w:rPr>
                      <w:b/>
                      <w:bCs/>
                      <w:color w:val="auto"/>
                      <w:szCs w:val="21"/>
                    </w:rPr>
                  </w:pPr>
                  <w:r>
                    <w:rPr>
                      <w:b/>
                      <w:bCs/>
                      <w:color w:val="auto"/>
                      <w:szCs w:val="21"/>
                    </w:rPr>
                    <w:t>管控要求</w:t>
                  </w:r>
                </w:p>
              </w:tc>
              <w:tc>
                <w:tcPr>
                  <w:tcW w:w="1815" w:type="dxa"/>
                  <w:noWrap w:val="0"/>
                  <w:vAlign w:val="center"/>
                </w:tcPr>
                <w:p w14:paraId="45D0CB76">
                  <w:pPr>
                    <w:jc w:val="center"/>
                    <w:rPr>
                      <w:b/>
                      <w:bCs/>
                      <w:color w:val="auto"/>
                      <w:szCs w:val="21"/>
                    </w:rPr>
                  </w:pPr>
                  <w:r>
                    <w:rPr>
                      <w:b/>
                      <w:bCs/>
                      <w:color w:val="auto"/>
                      <w:szCs w:val="21"/>
                    </w:rPr>
                    <w:t>本项目情况</w:t>
                  </w:r>
                </w:p>
              </w:tc>
              <w:tc>
                <w:tcPr>
                  <w:tcW w:w="434" w:type="dxa"/>
                  <w:noWrap w:val="0"/>
                  <w:vAlign w:val="center"/>
                </w:tcPr>
                <w:p w14:paraId="1F9F2FD0">
                  <w:pPr>
                    <w:jc w:val="center"/>
                    <w:rPr>
                      <w:b/>
                      <w:bCs/>
                      <w:color w:val="auto"/>
                      <w:szCs w:val="21"/>
                    </w:rPr>
                  </w:pPr>
                  <w:r>
                    <w:rPr>
                      <w:b/>
                      <w:bCs/>
                      <w:color w:val="auto"/>
                      <w:szCs w:val="21"/>
                    </w:rPr>
                    <w:t>符合性</w:t>
                  </w:r>
                </w:p>
              </w:tc>
            </w:tr>
            <w:tr w14:paraId="0BC9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41" w:type="dxa"/>
                  <w:vMerge w:val="restart"/>
                  <w:noWrap w:val="0"/>
                  <w:vAlign w:val="center"/>
                </w:tcPr>
                <w:p w14:paraId="6A19EB99">
                  <w:pPr>
                    <w:jc w:val="center"/>
                    <w:rPr>
                      <w:color w:val="auto"/>
                      <w:szCs w:val="21"/>
                    </w:rPr>
                  </w:pPr>
                  <w:r>
                    <w:rPr>
                      <w:rFonts w:hint="eastAsia"/>
                      <w:color w:val="auto"/>
                      <w:szCs w:val="21"/>
                    </w:rPr>
                    <w:t>ZH34172320007</w:t>
                  </w:r>
                </w:p>
              </w:tc>
              <w:tc>
                <w:tcPr>
                  <w:tcW w:w="650" w:type="dxa"/>
                  <w:vMerge w:val="restart"/>
                  <w:noWrap w:val="0"/>
                  <w:vAlign w:val="center"/>
                </w:tcPr>
                <w:p w14:paraId="6E5A96BE">
                  <w:pPr>
                    <w:jc w:val="center"/>
                    <w:rPr>
                      <w:color w:val="auto"/>
                      <w:szCs w:val="21"/>
                    </w:rPr>
                  </w:pPr>
                  <w:r>
                    <w:rPr>
                      <w:color w:val="auto"/>
                      <w:szCs w:val="21"/>
                    </w:rPr>
                    <w:t>重点管控单元</w:t>
                  </w:r>
                </w:p>
              </w:tc>
              <w:tc>
                <w:tcPr>
                  <w:tcW w:w="450" w:type="dxa"/>
                  <w:noWrap w:val="0"/>
                  <w:vAlign w:val="center"/>
                </w:tcPr>
                <w:p w14:paraId="0F59E69B">
                  <w:pPr>
                    <w:jc w:val="center"/>
                    <w:rPr>
                      <w:color w:val="auto"/>
                      <w:szCs w:val="21"/>
                    </w:rPr>
                  </w:pPr>
                  <w:r>
                    <w:rPr>
                      <w:color w:val="auto"/>
                      <w:szCs w:val="21"/>
                    </w:rPr>
                    <w:t>空间布局约束</w:t>
                  </w:r>
                </w:p>
              </w:tc>
              <w:tc>
                <w:tcPr>
                  <w:tcW w:w="3367" w:type="dxa"/>
                  <w:noWrap w:val="0"/>
                  <w:vAlign w:val="center"/>
                </w:tcPr>
                <w:p w14:paraId="57A9A886">
                  <w:pPr>
                    <w:ind w:firstLine="420" w:firstLineChars="200"/>
                    <w:jc w:val="left"/>
                    <w:rPr>
                      <w:rFonts w:hint="eastAsia"/>
                      <w:color w:val="auto"/>
                      <w:szCs w:val="21"/>
                    </w:rPr>
                  </w:pPr>
                  <w:r>
                    <w:rPr>
                      <w:rFonts w:hint="eastAsia"/>
                      <w:color w:val="auto"/>
                      <w:szCs w:val="21"/>
                      <w:lang w:eastAsia="zh-CN"/>
                    </w:rPr>
                    <w:t>1.</w:t>
                  </w:r>
                  <w:r>
                    <w:rPr>
                      <w:color w:val="auto"/>
                      <w:szCs w:val="21"/>
                    </w:rPr>
                    <w:t>引导石化、化工、钢铁、建材、有色金属等重点行业合理布局，提高化工、有色金属、农副食品加工、印染、制革、原料药制造、电镀等行业集聚水平</w:t>
                  </w:r>
                  <w:r>
                    <w:rPr>
                      <w:rFonts w:hint="eastAsia"/>
                      <w:color w:val="auto"/>
                      <w:szCs w:val="21"/>
                    </w:rPr>
                    <w:t>；</w:t>
                  </w:r>
                </w:p>
                <w:p w14:paraId="570C083D">
                  <w:pPr>
                    <w:ind w:firstLine="420" w:firstLineChars="200"/>
                    <w:jc w:val="left"/>
                    <w:rPr>
                      <w:rFonts w:hint="eastAsia"/>
                      <w:color w:val="auto"/>
                      <w:szCs w:val="21"/>
                    </w:rPr>
                  </w:pPr>
                  <w:r>
                    <w:rPr>
                      <w:rFonts w:hint="eastAsia"/>
                      <w:color w:val="auto"/>
                      <w:szCs w:val="21"/>
                      <w:lang w:eastAsia="zh-CN"/>
                    </w:rPr>
                    <w:t>2.</w:t>
                  </w:r>
                  <w:r>
                    <w:rPr>
                      <w:color w:val="auto"/>
                      <w:szCs w:val="21"/>
                    </w:rPr>
                    <w:t>持续开展涉水“散乱污”企业 清理整治，严把能耗、环保等标准，促使一批达不到标准或淘汰类产能的企业，依法依规关停退出</w:t>
                  </w:r>
                  <w:r>
                    <w:rPr>
                      <w:rFonts w:hint="eastAsia"/>
                      <w:color w:val="auto"/>
                      <w:szCs w:val="21"/>
                    </w:rPr>
                    <w:t>；</w:t>
                  </w:r>
                </w:p>
                <w:p w14:paraId="2248D8BF">
                  <w:pPr>
                    <w:ind w:firstLine="420" w:firstLineChars="200"/>
                    <w:jc w:val="left"/>
                    <w:rPr>
                      <w:rFonts w:hint="eastAsia"/>
                      <w:color w:val="auto"/>
                      <w:szCs w:val="21"/>
                    </w:rPr>
                  </w:pPr>
                  <w:r>
                    <w:rPr>
                      <w:rFonts w:hint="eastAsia"/>
                      <w:color w:val="auto"/>
                      <w:szCs w:val="21"/>
                      <w:lang w:eastAsia="zh-CN"/>
                    </w:rPr>
                    <w:t>3.</w:t>
                  </w:r>
                  <w:r>
                    <w:rPr>
                      <w:color w:val="auto"/>
                      <w:szCs w:val="21"/>
                    </w:rPr>
                    <w:t>新建不符合国家产业政策的小型造纸、制革、印染、染料、炼焦、炼硫、炼砷、炼汞、炼油、电镀、农药、石棉、水泥、玻璃、钢铁、火电以及其他严重污染水环境的生产项目</w:t>
                  </w:r>
                  <w:r>
                    <w:rPr>
                      <w:rFonts w:hint="eastAsia"/>
                      <w:color w:val="auto"/>
                      <w:szCs w:val="21"/>
                    </w:rPr>
                    <w:t>；</w:t>
                  </w:r>
                </w:p>
                <w:p w14:paraId="66D781E5">
                  <w:pPr>
                    <w:ind w:firstLine="420" w:firstLineChars="200"/>
                    <w:jc w:val="left"/>
                    <w:rPr>
                      <w:color w:val="auto"/>
                      <w:szCs w:val="21"/>
                    </w:rPr>
                  </w:pPr>
                  <w:r>
                    <w:rPr>
                      <w:rFonts w:hint="eastAsia"/>
                      <w:color w:val="auto"/>
                      <w:szCs w:val="21"/>
                      <w:lang w:eastAsia="zh-CN"/>
                    </w:rPr>
                    <w:t>4.</w:t>
                  </w:r>
                  <w:r>
                    <w:rPr>
                      <w:color w:val="auto"/>
                      <w:szCs w:val="21"/>
                    </w:rPr>
                    <w:t>严格执行国家关于“两高”产业准入目录和产能总量控制政策措施</w:t>
                  </w:r>
                  <w:r>
                    <w:rPr>
                      <w:rFonts w:hint="eastAsia"/>
                      <w:color w:val="auto"/>
                      <w:szCs w:val="21"/>
                    </w:rPr>
                    <w:t>；</w:t>
                  </w:r>
                  <w:r>
                    <w:rPr>
                      <w:color w:val="auto"/>
                      <w:szCs w:val="21"/>
                    </w:rPr>
                    <w:t xml:space="preserve"> </w:t>
                  </w:r>
                </w:p>
                <w:p w14:paraId="75FDD4AC">
                  <w:pPr>
                    <w:ind w:firstLine="420" w:firstLineChars="200"/>
                    <w:jc w:val="left"/>
                    <w:rPr>
                      <w:color w:val="auto"/>
                      <w:szCs w:val="21"/>
                    </w:rPr>
                  </w:pPr>
                  <w:r>
                    <w:rPr>
                      <w:rFonts w:hint="eastAsia"/>
                      <w:color w:val="auto"/>
                      <w:szCs w:val="21"/>
                      <w:lang w:eastAsia="zh-CN"/>
                    </w:rPr>
                    <w:t>5.</w:t>
                  </w:r>
                  <w:r>
                    <w:rPr>
                      <w:color w:val="auto"/>
                      <w:szCs w:val="21"/>
                    </w:rPr>
                    <w:t>禁止建设生产和使用高挥发性有机物含量涂料、油墨、胶粘剂、清洗剂等项目</w:t>
                  </w:r>
                  <w:r>
                    <w:rPr>
                      <w:rFonts w:hint="eastAsia"/>
                      <w:color w:val="auto"/>
                      <w:szCs w:val="21"/>
                    </w:rPr>
                    <w:t>；</w:t>
                  </w:r>
                  <w:r>
                    <w:rPr>
                      <w:color w:val="auto"/>
                      <w:szCs w:val="21"/>
                    </w:rPr>
                    <w:t xml:space="preserve"> </w:t>
                  </w:r>
                </w:p>
                <w:p w14:paraId="6EDB2B0B">
                  <w:pPr>
                    <w:ind w:firstLine="420" w:firstLineChars="200"/>
                    <w:jc w:val="left"/>
                    <w:rPr>
                      <w:color w:val="auto"/>
                      <w:szCs w:val="21"/>
                    </w:rPr>
                  </w:pPr>
                  <w:r>
                    <w:rPr>
                      <w:rFonts w:hint="eastAsia"/>
                      <w:color w:val="auto"/>
                      <w:szCs w:val="21"/>
                      <w:lang w:eastAsia="zh-CN"/>
                    </w:rPr>
                    <w:t>6.</w:t>
                  </w:r>
                  <w:r>
                    <w:rPr>
                      <w:color w:val="auto"/>
                      <w:szCs w:val="21"/>
                    </w:rPr>
                    <w:t>在燃气管网和集中供热管网覆盖的区域，不得新建、扩建、改建燃烧煤炭、重油、渣油的供热设施；</w:t>
                  </w:r>
                </w:p>
                <w:p w14:paraId="645A89D9">
                  <w:pPr>
                    <w:ind w:firstLine="420" w:firstLineChars="200"/>
                    <w:jc w:val="left"/>
                    <w:rPr>
                      <w:rFonts w:hint="eastAsia"/>
                      <w:color w:val="auto"/>
                      <w:szCs w:val="21"/>
                    </w:rPr>
                  </w:pPr>
                  <w:r>
                    <w:rPr>
                      <w:rFonts w:hint="eastAsia"/>
                      <w:color w:val="auto"/>
                      <w:szCs w:val="21"/>
                      <w:lang w:eastAsia="zh-CN"/>
                    </w:rPr>
                    <w:t>7.</w:t>
                  </w:r>
                  <w:r>
                    <w:rPr>
                      <w:color w:val="auto"/>
                      <w:szCs w:val="21"/>
                    </w:rPr>
                    <w:t>禁止淘汰落后类的产业进入开发区</w:t>
                  </w:r>
                  <w:r>
                    <w:rPr>
                      <w:rFonts w:hint="eastAsia"/>
                      <w:color w:val="auto"/>
                      <w:szCs w:val="21"/>
                    </w:rPr>
                    <w:t>；</w:t>
                  </w:r>
                </w:p>
                <w:p w14:paraId="7C1A0B74">
                  <w:pPr>
                    <w:ind w:firstLine="420" w:firstLineChars="200"/>
                    <w:jc w:val="left"/>
                    <w:rPr>
                      <w:color w:val="auto"/>
                      <w:szCs w:val="21"/>
                    </w:rPr>
                  </w:pPr>
                  <w:r>
                    <w:rPr>
                      <w:rFonts w:hint="eastAsia"/>
                      <w:color w:val="auto"/>
                      <w:szCs w:val="21"/>
                      <w:lang w:eastAsia="zh-CN"/>
                    </w:rPr>
                    <w:t>8.</w:t>
                  </w:r>
                  <w:r>
                    <w:rPr>
                      <w:color w:val="auto"/>
                      <w:szCs w:val="21"/>
                    </w:rPr>
                    <w:t>严格资源节约和环保准入门槛，转入项目必须符合国家产业政策、资源节约和污染物排放强度要求，避免产业转移中的资源浪费和污染扩散</w:t>
                  </w:r>
                  <w:r>
                    <w:rPr>
                      <w:rFonts w:hint="eastAsia"/>
                      <w:color w:val="auto"/>
                      <w:szCs w:val="21"/>
                    </w:rPr>
                    <w:t>；</w:t>
                  </w:r>
                  <w:r>
                    <w:rPr>
                      <w:color w:val="auto"/>
                      <w:szCs w:val="21"/>
                    </w:rPr>
                    <w:t xml:space="preserve"> </w:t>
                  </w:r>
                </w:p>
                <w:p w14:paraId="48A831C1">
                  <w:pPr>
                    <w:ind w:firstLine="420" w:firstLineChars="200"/>
                    <w:jc w:val="left"/>
                    <w:rPr>
                      <w:rFonts w:hint="eastAsia"/>
                      <w:color w:val="auto"/>
                      <w:szCs w:val="21"/>
                    </w:rPr>
                  </w:pPr>
                  <w:r>
                    <w:rPr>
                      <w:rFonts w:hint="eastAsia"/>
                      <w:color w:val="auto"/>
                      <w:szCs w:val="21"/>
                      <w:lang w:eastAsia="zh-CN"/>
                    </w:rPr>
                    <w:t>9.</w:t>
                  </w:r>
                  <w:r>
                    <w:rPr>
                      <w:color w:val="auto"/>
                      <w:szCs w:val="21"/>
                    </w:rPr>
                    <w:t>禁止在合规园区外新建、扩建钢铁、石化、化工、焦化、建材、有色、制浆造纸等高污染项目</w:t>
                  </w:r>
                  <w:r>
                    <w:rPr>
                      <w:rFonts w:hint="eastAsia"/>
                      <w:color w:val="auto"/>
                      <w:szCs w:val="21"/>
                    </w:rPr>
                    <w:t>；</w:t>
                  </w:r>
                </w:p>
                <w:p w14:paraId="6F528718">
                  <w:pPr>
                    <w:ind w:firstLine="420" w:firstLineChars="200"/>
                    <w:jc w:val="left"/>
                    <w:rPr>
                      <w:color w:val="auto"/>
                      <w:szCs w:val="21"/>
                    </w:rPr>
                  </w:pPr>
                  <w:r>
                    <w:rPr>
                      <w:rFonts w:hint="eastAsia"/>
                      <w:color w:val="auto"/>
                      <w:szCs w:val="21"/>
                      <w:lang w:eastAsia="zh-CN"/>
                    </w:rPr>
                    <w:t>10.</w:t>
                  </w:r>
                  <w:r>
                    <w:rPr>
                      <w:color w:val="auto"/>
                      <w:szCs w:val="21"/>
                    </w:rPr>
                    <w:t>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p>
              </w:tc>
              <w:tc>
                <w:tcPr>
                  <w:tcW w:w="1815" w:type="dxa"/>
                  <w:noWrap w:val="0"/>
                  <w:vAlign w:val="center"/>
                </w:tcPr>
                <w:p w14:paraId="0DD6C118">
                  <w:pPr>
                    <w:ind w:firstLine="420" w:firstLineChars="200"/>
                    <w:jc w:val="left"/>
                    <w:rPr>
                      <w:rFonts w:hint="eastAsia"/>
                      <w:color w:val="auto"/>
                      <w:szCs w:val="21"/>
                    </w:rPr>
                  </w:pPr>
                  <w:r>
                    <w:rPr>
                      <w:rFonts w:hint="eastAsia"/>
                      <w:color w:val="auto"/>
                      <w:szCs w:val="21"/>
                      <w:lang w:eastAsia="zh-CN"/>
                    </w:rPr>
                    <w:t>1.</w:t>
                  </w:r>
                  <w:r>
                    <w:rPr>
                      <w:rFonts w:hint="eastAsia"/>
                      <w:color w:val="auto"/>
                      <w:szCs w:val="21"/>
                    </w:rPr>
                    <w:t>本项目属于阀门制造，属于机械制造项目，位于新河镇镁铝及机电装备制造产业集聚区，属于“机电装备制造产业集群”主导产业范畴；</w:t>
                  </w:r>
                </w:p>
                <w:p w14:paraId="084EF764">
                  <w:pPr>
                    <w:ind w:firstLine="420" w:firstLineChars="200"/>
                    <w:jc w:val="left"/>
                    <w:rPr>
                      <w:rFonts w:hint="eastAsia"/>
                      <w:color w:val="auto"/>
                      <w:szCs w:val="21"/>
                    </w:rPr>
                  </w:pPr>
                  <w:r>
                    <w:rPr>
                      <w:rFonts w:hint="eastAsia"/>
                      <w:color w:val="auto"/>
                      <w:szCs w:val="21"/>
                      <w:lang w:eastAsia="zh-CN"/>
                    </w:rPr>
                    <w:t>2.</w:t>
                  </w:r>
                  <w:r>
                    <w:rPr>
                      <w:rFonts w:hint="eastAsia"/>
                      <w:color w:val="auto"/>
                      <w:szCs w:val="21"/>
                    </w:rPr>
                    <w:t>根据《产业结构调整指导目录（2024年本）》，项目不属于限制类、淘汰类项目，即视为允许类项目，符合国家产业政策；</w:t>
                  </w:r>
                </w:p>
                <w:p w14:paraId="327E944D">
                  <w:pPr>
                    <w:ind w:firstLine="420" w:firstLineChars="200"/>
                    <w:jc w:val="left"/>
                    <w:rPr>
                      <w:rFonts w:hint="eastAsia"/>
                      <w:color w:val="auto"/>
                      <w:szCs w:val="21"/>
                    </w:rPr>
                  </w:pPr>
                  <w:r>
                    <w:rPr>
                      <w:rFonts w:hint="eastAsia"/>
                      <w:color w:val="auto"/>
                      <w:szCs w:val="21"/>
                      <w:lang w:eastAsia="zh-CN"/>
                    </w:rPr>
                    <w:t>4.</w:t>
                  </w:r>
                  <w:r>
                    <w:rPr>
                      <w:rFonts w:hint="eastAsia"/>
                      <w:color w:val="auto"/>
                      <w:szCs w:val="21"/>
                    </w:rPr>
                    <w:t>本项目不属于“两高”项目，拟向生态环境局申请总量；</w:t>
                  </w:r>
                </w:p>
                <w:p w14:paraId="41958FAA">
                  <w:pPr>
                    <w:ind w:firstLine="420" w:firstLineChars="200"/>
                    <w:jc w:val="left"/>
                    <w:rPr>
                      <w:rFonts w:hint="eastAsia"/>
                      <w:color w:val="auto"/>
                      <w:szCs w:val="21"/>
                    </w:rPr>
                  </w:pPr>
                  <w:r>
                    <w:rPr>
                      <w:rFonts w:hint="eastAsia"/>
                      <w:color w:val="auto"/>
                      <w:szCs w:val="21"/>
                      <w:lang w:eastAsia="zh-CN"/>
                    </w:rPr>
                    <w:t>5.</w:t>
                  </w:r>
                  <w:r>
                    <w:rPr>
                      <w:rFonts w:hint="eastAsia"/>
                      <w:color w:val="auto"/>
                      <w:szCs w:val="21"/>
                    </w:rPr>
                    <w:t>本项目</w:t>
                  </w:r>
                  <w:r>
                    <w:rPr>
                      <w:rFonts w:hint="eastAsia"/>
                      <w:color w:val="auto"/>
                      <w:szCs w:val="21"/>
                      <w:lang w:val="en-US" w:eastAsia="zh-CN"/>
                    </w:rPr>
                    <w:t>不</w:t>
                  </w:r>
                  <w:r>
                    <w:rPr>
                      <w:color w:val="auto"/>
                      <w:szCs w:val="21"/>
                    </w:rPr>
                    <w:t>使用高挥发性有机物含量涂料、油墨、胶粘剂、清洗剂</w:t>
                  </w:r>
                  <w:r>
                    <w:rPr>
                      <w:rFonts w:hint="eastAsia"/>
                      <w:color w:val="auto"/>
                      <w:szCs w:val="21"/>
                    </w:rPr>
                    <w:t>；</w:t>
                  </w:r>
                </w:p>
                <w:p w14:paraId="28ECFB64">
                  <w:pPr>
                    <w:ind w:firstLine="420" w:firstLineChars="200"/>
                    <w:jc w:val="left"/>
                    <w:rPr>
                      <w:rFonts w:hint="eastAsia"/>
                      <w:color w:val="auto"/>
                      <w:szCs w:val="21"/>
                    </w:rPr>
                  </w:pPr>
                  <w:r>
                    <w:rPr>
                      <w:rFonts w:hint="eastAsia"/>
                      <w:color w:val="auto"/>
                      <w:szCs w:val="21"/>
                      <w:lang w:eastAsia="zh-CN"/>
                    </w:rPr>
                    <w:t>6.</w:t>
                  </w:r>
                  <w:r>
                    <w:rPr>
                      <w:rFonts w:hint="eastAsia"/>
                      <w:color w:val="auto"/>
                      <w:szCs w:val="21"/>
                    </w:rPr>
                    <w:t>本项目无燃烧煤炭、重油、渣油的供热设置；</w:t>
                  </w:r>
                </w:p>
                <w:p w14:paraId="6EB2CA48">
                  <w:pPr>
                    <w:ind w:firstLine="420" w:firstLineChars="200"/>
                    <w:jc w:val="left"/>
                    <w:rPr>
                      <w:rFonts w:hint="eastAsia"/>
                      <w:color w:val="auto"/>
                      <w:szCs w:val="21"/>
                    </w:rPr>
                  </w:pPr>
                  <w:r>
                    <w:rPr>
                      <w:rFonts w:hint="eastAsia"/>
                      <w:color w:val="auto"/>
                      <w:szCs w:val="21"/>
                      <w:lang w:eastAsia="zh-CN"/>
                    </w:rPr>
                    <w:t>7.</w:t>
                  </w:r>
                  <w:r>
                    <w:rPr>
                      <w:rFonts w:hint="eastAsia"/>
                      <w:color w:val="auto"/>
                      <w:szCs w:val="21"/>
                    </w:rPr>
                    <w:t>本项目不属于淘汰落后类的产业；</w:t>
                  </w:r>
                </w:p>
                <w:p w14:paraId="4744B2C5">
                  <w:pPr>
                    <w:ind w:firstLine="420" w:firstLineChars="200"/>
                    <w:jc w:val="left"/>
                    <w:rPr>
                      <w:rFonts w:hint="eastAsia"/>
                      <w:color w:val="auto"/>
                      <w:szCs w:val="21"/>
                    </w:rPr>
                  </w:pPr>
                  <w:r>
                    <w:rPr>
                      <w:rFonts w:hint="eastAsia"/>
                      <w:color w:val="auto"/>
                      <w:szCs w:val="21"/>
                      <w:lang w:eastAsia="zh-CN"/>
                    </w:rPr>
                    <w:t>8.</w:t>
                  </w:r>
                  <w:r>
                    <w:rPr>
                      <w:rFonts w:hint="eastAsia"/>
                      <w:color w:val="auto"/>
                      <w:szCs w:val="21"/>
                    </w:rPr>
                    <w:t>本项目符合国家产业政策；</w:t>
                  </w:r>
                </w:p>
                <w:p w14:paraId="3EE72964">
                  <w:pPr>
                    <w:ind w:firstLine="420" w:firstLineChars="200"/>
                    <w:jc w:val="left"/>
                    <w:rPr>
                      <w:rFonts w:hint="eastAsia"/>
                      <w:color w:val="auto"/>
                      <w:szCs w:val="21"/>
                    </w:rPr>
                  </w:pPr>
                  <w:r>
                    <w:rPr>
                      <w:rFonts w:hint="eastAsia"/>
                      <w:color w:val="auto"/>
                      <w:szCs w:val="21"/>
                      <w:lang w:eastAsia="zh-CN"/>
                    </w:rPr>
                    <w:t>9.</w:t>
                  </w:r>
                  <w:r>
                    <w:rPr>
                      <w:rFonts w:hint="eastAsia"/>
                      <w:color w:val="auto"/>
                      <w:szCs w:val="21"/>
                    </w:rPr>
                    <w:t>本项目位于安徽青阳县新河镇镁铝及机电装备制造产业集聚区。</w:t>
                  </w:r>
                </w:p>
                <w:p w14:paraId="30D0AFA0">
                  <w:pPr>
                    <w:ind w:firstLine="420" w:firstLineChars="200"/>
                    <w:jc w:val="left"/>
                    <w:rPr>
                      <w:color w:val="auto"/>
                      <w:szCs w:val="21"/>
                    </w:rPr>
                  </w:pPr>
                  <w:r>
                    <w:rPr>
                      <w:rFonts w:hint="eastAsia"/>
                      <w:color w:val="auto"/>
                      <w:szCs w:val="21"/>
                      <w:lang w:eastAsia="zh-CN"/>
                    </w:rPr>
                    <w:t>10.</w:t>
                  </w:r>
                  <w:r>
                    <w:rPr>
                      <w:rFonts w:hint="eastAsia"/>
                      <w:color w:val="auto"/>
                      <w:szCs w:val="21"/>
                    </w:rPr>
                    <w:t>本项目不属于</w:t>
                  </w:r>
                  <w:r>
                    <w:rPr>
                      <w:rFonts w:hint="eastAsia"/>
                      <w:color w:val="auto"/>
                      <w:szCs w:val="21"/>
                      <w:lang w:eastAsia="zh-CN"/>
                    </w:rPr>
                    <w:t>《产业结构调整指导目录（2024年本）》</w:t>
                  </w:r>
                  <w:r>
                    <w:rPr>
                      <w:rFonts w:hint="eastAsia"/>
                      <w:color w:val="auto"/>
                      <w:szCs w:val="21"/>
                    </w:rPr>
                    <w:t>中淘汰类、限制类项目。</w:t>
                  </w:r>
                </w:p>
              </w:tc>
              <w:tc>
                <w:tcPr>
                  <w:tcW w:w="434" w:type="dxa"/>
                  <w:vMerge w:val="restart"/>
                  <w:noWrap w:val="0"/>
                  <w:vAlign w:val="center"/>
                </w:tcPr>
                <w:p w14:paraId="7F922137">
                  <w:pPr>
                    <w:jc w:val="center"/>
                    <w:rPr>
                      <w:color w:val="auto"/>
                      <w:szCs w:val="21"/>
                    </w:rPr>
                  </w:pPr>
                  <w:r>
                    <w:rPr>
                      <w:color w:val="auto"/>
                      <w:szCs w:val="21"/>
                    </w:rPr>
                    <w:t>符合</w:t>
                  </w:r>
                </w:p>
              </w:tc>
            </w:tr>
            <w:tr w14:paraId="5B58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3" w:hRule="atLeast"/>
                <w:jc w:val="center"/>
              </w:trPr>
              <w:tc>
                <w:tcPr>
                  <w:tcW w:w="741" w:type="dxa"/>
                  <w:vMerge w:val="continue"/>
                  <w:noWrap w:val="0"/>
                  <w:vAlign w:val="center"/>
                </w:tcPr>
                <w:p w14:paraId="43F275DF">
                  <w:pPr>
                    <w:jc w:val="center"/>
                    <w:rPr>
                      <w:color w:val="auto"/>
                      <w:szCs w:val="21"/>
                    </w:rPr>
                  </w:pPr>
                </w:p>
              </w:tc>
              <w:tc>
                <w:tcPr>
                  <w:tcW w:w="650" w:type="dxa"/>
                  <w:vMerge w:val="continue"/>
                  <w:noWrap w:val="0"/>
                  <w:vAlign w:val="center"/>
                </w:tcPr>
                <w:p w14:paraId="064EF417">
                  <w:pPr>
                    <w:jc w:val="center"/>
                    <w:rPr>
                      <w:color w:val="auto"/>
                      <w:szCs w:val="21"/>
                    </w:rPr>
                  </w:pPr>
                </w:p>
              </w:tc>
              <w:tc>
                <w:tcPr>
                  <w:tcW w:w="450" w:type="dxa"/>
                  <w:noWrap w:val="0"/>
                  <w:vAlign w:val="center"/>
                </w:tcPr>
                <w:p w14:paraId="00722FD8">
                  <w:pPr>
                    <w:jc w:val="center"/>
                    <w:rPr>
                      <w:color w:val="auto"/>
                      <w:szCs w:val="21"/>
                    </w:rPr>
                  </w:pPr>
                  <w:r>
                    <w:rPr>
                      <w:color w:val="auto"/>
                      <w:szCs w:val="21"/>
                    </w:rPr>
                    <w:t>污染物排放管控</w:t>
                  </w:r>
                </w:p>
              </w:tc>
              <w:tc>
                <w:tcPr>
                  <w:tcW w:w="3367" w:type="dxa"/>
                  <w:noWrap w:val="0"/>
                  <w:vAlign w:val="center"/>
                </w:tcPr>
                <w:p w14:paraId="1E7ED179">
                  <w:pPr>
                    <w:ind w:firstLine="420" w:firstLineChars="200"/>
                    <w:jc w:val="left"/>
                    <w:rPr>
                      <w:color w:val="auto"/>
                      <w:szCs w:val="21"/>
                    </w:rPr>
                  </w:pPr>
                  <w:r>
                    <w:rPr>
                      <w:rFonts w:hint="eastAsia"/>
                      <w:color w:val="auto"/>
                      <w:szCs w:val="21"/>
                      <w:lang w:eastAsia="zh-CN"/>
                    </w:rPr>
                    <w:t>1.</w:t>
                  </w:r>
                  <w:r>
                    <w:rPr>
                      <w:color w:val="auto"/>
                      <w:szCs w:val="21"/>
                    </w:rPr>
                    <w:t>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r>
                    <w:rPr>
                      <w:rFonts w:hint="eastAsia"/>
                      <w:color w:val="auto"/>
                      <w:szCs w:val="21"/>
                    </w:rPr>
                    <w:t>；</w:t>
                  </w:r>
                </w:p>
                <w:p w14:paraId="32121266">
                  <w:pPr>
                    <w:ind w:firstLine="420" w:firstLineChars="200"/>
                    <w:jc w:val="left"/>
                    <w:rPr>
                      <w:color w:val="auto"/>
                      <w:szCs w:val="21"/>
                    </w:rPr>
                  </w:pPr>
                  <w:r>
                    <w:rPr>
                      <w:rFonts w:hint="eastAsia"/>
                      <w:color w:val="auto"/>
                      <w:szCs w:val="21"/>
                      <w:lang w:eastAsia="zh-CN"/>
                    </w:rPr>
                    <w:t>2.</w:t>
                  </w:r>
                  <w:r>
                    <w:rPr>
                      <w:color w:val="auto"/>
                      <w:szCs w:val="21"/>
                    </w:rPr>
                    <w:t>积极推进清洁生产审核，对焦化、有色金属、石化、化工、电镀、制革、石油开采、造纸、印染、 农副食品加工等行业，全面推进清洁生产改造或清洁化改造</w:t>
                  </w:r>
                  <w:r>
                    <w:rPr>
                      <w:rFonts w:hint="eastAsia"/>
                      <w:color w:val="auto"/>
                      <w:szCs w:val="21"/>
                    </w:rPr>
                    <w:t>；</w:t>
                  </w:r>
                </w:p>
                <w:p w14:paraId="53D91DD6">
                  <w:pPr>
                    <w:ind w:firstLine="420" w:firstLineChars="200"/>
                    <w:jc w:val="left"/>
                    <w:rPr>
                      <w:color w:val="auto"/>
                      <w:szCs w:val="21"/>
                    </w:rPr>
                  </w:pPr>
                  <w:r>
                    <w:rPr>
                      <w:rFonts w:hint="eastAsia"/>
                      <w:color w:val="auto"/>
                      <w:szCs w:val="21"/>
                      <w:lang w:eastAsia="zh-CN"/>
                    </w:rPr>
                    <w:t>3.</w:t>
                  </w:r>
                  <w:r>
                    <w:rPr>
                      <w:color w:val="auto"/>
                      <w:szCs w:val="21"/>
                    </w:rPr>
                    <w:t>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w:t>
                  </w:r>
                  <w:r>
                    <w:rPr>
                      <w:rFonts w:hint="eastAsia"/>
                      <w:color w:val="auto"/>
                      <w:szCs w:val="21"/>
                    </w:rPr>
                    <w:t>；</w:t>
                  </w:r>
                </w:p>
                <w:p w14:paraId="1E0AB939">
                  <w:pPr>
                    <w:ind w:firstLine="420" w:firstLineChars="200"/>
                    <w:jc w:val="left"/>
                    <w:rPr>
                      <w:color w:val="auto"/>
                      <w:szCs w:val="21"/>
                    </w:rPr>
                  </w:pPr>
                  <w:r>
                    <w:rPr>
                      <w:rFonts w:hint="eastAsia"/>
                      <w:color w:val="auto"/>
                      <w:szCs w:val="21"/>
                      <w:lang w:eastAsia="zh-CN"/>
                    </w:rPr>
                    <w:t>4.</w:t>
                  </w:r>
                  <w:r>
                    <w:rPr>
                      <w:color w:val="auto"/>
                      <w:szCs w:val="21"/>
                    </w:rPr>
                    <w:t>环境空气质量持续改善， 全省细颗粒物（PM2.5）浓度总体达标，基本消除重污染天气，优良天数比率进一步提升</w:t>
                  </w:r>
                  <w:r>
                    <w:rPr>
                      <w:rFonts w:hint="eastAsia"/>
                      <w:color w:val="auto"/>
                      <w:szCs w:val="21"/>
                    </w:rPr>
                    <w:t>；</w:t>
                  </w:r>
                </w:p>
                <w:p w14:paraId="628A8E6D">
                  <w:pPr>
                    <w:ind w:firstLine="420" w:firstLineChars="200"/>
                    <w:jc w:val="left"/>
                    <w:rPr>
                      <w:color w:val="auto"/>
                      <w:szCs w:val="21"/>
                    </w:rPr>
                  </w:pPr>
                  <w:r>
                    <w:rPr>
                      <w:rFonts w:hint="eastAsia"/>
                      <w:color w:val="auto"/>
                      <w:szCs w:val="21"/>
                      <w:lang w:eastAsia="zh-CN"/>
                    </w:rPr>
                    <w:t>5.</w:t>
                  </w:r>
                  <w:r>
                    <w:rPr>
                      <w:color w:val="auto"/>
                      <w:szCs w:val="21"/>
                    </w:rPr>
                    <w:t>按《挥发性有机物无组织排放控制标准》（GB37822-2019）要求，做好VOCs物料储存、物料转移和输送、工艺过程、设备与管线组件、敞开液面VOCs排放，以及VOCs无组织排放废气收集处理系统要求。</w:t>
                  </w:r>
                </w:p>
              </w:tc>
              <w:tc>
                <w:tcPr>
                  <w:tcW w:w="1815" w:type="dxa"/>
                  <w:noWrap w:val="0"/>
                  <w:vAlign w:val="center"/>
                </w:tcPr>
                <w:p w14:paraId="6B2427B4">
                  <w:pPr>
                    <w:ind w:firstLine="420" w:firstLineChars="200"/>
                    <w:jc w:val="left"/>
                    <w:rPr>
                      <w:rFonts w:hint="eastAsia"/>
                      <w:color w:val="auto"/>
                      <w:szCs w:val="21"/>
                    </w:rPr>
                  </w:pPr>
                  <w:r>
                    <w:rPr>
                      <w:rFonts w:hint="eastAsia"/>
                      <w:color w:val="auto"/>
                      <w:szCs w:val="21"/>
                      <w:lang w:eastAsia="zh-CN"/>
                    </w:rPr>
                    <w:t>1.</w:t>
                  </w:r>
                  <w:r>
                    <w:rPr>
                      <w:rFonts w:hint="eastAsia"/>
                      <w:color w:val="auto"/>
                      <w:szCs w:val="21"/>
                    </w:rPr>
                    <w:t>本项目建成后污染物处理达标后排放，不会超过总量控制；</w:t>
                  </w:r>
                </w:p>
                <w:p w14:paraId="5784474F">
                  <w:pPr>
                    <w:ind w:firstLine="420" w:firstLineChars="200"/>
                    <w:jc w:val="left"/>
                    <w:rPr>
                      <w:rFonts w:hint="eastAsia"/>
                      <w:color w:val="auto"/>
                      <w:szCs w:val="21"/>
                    </w:rPr>
                  </w:pPr>
                  <w:r>
                    <w:rPr>
                      <w:rFonts w:hint="eastAsia"/>
                      <w:color w:val="auto"/>
                      <w:szCs w:val="21"/>
                      <w:lang w:eastAsia="zh-CN"/>
                    </w:rPr>
                    <w:t>2.</w:t>
                  </w:r>
                  <w:r>
                    <w:rPr>
                      <w:rFonts w:hint="eastAsia"/>
                      <w:color w:val="auto"/>
                      <w:szCs w:val="21"/>
                    </w:rPr>
                    <w:t>本项目污染物处理后达标排放，本项目废水仅为生活污水与冷却水排水；</w:t>
                  </w:r>
                </w:p>
                <w:p w14:paraId="62240D57">
                  <w:pPr>
                    <w:ind w:firstLine="420" w:firstLineChars="200"/>
                    <w:jc w:val="left"/>
                    <w:rPr>
                      <w:color w:val="auto"/>
                      <w:szCs w:val="21"/>
                    </w:rPr>
                  </w:pPr>
                  <w:r>
                    <w:rPr>
                      <w:rFonts w:hint="eastAsia"/>
                      <w:color w:val="auto"/>
                      <w:szCs w:val="21"/>
                      <w:lang w:eastAsia="zh-CN"/>
                    </w:rPr>
                    <w:t>3.</w:t>
                  </w:r>
                  <w:r>
                    <w:rPr>
                      <w:rFonts w:hint="eastAsia"/>
                      <w:color w:val="auto"/>
                      <w:szCs w:val="21"/>
                    </w:rPr>
                    <w:t>本项目废水生活污水经化粪池收集后纳管排入新河污水处理站处理；</w:t>
                  </w:r>
                </w:p>
                <w:p w14:paraId="190F11A5">
                  <w:pPr>
                    <w:ind w:firstLine="420" w:firstLineChars="200"/>
                    <w:jc w:val="left"/>
                    <w:rPr>
                      <w:rFonts w:hint="default" w:eastAsia="宋体"/>
                      <w:lang w:val="en-US" w:eastAsia="zh-CN"/>
                    </w:rPr>
                  </w:pPr>
                  <w:r>
                    <w:rPr>
                      <w:rFonts w:hint="eastAsia"/>
                      <w:color w:val="auto"/>
                      <w:szCs w:val="21"/>
                      <w:lang w:eastAsia="zh-CN"/>
                    </w:rPr>
                    <w:t>4.</w:t>
                  </w:r>
                  <w:r>
                    <w:rPr>
                      <w:rFonts w:hint="eastAsia"/>
                      <w:color w:val="auto"/>
                      <w:szCs w:val="21"/>
                    </w:rPr>
                    <w:t>本项目颗粒物处理达标后排放，对环境空气质量影响可接受。</w:t>
                  </w:r>
                </w:p>
              </w:tc>
              <w:tc>
                <w:tcPr>
                  <w:tcW w:w="434" w:type="dxa"/>
                  <w:vMerge w:val="continue"/>
                  <w:noWrap w:val="0"/>
                  <w:vAlign w:val="center"/>
                </w:tcPr>
                <w:p w14:paraId="5BA165AA">
                  <w:pPr>
                    <w:jc w:val="center"/>
                    <w:rPr>
                      <w:color w:val="auto"/>
                      <w:szCs w:val="21"/>
                    </w:rPr>
                  </w:pPr>
                </w:p>
              </w:tc>
            </w:tr>
            <w:tr w14:paraId="256C7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Merge w:val="continue"/>
                  <w:noWrap w:val="0"/>
                  <w:vAlign w:val="center"/>
                </w:tcPr>
                <w:p w14:paraId="01DC29AD">
                  <w:pPr>
                    <w:jc w:val="center"/>
                    <w:rPr>
                      <w:color w:val="auto"/>
                      <w:szCs w:val="21"/>
                    </w:rPr>
                  </w:pPr>
                </w:p>
              </w:tc>
              <w:tc>
                <w:tcPr>
                  <w:tcW w:w="650" w:type="dxa"/>
                  <w:vMerge w:val="continue"/>
                  <w:noWrap w:val="0"/>
                  <w:vAlign w:val="center"/>
                </w:tcPr>
                <w:p w14:paraId="621F0BCE">
                  <w:pPr>
                    <w:jc w:val="center"/>
                    <w:rPr>
                      <w:color w:val="auto"/>
                      <w:szCs w:val="21"/>
                    </w:rPr>
                  </w:pPr>
                </w:p>
              </w:tc>
              <w:tc>
                <w:tcPr>
                  <w:tcW w:w="450" w:type="dxa"/>
                  <w:noWrap w:val="0"/>
                  <w:vAlign w:val="center"/>
                </w:tcPr>
                <w:p w14:paraId="235A607A">
                  <w:pPr>
                    <w:jc w:val="center"/>
                    <w:rPr>
                      <w:color w:val="auto"/>
                      <w:szCs w:val="21"/>
                    </w:rPr>
                  </w:pPr>
                  <w:r>
                    <w:rPr>
                      <w:color w:val="auto"/>
                      <w:szCs w:val="21"/>
                    </w:rPr>
                    <w:t>资源开发效率要求</w:t>
                  </w:r>
                </w:p>
              </w:tc>
              <w:tc>
                <w:tcPr>
                  <w:tcW w:w="3367" w:type="dxa"/>
                  <w:noWrap w:val="0"/>
                  <w:vAlign w:val="center"/>
                </w:tcPr>
                <w:p w14:paraId="79CA0AA5">
                  <w:pPr>
                    <w:ind w:firstLine="420" w:firstLineChars="200"/>
                    <w:jc w:val="left"/>
                    <w:rPr>
                      <w:rFonts w:hint="eastAsia"/>
                      <w:color w:val="auto"/>
                      <w:szCs w:val="21"/>
                    </w:rPr>
                  </w:pPr>
                  <w:r>
                    <w:rPr>
                      <w:rFonts w:hint="eastAsia"/>
                      <w:color w:val="auto"/>
                      <w:szCs w:val="21"/>
                      <w:lang w:eastAsia="zh-CN"/>
                    </w:rPr>
                    <w:t>1.</w:t>
                  </w:r>
                  <w:r>
                    <w:rPr>
                      <w:rFonts w:hint="eastAsia"/>
                      <w:color w:val="auto"/>
                      <w:szCs w:val="21"/>
                    </w:rPr>
                    <w:t>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w:t>
                  </w:r>
                </w:p>
                <w:p w14:paraId="272BF05A">
                  <w:pPr>
                    <w:ind w:firstLine="420" w:firstLineChars="200"/>
                    <w:jc w:val="left"/>
                    <w:rPr>
                      <w:rFonts w:hint="eastAsia"/>
                      <w:color w:val="auto"/>
                      <w:szCs w:val="21"/>
                    </w:rPr>
                  </w:pPr>
                  <w:r>
                    <w:rPr>
                      <w:rFonts w:hint="eastAsia"/>
                      <w:color w:val="auto"/>
                      <w:szCs w:val="21"/>
                      <w:lang w:eastAsia="zh-CN"/>
                    </w:rPr>
                    <w:t>2.</w:t>
                  </w:r>
                  <w:r>
                    <w:rPr>
                      <w:rFonts w:hint="eastAsia"/>
                      <w:color w:val="auto"/>
                      <w:szCs w:val="21"/>
                    </w:rPr>
                    <w:t>在禁燃区内的企业事业单位和其他生产经营者，应当在规定的期限内停止使用高污染燃料，改用天然气、液化石油气、电能或者其他清洁能源。</w:t>
                  </w:r>
                </w:p>
                <w:p w14:paraId="700DDB8E">
                  <w:pPr>
                    <w:ind w:firstLine="420" w:firstLineChars="200"/>
                    <w:jc w:val="left"/>
                    <w:rPr>
                      <w:rFonts w:hint="eastAsia"/>
                      <w:color w:val="auto"/>
                      <w:szCs w:val="21"/>
                    </w:rPr>
                  </w:pPr>
                  <w:r>
                    <w:rPr>
                      <w:rFonts w:hint="eastAsia"/>
                      <w:color w:val="auto"/>
                      <w:szCs w:val="21"/>
                      <w:lang w:eastAsia="zh-CN"/>
                    </w:rPr>
                    <w:t>3.</w:t>
                  </w:r>
                  <w:r>
                    <w:rPr>
                      <w:rFonts w:hint="eastAsia"/>
                      <w:color w:val="auto"/>
                      <w:szCs w:val="21"/>
                    </w:rPr>
                    <w:t>按照省政府下达给区域各市的水资源利用总量及效率要求执行；</w:t>
                  </w:r>
                </w:p>
                <w:p w14:paraId="31D49BF0">
                  <w:pPr>
                    <w:ind w:firstLine="420" w:firstLineChars="200"/>
                    <w:jc w:val="left"/>
                    <w:rPr>
                      <w:rFonts w:hint="eastAsia"/>
                      <w:color w:val="auto"/>
                      <w:szCs w:val="21"/>
                    </w:rPr>
                  </w:pPr>
                  <w:r>
                    <w:rPr>
                      <w:rFonts w:hint="eastAsia"/>
                      <w:color w:val="auto"/>
                      <w:szCs w:val="21"/>
                      <w:lang w:eastAsia="zh-CN"/>
                    </w:rPr>
                    <w:t>4.</w:t>
                  </w:r>
                  <w:r>
                    <w:rPr>
                      <w:rFonts w:hint="eastAsia"/>
                      <w:color w:val="auto"/>
                      <w:szCs w:val="21"/>
                    </w:rPr>
                    <w:t>按照省级清单中地下水开采要求执行；</w:t>
                  </w:r>
                </w:p>
                <w:p w14:paraId="72EE82E0">
                  <w:pPr>
                    <w:ind w:firstLine="420" w:firstLineChars="200"/>
                    <w:jc w:val="left"/>
                    <w:rPr>
                      <w:color w:val="auto"/>
                      <w:szCs w:val="21"/>
                    </w:rPr>
                  </w:pPr>
                  <w:r>
                    <w:rPr>
                      <w:rFonts w:hint="eastAsia"/>
                      <w:color w:val="auto"/>
                      <w:szCs w:val="21"/>
                      <w:lang w:eastAsia="zh-CN"/>
                    </w:rPr>
                    <w:t>5.</w:t>
                  </w:r>
                  <w:r>
                    <w:rPr>
                      <w:rFonts w:hint="eastAsia"/>
                      <w:color w:val="auto"/>
                      <w:szCs w:val="21"/>
                    </w:rPr>
                    <w:t>土地资源利用效率按照省政府下达给区域各市的要求执行。</w:t>
                  </w:r>
                </w:p>
              </w:tc>
              <w:tc>
                <w:tcPr>
                  <w:tcW w:w="1815" w:type="dxa"/>
                  <w:noWrap w:val="0"/>
                  <w:vAlign w:val="center"/>
                </w:tcPr>
                <w:p w14:paraId="25D0FF5B">
                  <w:pPr>
                    <w:ind w:firstLine="420" w:firstLineChars="200"/>
                    <w:jc w:val="left"/>
                    <w:rPr>
                      <w:rFonts w:hint="eastAsia"/>
                      <w:color w:val="auto"/>
                      <w:szCs w:val="21"/>
                    </w:rPr>
                  </w:pPr>
                  <w:r>
                    <w:rPr>
                      <w:rFonts w:hint="eastAsia"/>
                      <w:color w:val="auto"/>
                      <w:szCs w:val="21"/>
                      <w:lang w:eastAsia="zh-CN"/>
                    </w:rPr>
                    <w:t>1.</w:t>
                  </w:r>
                  <w:r>
                    <w:rPr>
                      <w:rFonts w:hint="eastAsia"/>
                      <w:color w:val="auto"/>
                      <w:szCs w:val="21"/>
                    </w:rPr>
                    <w:t>本项目不使用煤炭资源；</w:t>
                  </w:r>
                </w:p>
                <w:p w14:paraId="1D7FE750">
                  <w:pPr>
                    <w:ind w:firstLine="420" w:firstLineChars="200"/>
                    <w:jc w:val="left"/>
                    <w:rPr>
                      <w:rFonts w:hint="eastAsia"/>
                      <w:color w:val="auto"/>
                      <w:szCs w:val="21"/>
                    </w:rPr>
                  </w:pPr>
                  <w:r>
                    <w:rPr>
                      <w:rFonts w:hint="eastAsia"/>
                      <w:color w:val="auto"/>
                      <w:szCs w:val="21"/>
                      <w:lang w:eastAsia="zh-CN"/>
                    </w:rPr>
                    <w:t>2.</w:t>
                  </w:r>
                  <w:r>
                    <w:rPr>
                      <w:rFonts w:hint="eastAsia"/>
                      <w:color w:val="auto"/>
                      <w:szCs w:val="21"/>
                    </w:rPr>
                    <w:t>本项目不处于禁燃区，项目使用电能；</w:t>
                  </w:r>
                </w:p>
                <w:p w14:paraId="4A60B3A2">
                  <w:pPr>
                    <w:ind w:firstLine="420" w:firstLineChars="200"/>
                    <w:jc w:val="left"/>
                    <w:rPr>
                      <w:rFonts w:hint="eastAsia"/>
                      <w:color w:val="auto"/>
                      <w:szCs w:val="21"/>
                    </w:rPr>
                  </w:pPr>
                  <w:r>
                    <w:rPr>
                      <w:rFonts w:hint="eastAsia"/>
                      <w:color w:val="auto"/>
                      <w:szCs w:val="21"/>
                      <w:lang w:eastAsia="zh-CN"/>
                    </w:rPr>
                    <w:t>3.</w:t>
                  </w:r>
                  <w:r>
                    <w:rPr>
                      <w:rFonts w:hint="eastAsia"/>
                      <w:color w:val="auto"/>
                      <w:szCs w:val="21"/>
                    </w:rPr>
                    <w:t>本项目不属于高</w:t>
                  </w:r>
                  <w:r>
                    <w:rPr>
                      <w:rFonts w:hint="eastAsia"/>
                      <w:color w:val="auto"/>
                      <w:szCs w:val="21"/>
                      <w:lang w:eastAsia="zh-CN"/>
                    </w:rPr>
                    <w:t>耗水</w:t>
                  </w:r>
                  <w:r>
                    <w:rPr>
                      <w:rFonts w:hint="eastAsia"/>
                      <w:color w:val="auto"/>
                      <w:szCs w:val="21"/>
                    </w:rPr>
                    <w:t>项目，用水不会超过水资源利用上限；</w:t>
                  </w:r>
                </w:p>
                <w:p w14:paraId="229DF30C">
                  <w:pPr>
                    <w:ind w:firstLine="420" w:firstLineChars="200"/>
                    <w:jc w:val="left"/>
                    <w:rPr>
                      <w:rFonts w:hint="eastAsia"/>
                      <w:color w:val="auto"/>
                      <w:szCs w:val="21"/>
                    </w:rPr>
                  </w:pPr>
                  <w:r>
                    <w:rPr>
                      <w:rFonts w:hint="eastAsia"/>
                      <w:color w:val="auto"/>
                      <w:szCs w:val="21"/>
                      <w:lang w:eastAsia="zh-CN"/>
                    </w:rPr>
                    <w:t>4.</w:t>
                  </w:r>
                  <w:r>
                    <w:rPr>
                      <w:rFonts w:hint="eastAsia"/>
                      <w:color w:val="auto"/>
                      <w:szCs w:val="21"/>
                    </w:rPr>
                    <w:t>本项目不利用地下水资源；</w:t>
                  </w:r>
                </w:p>
                <w:p w14:paraId="1F85CBE3">
                  <w:pPr>
                    <w:ind w:firstLine="420" w:firstLineChars="200"/>
                    <w:jc w:val="left"/>
                    <w:rPr>
                      <w:color w:val="auto"/>
                      <w:szCs w:val="21"/>
                    </w:rPr>
                  </w:pPr>
                  <w:r>
                    <w:rPr>
                      <w:rFonts w:hint="eastAsia"/>
                      <w:color w:val="auto"/>
                      <w:szCs w:val="21"/>
                      <w:lang w:eastAsia="zh-CN"/>
                    </w:rPr>
                    <w:t>5.</w:t>
                  </w:r>
                  <w:r>
                    <w:rPr>
                      <w:rFonts w:hint="eastAsia"/>
                      <w:color w:val="auto"/>
                      <w:szCs w:val="21"/>
                    </w:rPr>
                    <w:t>本项目用地为工业用地。</w:t>
                  </w:r>
                </w:p>
              </w:tc>
              <w:tc>
                <w:tcPr>
                  <w:tcW w:w="434" w:type="dxa"/>
                  <w:vMerge w:val="continue"/>
                  <w:noWrap w:val="0"/>
                  <w:vAlign w:val="center"/>
                </w:tcPr>
                <w:p w14:paraId="3E31B79C">
                  <w:pPr>
                    <w:jc w:val="center"/>
                    <w:rPr>
                      <w:color w:val="auto"/>
                      <w:szCs w:val="21"/>
                    </w:rPr>
                  </w:pPr>
                </w:p>
              </w:tc>
            </w:tr>
          </w:tbl>
          <w:p w14:paraId="3EE1BDEB">
            <w:pPr>
              <w:pStyle w:val="4"/>
              <w:spacing w:before="120" w:after="120"/>
              <w:ind w:firstLine="482"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综上，本项目符合生态环境分区管控相关要求。</w:t>
            </w:r>
          </w:p>
          <w:p w14:paraId="4925B5D7">
            <w:pPr>
              <w:ind w:left="0" w:leftChars="0" w:firstLine="0" w:firstLineChars="0"/>
              <w:jc w:val="center"/>
              <w:rPr>
                <w:color w:val="auto"/>
              </w:rPr>
            </w:pPr>
            <w:r>
              <w:rPr>
                <w:color w:val="auto"/>
                <w:sz w:val="24"/>
              </w:rPr>
              <mc:AlternateContent>
                <mc:Choice Requires="wps">
                  <w:drawing>
                    <wp:anchor distT="0" distB="0" distL="114300" distR="114300" simplePos="0" relativeHeight="251665408" behindDoc="0" locked="0" layoutInCell="1" allowOverlap="1">
                      <wp:simplePos x="0" y="0"/>
                      <wp:positionH relativeFrom="column">
                        <wp:posOffset>3241675</wp:posOffset>
                      </wp:positionH>
                      <wp:positionV relativeFrom="paragraph">
                        <wp:posOffset>2066925</wp:posOffset>
                      </wp:positionV>
                      <wp:extent cx="825500" cy="285750"/>
                      <wp:effectExtent l="0" t="0" r="0" b="0"/>
                      <wp:wrapNone/>
                      <wp:docPr id="8" name="自选图形 20"/>
                      <wp:cNvGraphicFramePr/>
                      <a:graphic xmlns:a="http://schemas.openxmlformats.org/drawingml/2006/main">
                        <a:graphicData uri="http://schemas.microsoft.com/office/word/2010/wordprocessingShape">
                          <wps:wsp>
                            <wps:cNvSpPr/>
                            <wps:spPr>
                              <a:xfrm>
                                <a:off x="0" y="0"/>
                                <a:ext cx="825500" cy="285750"/>
                              </a:xfrm>
                              <a:prstGeom prst="wedgeRectCallout">
                                <a:avLst>
                                  <a:gd name="adj1" fmla="val -74532"/>
                                  <a:gd name="adj2" fmla="val 111324"/>
                                </a:avLst>
                              </a:prstGeom>
                              <a:noFill/>
                              <a:ln w="9525" cap="flat" cmpd="sng">
                                <a:solidFill>
                                  <a:srgbClr val="000000"/>
                                </a:solidFill>
                                <a:prstDash val="solid"/>
                                <a:miter/>
                                <a:headEnd type="none" w="med" len="med"/>
                                <a:tailEnd type="none" w="med" len="med"/>
                              </a:ln>
                            </wps:spPr>
                            <wps:txbx>
                              <w:txbxContent>
                                <w:p w14:paraId="2380A334">
                                  <w:pPr>
                                    <w:rPr>
                                      <w:rFonts w:hint="eastAsia"/>
                                      <w:szCs w:val="21"/>
                                    </w:rPr>
                                  </w:pPr>
                                  <w:r>
                                    <w:rPr>
                                      <w:rFonts w:hint="eastAsia"/>
                                      <w:szCs w:val="21"/>
                                    </w:rPr>
                                    <w:t>项目位置</w:t>
                                  </w:r>
                                </w:p>
                              </w:txbxContent>
                            </wps:txbx>
                            <wps:bodyPr wrap="square" upright="1"/>
                          </wps:wsp>
                        </a:graphicData>
                      </a:graphic>
                    </wp:anchor>
                  </w:drawing>
                </mc:Choice>
                <mc:Fallback>
                  <w:pict>
                    <v:shape id="自选图形 20" o:spid="_x0000_s1026" o:spt="61" type="#_x0000_t61" style="position:absolute;left:0pt;margin-left:255.25pt;margin-top:162.75pt;height:22.5pt;width:65pt;z-index:251665408;mso-width-relative:page;mso-height-relative:page;" filled="f" stroked="t" coordsize="21600,21600" o:gfxdata="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4MZ8NcAAAALAQAADwAAAAAAAAABACAAAAAiAAAAZHJz&#10;L2Rvd25yZXYueG1sUEsBAhQAFAAAAAgAh07iQBW2jPs+AgAAcwQAAA4AAAAAAAAAAQAgAAAAJgEA&#10;AGRycy9lMm9Eb2MueG1sUEsFBgAAAAAGAAYAWQEAANYFAAAAAA==&#10;" adj="-5299,34846">
                      <v:fill on="f" focussize="0,0"/>
                      <v:stroke color="#000000" joinstyle="miter"/>
                      <v:imagedata o:title=""/>
                      <o:lock v:ext="edit" aspectratio="f"/>
                      <v:textbox>
                        <w:txbxContent>
                          <w:p w14:paraId="2380A334">
                            <w:pPr>
                              <w:rPr>
                                <w:rFonts w:hint="eastAsia"/>
                                <w:szCs w:val="21"/>
                              </w:rPr>
                            </w:pPr>
                            <w:r>
                              <w:rPr>
                                <w:rFonts w:hint="eastAsia"/>
                                <w:szCs w:val="21"/>
                              </w:rPr>
                              <w:t>项目位置</w:t>
                            </w:r>
                          </w:p>
                        </w:txbxContent>
                      </v:textbox>
                    </v:shape>
                  </w:pict>
                </mc:Fallback>
              </mc:AlternateContent>
            </w:r>
            <w:r>
              <w:rPr>
                <w:color w:val="auto"/>
                <w:sz w:val="24"/>
              </w:rPr>
              <mc:AlternateContent>
                <mc:Choice Requires="wps">
                  <w:drawing>
                    <wp:anchor distT="0" distB="0" distL="114300" distR="114300" simplePos="0" relativeHeight="251664384" behindDoc="0" locked="0" layoutInCell="1" allowOverlap="1">
                      <wp:simplePos x="0" y="0"/>
                      <wp:positionH relativeFrom="column">
                        <wp:posOffset>2948940</wp:posOffset>
                      </wp:positionH>
                      <wp:positionV relativeFrom="paragraph">
                        <wp:posOffset>2526665</wp:posOffset>
                      </wp:positionV>
                      <wp:extent cx="109855" cy="75565"/>
                      <wp:effectExtent l="0" t="0" r="0" b="0"/>
                      <wp:wrapNone/>
                      <wp:docPr id="7" name="椭圆 21"/>
                      <wp:cNvGraphicFramePr/>
                      <a:graphic xmlns:a="http://schemas.openxmlformats.org/drawingml/2006/main">
                        <a:graphicData uri="http://schemas.microsoft.com/office/word/2010/wordprocessingShape">
                          <wps:wsp>
                            <wps:cNvSpPr/>
                            <wps:spPr>
                              <a:xfrm>
                                <a:off x="0" y="0"/>
                                <a:ext cx="109855" cy="75565"/>
                              </a:xfrm>
                              <a:prstGeom prst="ellipse">
                                <a:avLst/>
                              </a:prstGeom>
                              <a:solidFill>
                                <a:srgbClr val="FF0000"/>
                              </a:solidFill>
                              <a:ln w="9525" cap="flat" cmpd="sng">
                                <a:solidFill>
                                  <a:srgbClr val="000000"/>
                                </a:solidFill>
                                <a:prstDash val="solid"/>
                                <a:headEnd type="none" w="med" len="med"/>
                                <a:tailEnd type="none" w="med" len="med"/>
                              </a:ln>
                            </wps:spPr>
                            <wps:bodyPr wrap="square" upright="1"/>
                          </wps:wsp>
                        </a:graphicData>
                      </a:graphic>
                    </wp:anchor>
                  </w:drawing>
                </mc:Choice>
                <mc:Fallback>
                  <w:pict>
                    <v:shape id="椭圆 21" o:spid="_x0000_s1026" o:spt="3" type="#_x0000_t3" style="position:absolute;left:0pt;margin-left:232.2pt;margin-top:198.95pt;height:5.95pt;width:8.65pt;z-index:251664384;mso-width-relative:page;mso-height-relative:page;" fillcolor="#FF0000" filled="t" stroked="t" coordsize="21600,21600" o:gfxdata="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hJwnraAAAACwEAAA8AAAAAAAAAAQAgAAAAIgAAAGRycy9k&#10;b3ducmV2LnhtbFBLAQIUABQAAAAIAIdO4kCeCHTqAAIAACQEAAAOAAAAAAAAAAEAIAAAACkBAABk&#10;cnMvZTJvRG9jLnhtbFBLBQYAAAAABgAGAFkBAACbBQAAAAA=&#10;">
                      <v:fill on="t" focussize="0,0"/>
                      <v:stroke color="#000000" joinstyle="round"/>
                      <v:imagedata o:title=""/>
                      <o:lock v:ext="edit" aspectratio="f"/>
                    </v:shape>
                  </w:pict>
                </mc:Fallback>
              </mc:AlternateContent>
            </w:r>
            <w:r>
              <w:rPr>
                <w:color w:val="auto"/>
                <w:sz w:val="24"/>
              </w:rPr>
              <mc:AlternateContent>
                <mc:Choice Requires="wps">
                  <w:drawing>
                    <wp:anchor distT="0" distB="0" distL="114300" distR="114300" simplePos="0" relativeHeight="251663360" behindDoc="0" locked="0" layoutInCell="1" allowOverlap="1">
                      <wp:simplePos x="0" y="0"/>
                      <wp:positionH relativeFrom="column">
                        <wp:posOffset>2224405</wp:posOffset>
                      </wp:positionH>
                      <wp:positionV relativeFrom="paragraph">
                        <wp:posOffset>1966595</wp:posOffset>
                      </wp:positionV>
                      <wp:extent cx="1758315" cy="1112520"/>
                      <wp:effectExtent l="0" t="0" r="0" b="0"/>
                      <wp:wrapNone/>
                      <wp:docPr id="6" name="自选图形 22"/>
                      <wp:cNvGraphicFramePr/>
                      <a:graphic xmlns:a="http://schemas.openxmlformats.org/drawingml/2006/main">
                        <a:graphicData uri="http://schemas.microsoft.com/office/word/2010/wordprocessingShape">
                          <wps:wsp>
                            <wps:cNvSpPr/>
                            <wps:spPr>
                              <a:xfrm flipV="1">
                                <a:off x="0" y="0"/>
                                <a:ext cx="1758315" cy="1112520"/>
                              </a:xfrm>
                              <a:prstGeom prst="wedgeRectCallout">
                                <a:avLst>
                                  <a:gd name="adj1" fmla="val 7134"/>
                                  <a:gd name="adj2" fmla="val 155593"/>
                                </a:avLst>
                              </a:prstGeom>
                              <a:noFill/>
                              <a:ln w="9525" cap="flat" cmpd="sng">
                                <a:solidFill>
                                  <a:srgbClr val="FF0000"/>
                                </a:solidFill>
                                <a:prstDash val="solid"/>
                                <a:miter/>
                                <a:headEnd type="none" w="med" len="med"/>
                                <a:tailEnd type="none" w="med" len="med"/>
                              </a:ln>
                            </wps:spPr>
                            <wps:txbx>
                              <w:txbxContent>
                                <w:p w14:paraId="261569F8">
                                  <w:r>
                                    <w:drawing>
                                      <wp:inline distT="0" distB="0" distL="114300" distR="114300">
                                        <wp:extent cx="1564640" cy="918845"/>
                                        <wp:effectExtent l="0" t="0" r="0" b="0"/>
                                        <wp:docPr id="2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6"/>
                                                <pic:cNvPicPr>
                                                  <a:picLocks noChangeAspect="1"/>
                                                </pic:cNvPicPr>
                                              </pic:nvPicPr>
                                              <pic:blipFill>
                                                <a:blip r:embed="rId10"/>
                                                <a:stretch>
                                                  <a:fillRect/>
                                                </a:stretch>
                                              </pic:blipFill>
                                              <pic:spPr>
                                                <a:xfrm>
                                                  <a:off x="0" y="0"/>
                                                  <a:ext cx="1564640" cy="918845"/>
                                                </a:xfrm>
                                                <a:prstGeom prst="rect">
                                                  <a:avLst/>
                                                </a:prstGeom>
                                                <a:noFill/>
                                                <a:ln>
                                                  <a:noFill/>
                                                </a:ln>
                                              </pic:spPr>
                                            </pic:pic>
                                          </a:graphicData>
                                        </a:graphic>
                                      </wp:inline>
                                    </w:drawing>
                                  </w:r>
                                </w:p>
                              </w:txbxContent>
                            </wps:txbx>
                            <wps:bodyPr wrap="square" upright="1"/>
                          </wps:wsp>
                        </a:graphicData>
                      </a:graphic>
                    </wp:anchor>
                  </w:drawing>
                </mc:Choice>
                <mc:Fallback>
                  <w:pict>
                    <v:shape id="自选图形 22" o:spid="_x0000_s1026" o:spt="61" type="#_x0000_t61" style="position:absolute;left:0pt;flip:y;margin-left:175.15pt;margin-top:154.85pt;height:87.6pt;width:138.45pt;z-index:251663360;mso-width-relative:page;mso-height-relative:page;" filled="f" stroked="t" coordsize="21600,21600" o:gfxdata="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8WgbG2wAAAAsBAAAPAAAAAAAA&#10;AAEAIAAAACIAAABkcnMvZG93bnJldi54bWxQSwECFAAUAAAACACHTuJA1glRfUgCAAB9BAAADgAA&#10;AAAAAAABACAAAAAqAQAAZHJzL2Uyb0RvYy54bWxQSwUGAAAAAAYABgBZAQAA5AUAAAAA&#10;" adj="12341,44408">
                      <v:fill on="f" focussize="0,0"/>
                      <v:stroke color="#FF0000" joinstyle="miter"/>
                      <v:imagedata o:title=""/>
                      <o:lock v:ext="edit" aspectratio="f"/>
                      <v:textbox>
                        <w:txbxContent>
                          <w:p w14:paraId="261569F8">
                            <w:r>
                              <w:drawing>
                                <wp:inline distT="0" distB="0" distL="114300" distR="114300">
                                  <wp:extent cx="1564640" cy="918845"/>
                                  <wp:effectExtent l="0" t="0" r="0" b="0"/>
                                  <wp:docPr id="2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6"/>
                                          <pic:cNvPicPr>
                                            <a:picLocks noChangeAspect="1"/>
                                          </pic:cNvPicPr>
                                        </pic:nvPicPr>
                                        <pic:blipFill>
                                          <a:blip r:embed="rId10"/>
                                          <a:stretch>
                                            <a:fillRect/>
                                          </a:stretch>
                                        </pic:blipFill>
                                        <pic:spPr>
                                          <a:xfrm>
                                            <a:off x="0" y="0"/>
                                            <a:ext cx="1564640" cy="918845"/>
                                          </a:xfrm>
                                          <a:prstGeom prst="rect">
                                            <a:avLst/>
                                          </a:prstGeom>
                                          <a:noFill/>
                                          <a:ln>
                                            <a:noFill/>
                                          </a:ln>
                                        </pic:spPr>
                                      </pic:pic>
                                    </a:graphicData>
                                  </a:graphic>
                                </wp:inline>
                              </w:drawing>
                            </w:r>
                          </w:p>
                        </w:txbxContent>
                      </v:textbox>
                    </v:shape>
                  </w:pict>
                </mc:Fallback>
              </mc:AlternateContent>
            </w:r>
            <w:r>
              <w:rPr>
                <w:color w:val="auto"/>
              </w:rPr>
              <w:drawing>
                <wp:inline distT="0" distB="0" distL="114300" distR="114300">
                  <wp:extent cx="4416425" cy="3126105"/>
                  <wp:effectExtent l="0" t="0" r="0" b="0"/>
                  <wp:docPr id="31"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7"/>
                          <pic:cNvPicPr>
                            <a:picLocks noChangeAspect="1"/>
                          </pic:cNvPicPr>
                        </pic:nvPicPr>
                        <pic:blipFill>
                          <a:blip r:embed="rId11"/>
                          <a:stretch>
                            <a:fillRect/>
                          </a:stretch>
                        </pic:blipFill>
                        <pic:spPr>
                          <a:xfrm>
                            <a:off x="0" y="0"/>
                            <a:ext cx="4416425" cy="3126105"/>
                          </a:xfrm>
                          <a:prstGeom prst="rect">
                            <a:avLst/>
                          </a:prstGeom>
                          <a:noFill/>
                          <a:ln>
                            <a:noFill/>
                          </a:ln>
                        </pic:spPr>
                      </pic:pic>
                    </a:graphicData>
                  </a:graphic>
                </wp:inline>
              </w:drawing>
            </w:r>
          </w:p>
          <w:p w14:paraId="25AF186E">
            <w:pPr>
              <w:pStyle w:val="15"/>
              <w:spacing w:before="0" w:after="0" w:line="240" w:lineRule="auto"/>
              <w:ind w:left="0" w:leftChars="0" w:right="0" w:firstLine="0" w:firstLineChars="0"/>
              <w:jc w:val="center"/>
              <w:rPr>
                <w:b/>
                <w:bCs/>
                <w:color w:val="auto"/>
                <w:sz w:val="24"/>
                <w:szCs w:val="24"/>
              </w:rPr>
            </w:pPr>
            <w:r>
              <w:rPr>
                <w:b/>
                <w:bCs/>
                <w:color w:val="auto"/>
                <w:sz w:val="24"/>
                <w:szCs w:val="24"/>
              </w:rPr>
              <w:t>图1-</w:t>
            </w:r>
            <w:r>
              <w:rPr>
                <w:rFonts w:hint="eastAsia"/>
                <w:b/>
                <w:bCs/>
                <w:color w:val="auto"/>
                <w:sz w:val="24"/>
                <w:szCs w:val="24"/>
              </w:rPr>
              <w:t>1</w:t>
            </w:r>
            <w:r>
              <w:rPr>
                <w:b/>
                <w:bCs/>
                <w:color w:val="auto"/>
                <w:sz w:val="24"/>
                <w:szCs w:val="24"/>
              </w:rPr>
              <w:t xml:space="preserve">  本项目区块与池州市生态红线位置关系图</w:t>
            </w:r>
          </w:p>
          <w:p w14:paraId="0672DFBE">
            <w:pPr>
              <w:ind w:left="0" w:leftChars="0" w:firstLine="0" w:firstLineChars="0"/>
              <w:jc w:val="center"/>
              <w:rPr>
                <w:color w:val="auto"/>
              </w:rPr>
            </w:pPr>
            <w:r>
              <w:rPr>
                <w:color w:val="auto"/>
                <w:sz w:val="24"/>
              </w:rPr>
              <mc:AlternateContent>
                <mc:Choice Requires="wps">
                  <w:drawing>
                    <wp:anchor distT="0" distB="0" distL="114300" distR="114300" simplePos="0" relativeHeight="251668480" behindDoc="0" locked="0" layoutInCell="1" allowOverlap="1">
                      <wp:simplePos x="0" y="0"/>
                      <wp:positionH relativeFrom="column">
                        <wp:posOffset>2626360</wp:posOffset>
                      </wp:positionH>
                      <wp:positionV relativeFrom="paragraph">
                        <wp:posOffset>2208530</wp:posOffset>
                      </wp:positionV>
                      <wp:extent cx="799465" cy="285750"/>
                      <wp:effectExtent l="0" t="0" r="0" b="0"/>
                      <wp:wrapNone/>
                      <wp:docPr id="11" name="自选图形 23"/>
                      <wp:cNvGraphicFramePr/>
                      <a:graphic xmlns:a="http://schemas.openxmlformats.org/drawingml/2006/main">
                        <a:graphicData uri="http://schemas.microsoft.com/office/word/2010/wordprocessingShape">
                          <wps:wsp>
                            <wps:cNvSpPr/>
                            <wps:spPr>
                              <a:xfrm flipH="1">
                                <a:off x="0" y="0"/>
                                <a:ext cx="799465" cy="285750"/>
                              </a:xfrm>
                              <a:prstGeom prst="wedgeRectCallout">
                                <a:avLst>
                                  <a:gd name="adj1" fmla="val -74532"/>
                                  <a:gd name="adj2" fmla="val 111324"/>
                                </a:avLst>
                              </a:prstGeom>
                              <a:noFill/>
                              <a:ln w="9525" cap="flat" cmpd="sng">
                                <a:solidFill>
                                  <a:srgbClr val="000000"/>
                                </a:solidFill>
                                <a:prstDash val="solid"/>
                                <a:miter/>
                                <a:headEnd type="none" w="med" len="med"/>
                                <a:tailEnd type="none" w="med" len="med"/>
                              </a:ln>
                            </wps:spPr>
                            <wps:txbx>
                              <w:txbxContent>
                                <w:p w14:paraId="04D2D21E">
                                  <w:pPr>
                                    <w:rPr>
                                      <w:rFonts w:hint="eastAsia"/>
                                      <w:b/>
                                      <w:bCs/>
                                      <w:color w:val="000000"/>
                                      <w:szCs w:val="21"/>
                                    </w:rPr>
                                  </w:pPr>
                                  <w:r>
                                    <w:rPr>
                                      <w:rFonts w:hint="eastAsia"/>
                                      <w:b/>
                                      <w:bCs/>
                                      <w:color w:val="000000"/>
                                      <w:szCs w:val="21"/>
                                    </w:rPr>
                                    <w:t>项目位置</w:t>
                                  </w:r>
                                </w:p>
                              </w:txbxContent>
                            </wps:txbx>
                            <wps:bodyPr wrap="square" upright="1"/>
                          </wps:wsp>
                        </a:graphicData>
                      </a:graphic>
                    </wp:anchor>
                  </w:drawing>
                </mc:Choice>
                <mc:Fallback>
                  <w:pict>
                    <v:shape id="自选图形 23" o:spid="_x0000_s1026" o:spt="61" type="#_x0000_t61" style="position:absolute;left:0pt;flip:x;margin-left:206.8pt;margin-top:173.9pt;height:22.5pt;width:62.95pt;z-index:251668480;mso-width-relative:page;mso-height-relative:page;" filled="f" stroked="t" coordsize="21600,21600" o:gfxdata="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KhZJE2AAAAAsBAAAPAAAAAAAAAAEA&#10;IAAAACIAAABkcnMvZG93bnJldi54bWxQSwECFAAUAAAACACHTuJAyjwZCkgCAAB+BAAADgAAAAAA&#10;AAABACAAAAAnAQAAZHJzL2Uyb0RvYy54bWxQSwUGAAAAAAYABgBZAQAA4QUAAAAA&#10;" adj="-5299,34846">
                      <v:fill on="f" focussize="0,0"/>
                      <v:stroke color="#000000" joinstyle="miter"/>
                      <v:imagedata o:title=""/>
                      <o:lock v:ext="edit" aspectratio="f"/>
                      <v:textbox>
                        <w:txbxContent>
                          <w:p w14:paraId="04D2D21E">
                            <w:pPr>
                              <w:rPr>
                                <w:rFonts w:hint="eastAsia"/>
                                <w:b/>
                                <w:bCs/>
                                <w:color w:val="000000"/>
                                <w:szCs w:val="21"/>
                              </w:rPr>
                            </w:pPr>
                            <w:r>
                              <w:rPr>
                                <w:rFonts w:hint="eastAsia"/>
                                <w:b/>
                                <w:bCs/>
                                <w:color w:val="000000"/>
                                <w:szCs w:val="21"/>
                              </w:rPr>
                              <w:t>项目位置</w:t>
                            </w:r>
                          </w:p>
                        </w:txbxContent>
                      </v:textbox>
                    </v:shape>
                  </w:pict>
                </mc:Fallback>
              </mc:AlternateContent>
            </w:r>
            <w:r>
              <w:rPr>
                <w:color w:val="auto"/>
                <w:sz w:val="24"/>
              </w:rPr>
              <mc:AlternateContent>
                <mc:Choice Requires="wps">
                  <w:drawing>
                    <wp:anchor distT="0" distB="0" distL="114300" distR="114300" simplePos="0" relativeHeight="251667456" behindDoc="0" locked="0" layoutInCell="1" allowOverlap="1">
                      <wp:simplePos x="0" y="0"/>
                      <wp:positionH relativeFrom="column">
                        <wp:posOffset>3620135</wp:posOffset>
                      </wp:positionH>
                      <wp:positionV relativeFrom="paragraph">
                        <wp:posOffset>2651760</wp:posOffset>
                      </wp:positionV>
                      <wp:extent cx="76200" cy="76200"/>
                      <wp:effectExtent l="0" t="0" r="0" b="0"/>
                      <wp:wrapNone/>
                      <wp:docPr id="10" name="椭圆 24"/>
                      <wp:cNvGraphicFramePr/>
                      <a:graphic xmlns:a="http://schemas.openxmlformats.org/drawingml/2006/main">
                        <a:graphicData uri="http://schemas.microsoft.com/office/word/2010/wordprocessingShape">
                          <wps:wsp>
                            <wps:cNvSpPr/>
                            <wps:spPr>
                              <a:xfrm>
                                <a:off x="0" y="0"/>
                                <a:ext cx="76200" cy="76200"/>
                              </a:xfrm>
                              <a:prstGeom prst="ellipse">
                                <a:avLst/>
                              </a:prstGeom>
                              <a:solidFill>
                                <a:srgbClr val="000000"/>
                              </a:solidFill>
                              <a:ln w="9525" cap="flat" cmpd="sng">
                                <a:solidFill>
                                  <a:srgbClr val="000000"/>
                                </a:solidFill>
                                <a:prstDash val="solid"/>
                                <a:headEnd type="none" w="med" len="med"/>
                                <a:tailEnd type="none" w="med" len="med"/>
                              </a:ln>
                            </wps:spPr>
                            <wps:bodyPr wrap="square" upright="1"/>
                          </wps:wsp>
                        </a:graphicData>
                      </a:graphic>
                    </wp:anchor>
                  </w:drawing>
                </mc:Choice>
                <mc:Fallback>
                  <w:pict>
                    <v:shape id="椭圆 24" o:spid="_x0000_s1026" o:spt="3" type="#_x0000_t3" style="position:absolute;left:0pt;margin-left:285.05pt;margin-top:208.8pt;height:6pt;width:6pt;z-index:251667456;mso-width-relative:page;mso-height-relative:page;" fillcolor="#000000" filled="t" stroked="t" coordsize="21600,21600" o:gfxdata="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H3EgS1wAAAAsBAAAPAAAAAAAAAAEAIAAAACIAAABkcnMvZG93bnJldi54bWxQ&#10;SwECFAAUAAAACACHTuJApu9syPgBAAAkBAAADgAAAAAAAAABACAAAAAmAQAAZHJzL2Uyb0RvYy54&#10;bWxQSwUGAAAAAAYABgBZAQAAkAUAAAAA&#10;">
                      <v:fill on="t" focussize="0,0"/>
                      <v:stroke color="#000000" joinstyle="round"/>
                      <v:imagedata o:title=""/>
                      <o:lock v:ext="edit" aspectratio="f"/>
                    </v:shape>
                  </w:pict>
                </mc:Fallback>
              </mc:AlternateContent>
            </w:r>
            <w:r>
              <w:rPr>
                <w:color w:val="auto"/>
                <w:sz w:val="24"/>
              </w:rPr>
              <mc:AlternateContent>
                <mc:Choice Requires="wps">
                  <w:drawing>
                    <wp:anchor distT="0" distB="0" distL="114300" distR="114300" simplePos="0" relativeHeight="251666432" behindDoc="0" locked="0" layoutInCell="1" allowOverlap="1">
                      <wp:simplePos x="0" y="0"/>
                      <wp:positionH relativeFrom="column">
                        <wp:posOffset>2195830</wp:posOffset>
                      </wp:positionH>
                      <wp:positionV relativeFrom="paragraph">
                        <wp:posOffset>1978660</wp:posOffset>
                      </wp:positionV>
                      <wp:extent cx="1758315" cy="1112520"/>
                      <wp:effectExtent l="0" t="0" r="0" b="0"/>
                      <wp:wrapNone/>
                      <wp:docPr id="9" name="自选图形 25"/>
                      <wp:cNvGraphicFramePr/>
                      <a:graphic xmlns:a="http://schemas.openxmlformats.org/drawingml/2006/main">
                        <a:graphicData uri="http://schemas.microsoft.com/office/word/2010/wordprocessingShape">
                          <wps:wsp>
                            <wps:cNvSpPr/>
                            <wps:spPr>
                              <a:xfrm flipV="1">
                                <a:off x="0" y="0"/>
                                <a:ext cx="1758315" cy="1112520"/>
                              </a:xfrm>
                              <a:prstGeom prst="wedgeRectCallout">
                                <a:avLst>
                                  <a:gd name="adj1" fmla="val 7134"/>
                                  <a:gd name="adj2" fmla="val 155593"/>
                                </a:avLst>
                              </a:prstGeom>
                              <a:noFill/>
                              <a:ln w="9525" cap="flat" cmpd="sng">
                                <a:solidFill>
                                  <a:srgbClr val="FF0000"/>
                                </a:solidFill>
                                <a:prstDash val="solid"/>
                                <a:miter/>
                                <a:headEnd type="none" w="med" len="med"/>
                                <a:tailEnd type="none" w="med" len="med"/>
                              </a:ln>
                            </wps:spPr>
                            <wps:txbx>
                              <w:txbxContent>
                                <w:p w14:paraId="73791190">
                                  <w:r>
                                    <w:drawing>
                                      <wp:inline distT="0" distB="0" distL="114300" distR="114300">
                                        <wp:extent cx="1701165" cy="1008380"/>
                                        <wp:effectExtent l="0" t="0" r="0" b="0"/>
                                        <wp:docPr id="27"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8"/>
                                                <pic:cNvPicPr>
                                                  <a:picLocks noChangeAspect="1"/>
                                                </pic:cNvPicPr>
                                              </pic:nvPicPr>
                                              <pic:blipFill>
                                                <a:blip r:embed="rId12"/>
                                                <a:stretch>
                                                  <a:fillRect/>
                                                </a:stretch>
                                              </pic:blipFill>
                                              <pic:spPr>
                                                <a:xfrm>
                                                  <a:off x="0" y="0"/>
                                                  <a:ext cx="1701165" cy="1008380"/>
                                                </a:xfrm>
                                                <a:prstGeom prst="rect">
                                                  <a:avLst/>
                                                </a:prstGeom>
                                                <a:noFill/>
                                                <a:ln>
                                                  <a:noFill/>
                                                </a:ln>
                                              </pic:spPr>
                                            </pic:pic>
                                          </a:graphicData>
                                        </a:graphic>
                                      </wp:inline>
                                    </w:drawing>
                                  </w:r>
                                </w:p>
                              </w:txbxContent>
                            </wps:txbx>
                            <wps:bodyPr wrap="square" upright="1"/>
                          </wps:wsp>
                        </a:graphicData>
                      </a:graphic>
                    </wp:anchor>
                  </w:drawing>
                </mc:Choice>
                <mc:Fallback>
                  <w:pict>
                    <v:shape id="自选图形 25" o:spid="_x0000_s1026" o:spt="61" type="#_x0000_t61" style="position:absolute;left:0pt;flip:y;margin-left:172.9pt;margin-top:155.8pt;height:87.6pt;width:138.45pt;z-index:251666432;mso-width-relative:page;mso-height-relative:page;" filled="f" stroked="t" coordsize="21600,21600" o:gfxdata="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V0iQc9oAAAALAQAADwAAAAAAAAAB&#10;ACAAAAAiAAAAZHJzL2Rvd25yZXYueG1sUEsBAhQAFAAAAAgAh07iQHmipMhHAgAAfQQAAA4AAAAA&#10;AAAAAQAgAAAAKQEAAGRycy9lMm9Eb2MueG1sUEsFBgAAAAAGAAYAWQEAAOIFAAAAAA==&#10;" adj="12341,44408">
                      <v:fill on="f" focussize="0,0"/>
                      <v:stroke color="#FF0000" joinstyle="miter"/>
                      <v:imagedata o:title=""/>
                      <o:lock v:ext="edit" aspectratio="f"/>
                      <v:textbox>
                        <w:txbxContent>
                          <w:p w14:paraId="73791190">
                            <w:r>
                              <w:drawing>
                                <wp:inline distT="0" distB="0" distL="114300" distR="114300">
                                  <wp:extent cx="1701165" cy="1008380"/>
                                  <wp:effectExtent l="0" t="0" r="0" b="0"/>
                                  <wp:docPr id="27"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8"/>
                                          <pic:cNvPicPr>
                                            <a:picLocks noChangeAspect="1"/>
                                          </pic:cNvPicPr>
                                        </pic:nvPicPr>
                                        <pic:blipFill>
                                          <a:blip r:embed="rId12"/>
                                          <a:stretch>
                                            <a:fillRect/>
                                          </a:stretch>
                                        </pic:blipFill>
                                        <pic:spPr>
                                          <a:xfrm>
                                            <a:off x="0" y="0"/>
                                            <a:ext cx="1701165" cy="1008380"/>
                                          </a:xfrm>
                                          <a:prstGeom prst="rect">
                                            <a:avLst/>
                                          </a:prstGeom>
                                          <a:noFill/>
                                          <a:ln>
                                            <a:noFill/>
                                          </a:ln>
                                        </pic:spPr>
                                      </pic:pic>
                                    </a:graphicData>
                                  </a:graphic>
                                </wp:inline>
                              </w:drawing>
                            </w:r>
                          </w:p>
                        </w:txbxContent>
                      </v:textbox>
                    </v:shape>
                  </w:pict>
                </mc:Fallback>
              </mc:AlternateContent>
            </w:r>
            <w:r>
              <w:rPr>
                <w:color w:val="auto"/>
              </w:rPr>
              <w:drawing>
                <wp:inline distT="0" distB="0" distL="114300" distR="114300">
                  <wp:extent cx="4375150" cy="3096895"/>
                  <wp:effectExtent l="0" t="0" r="0" b="0"/>
                  <wp:docPr id="32"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9"/>
                          <pic:cNvPicPr>
                            <a:picLocks noChangeAspect="1"/>
                          </pic:cNvPicPr>
                        </pic:nvPicPr>
                        <pic:blipFill>
                          <a:blip r:embed="rId13"/>
                          <a:stretch>
                            <a:fillRect/>
                          </a:stretch>
                        </pic:blipFill>
                        <pic:spPr>
                          <a:xfrm>
                            <a:off x="0" y="0"/>
                            <a:ext cx="4375150" cy="3096895"/>
                          </a:xfrm>
                          <a:prstGeom prst="rect">
                            <a:avLst/>
                          </a:prstGeom>
                          <a:noFill/>
                          <a:ln>
                            <a:noFill/>
                          </a:ln>
                        </pic:spPr>
                      </pic:pic>
                    </a:graphicData>
                  </a:graphic>
                </wp:inline>
              </w:drawing>
            </w:r>
          </w:p>
          <w:p w14:paraId="7020F8D9">
            <w:pPr>
              <w:ind w:left="0" w:leftChars="0" w:firstLine="0" w:firstLineChars="0"/>
              <w:jc w:val="center"/>
              <w:rPr>
                <w:color w:val="auto"/>
                <w:sz w:val="24"/>
                <w:szCs w:val="32"/>
              </w:rPr>
            </w:pPr>
            <w:r>
              <w:rPr>
                <w:b/>
                <w:bCs/>
                <w:color w:val="auto"/>
                <w:sz w:val="24"/>
              </w:rPr>
              <w:t>图1-</w:t>
            </w:r>
            <w:r>
              <w:rPr>
                <w:rFonts w:hint="eastAsia"/>
                <w:b/>
                <w:bCs/>
                <w:color w:val="auto"/>
                <w:sz w:val="24"/>
              </w:rPr>
              <w:t>2</w:t>
            </w:r>
            <w:r>
              <w:rPr>
                <w:b/>
                <w:bCs/>
                <w:color w:val="auto"/>
                <w:sz w:val="24"/>
              </w:rPr>
              <w:t xml:space="preserve">   本项目区块与池州市水环境分区管控位置关系</w:t>
            </w:r>
          </w:p>
          <w:p w14:paraId="6AD0158C">
            <w:pPr>
              <w:ind w:left="0" w:leftChars="0" w:firstLine="0" w:firstLineChars="0"/>
              <w:jc w:val="center"/>
              <w:rPr>
                <w:color w:val="auto"/>
              </w:rPr>
            </w:pPr>
            <w:r>
              <w:rPr>
                <w:color w:val="auto"/>
                <w:sz w:val="24"/>
              </w:rPr>
              <mc:AlternateContent>
                <mc:Choice Requires="wps">
                  <w:drawing>
                    <wp:anchor distT="0" distB="0" distL="114300" distR="114300" simplePos="0" relativeHeight="251670528" behindDoc="0" locked="0" layoutInCell="1" allowOverlap="1">
                      <wp:simplePos x="0" y="0"/>
                      <wp:positionH relativeFrom="column">
                        <wp:posOffset>2220595</wp:posOffset>
                      </wp:positionH>
                      <wp:positionV relativeFrom="paragraph">
                        <wp:posOffset>2000885</wp:posOffset>
                      </wp:positionV>
                      <wp:extent cx="1758315" cy="1112520"/>
                      <wp:effectExtent l="0" t="0" r="0" b="0"/>
                      <wp:wrapNone/>
                      <wp:docPr id="13" name="自选图形 26"/>
                      <wp:cNvGraphicFramePr/>
                      <a:graphic xmlns:a="http://schemas.openxmlformats.org/drawingml/2006/main">
                        <a:graphicData uri="http://schemas.microsoft.com/office/word/2010/wordprocessingShape">
                          <wps:wsp>
                            <wps:cNvSpPr/>
                            <wps:spPr>
                              <a:xfrm flipV="1">
                                <a:off x="0" y="0"/>
                                <a:ext cx="1758315" cy="1112520"/>
                              </a:xfrm>
                              <a:prstGeom prst="wedgeRectCallout">
                                <a:avLst>
                                  <a:gd name="adj1" fmla="val 7134"/>
                                  <a:gd name="adj2" fmla="val 155593"/>
                                </a:avLst>
                              </a:prstGeom>
                              <a:noFill/>
                              <a:ln w="9525" cap="flat" cmpd="sng">
                                <a:solidFill>
                                  <a:srgbClr val="FF0000"/>
                                </a:solidFill>
                                <a:prstDash val="solid"/>
                                <a:miter/>
                                <a:headEnd type="none" w="med" len="med"/>
                                <a:tailEnd type="none" w="med" len="med"/>
                              </a:ln>
                            </wps:spPr>
                            <wps:txbx>
                              <w:txbxContent>
                                <w:p w14:paraId="7648536A"/>
                              </w:txbxContent>
                            </wps:txbx>
                            <wps:bodyPr wrap="square" upright="1"/>
                          </wps:wsp>
                        </a:graphicData>
                      </a:graphic>
                    </wp:anchor>
                  </w:drawing>
                </mc:Choice>
                <mc:Fallback>
                  <w:pict>
                    <v:shape id="自选图形 26" o:spid="_x0000_s1026" o:spt="61" type="#_x0000_t61" style="position:absolute;left:0pt;flip:y;margin-left:174.85pt;margin-top:157.55pt;height:87.6pt;width:138.45pt;z-index:251670528;mso-width-relative:page;mso-height-relative:page;" filled="f" stroked="t" coordsize="21600,21600" o:gfxdata="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1rtuU2wAAAAsBAAAPAAAAAAAA&#10;AAEAIAAAACIAAABkcnMvZG93bnJldi54bWxQSwECFAAUAAAACACHTuJACUE8hEgCAAB+BAAADgAA&#10;AAAAAAABACAAAAAqAQAAZHJzL2Uyb0RvYy54bWxQSwUGAAAAAAYABgBZAQAA5AUAAAAA&#10;" adj="12341,44408">
                      <v:fill on="f" focussize="0,0"/>
                      <v:stroke color="#FF0000" joinstyle="miter"/>
                      <v:imagedata o:title=""/>
                      <o:lock v:ext="edit" aspectratio="f"/>
                      <v:textbox>
                        <w:txbxContent>
                          <w:p w14:paraId="7648536A"/>
                        </w:txbxContent>
                      </v:textbox>
                    </v:shape>
                  </w:pict>
                </mc:Fallback>
              </mc:AlternateContent>
            </w:r>
            <w:r>
              <w:rPr>
                <w:color w:val="auto"/>
                <w:sz w:val="24"/>
              </w:rPr>
              <mc:AlternateContent>
                <mc:Choice Requires="wps">
                  <w:drawing>
                    <wp:anchor distT="0" distB="0" distL="114300" distR="114300" simplePos="0" relativeHeight="251672576" behindDoc="0" locked="0" layoutInCell="1" allowOverlap="1">
                      <wp:simplePos x="0" y="0"/>
                      <wp:positionH relativeFrom="column">
                        <wp:posOffset>2412365</wp:posOffset>
                      </wp:positionH>
                      <wp:positionV relativeFrom="paragraph">
                        <wp:posOffset>2028825</wp:posOffset>
                      </wp:positionV>
                      <wp:extent cx="858520" cy="306070"/>
                      <wp:effectExtent l="0" t="0" r="0" b="0"/>
                      <wp:wrapNone/>
                      <wp:docPr id="15" name="自选图形 27"/>
                      <wp:cNvGraphicFramePr/>
                      <a:graphic xmlns:a="http://schemas.openxmlformats.org/drawingml/2006/main">
                        <a:graphicData uri="http://schemas.microsoft.com/office/word/2010/wordprocessingShape">
                          <wps:wsp>
                            <wps:cNvSpPr/>
                            <wps:spPr>
                              <a:xfrm flipH="1">
                                <a:off x="0" y="0"/>
                                <a:ext cx="858520" cy="306070"/>
                              </a:xfrm>
                              <a:prstGeom prst="wedgeRectCallout">
                                <a:avLst>
                                  <a:gd name="adj1" fmla="val -50144"/>
                                  <a:gd name="adj2" fmla="val 153111"/>
                                </a:avLst>
                              </a:prstGeom>
                              <a:noFill/>
                              <a:ln w="9525" cap="flat" cmpd="sng">
                                <a:solidFill>
                                  <a:srgbClr val="000000"/>
                                </a:solidFill>
                                <a:prstDash val="solid"/>
                                <a:miter/>
                                <a:headEnd type="none" w="med" len="med"/>
                                <a:tailEnd type="none" w="med" len="med"/>
                              </a:ln>
                            </wps:spPr>
                            <wps:txbx>
                              <w:txbxContent>
                                <w:p w14:paraId="32B2AC0C">
                                  <w:pPr>
                                    <w:rPr>
                                      <w:rFonts w:hint="eastAsia"/>
                                    </w:rPr>
                                  </w:pPr>
                                  <w:r>
                                    <w:rPr>
                                      <w:rFonts w:hint="eastAsia"/>
                                    </w:rPr>
                                    <w:t>项目位置</w:t>
                                  </w:r>
                                </w:p>
                              </w:txbxContent>
                            </wps:txbx>
                            <wps:bodyPr wrap="square" upright="1"/>
                          </wps:wsp>
                        </a:graphicData>
                      </a:graphic>
                    </wp:anchor>
                  </w:drawing>
                </mc:Choice>
                <mc:Fallback>
                  <w:pict>
                    <v:shape id="自选图形 27" o:spid="_x0000_s1026" o:spt="61" type="#_x0000_t61" style="position:absolute;left:0pt;flip:x;margin-left:189.95pt;margin-top:159.75pt;height:24.1pt;width:67.6pt;z-index:251672576;mso-width-relative:page;mso-height-relative:page;" filled="f" stroked="t" coordsize="21600,21600" o:gfxdata="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czxgU2QAAAAsBAAAPAAAAAAAAAAEA&#10;IAAAACIAAABkcnMvZG93bnJldi54bWxQSwECFAAUAAAACACHTuJA3dIovEcCAAB+BAAADgAAAAAA&#10;AAABACAAAAAoAQAAZHJzL2Uyb0RvYy54bWxQSwUGAAAAAAYABgBZAQAA4QUAAAAA&#10;" adj="-31,43872">
                      <v:fill on="f" focussize="0,0"/>
                      <v:stroke color="#000000" joinstyle="miter"/>
                      <v:imagedata o:title=""/>
                      <o:lock v:ext="edit" aspectratio="f"/>
                      <v:textbox>
                        <w:txbxContent>
                          <w:p w14:paraId="32B2AC0C">
                            <w:pPr>
                              <w:rPr>
                                <w:rFonts w:hint="eastAsia"/>
                              </w:rPr>
                            </w:pPr>
                            <w:r>
                              <w:rPr>
                                <w:rFonts w:hint="eastAsia"/>
                              </w:rPr>
                              <w:t>项目位置</w:t>
                            </w:r>
                          </w:p>
                        </w:txbxContent>
                      </v:textbox>
                    </v:shape>
                  </w:pict>
                </mc:Fallback>
              </mc:AlternateContent>
            </w:r>
            <w:r>
              <w:rPr>
                <w:color w:val="auto"/>
                <w:sz w:val="24"/>
              </w:rPr>
              <mc:AlternateContent>
                <mc:Choice Requires="wps">
                  <w:drawing>
                    <wp:anchor distT="0" distB="0" distL="114300" distR="114300" simplePos="0" relativeHeight="251671552" behindDoc="0" locked="0" layoutInCell="1" allowOverlap="1">
                      <wp:simplePos x="0" y="0"/>
                      <wp:positionH relativeFrom="column">
                        <wp:posOffset>3239135</wp:posOffset>
                      </wp:positionH>
                      <wp:positionV relativeFrom="paragraph">
                        <wp:posOffset>2653030</wp:posOffset>
                      </wp:positionV>
                      <wp:extent cx="76200" cy="76200"/>
                      <wp:effectExtent l="0" t="0" r="0" b="0"/>
                      <wp:wrapNone/>
                      <wp:docPr id="14" name="椭圆 28"/>
                      <wp:cNvGraphicFramePr/>
                      <a:graphic xmlns:a="http://schemas.openxmlformats.org/drawingml/2006/main">
                        <a:graphicData uri="http://schemas.microsoft.com/office/word/2010/wordprocessingShape">
                          <wps:wsp>
                            <wps:cNvSpPr/>
                            <wps:spPr>
                              <a:xfrm>
                                <a:off x="0" y="0"/>
                                <a:ext cx="76200" cy="76200"/>
                              </a:xfrm>
                              <a:prstGeom prst="ellipse">
                                <a:avLst/>
                              </a:prstGeom>
                              <a:solidFill>
                                <a:srgbClr val="F79646"/>
                              </a:solidFill>
                              <a:ln w="9525" cap="flat" cmpd="sng">
                                <a:solidFill>
                                  <a:srgbClr val="000000"/>
                                </a:solidFill>
                                <a:prstDash val="solid"/>
                                <a:headEnd type="none" w="med" len="med"/>
                                <a:tailEnd type="none" w="med" len="med"/>
                              </a:ln>
                            </wps:spPr>
                            <wps:bodyPr wrap="square" upright="1"/>
                          </wps:wsp>
                        </a:graphicData>
                      </a:graphic>
                    </wp:anchor>
                  </w:drawing>
                </mc:Choice>
                <mc:Fallback>
                  <w:pict>
                    <v:shape id="椭圆 28" o:spid="_x0000_s1026" o:spt="3" type="#_x0000_t3" style="position:absolute;left:0pt;margin-left:255.05pt;margin-top:208.9pt;height:6pt;width:6pt;z-index:251671552;mso-width-relative:page;mso-height-relative:page;" fillcolor="#F79646" filled="t" stroked="t" coordsize="21600,21600" o:gfxdata="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E1gOnYAAAACwEAAA8AAAAAAAAAAQAgAAAAIgAAAGRycy9k&#10;b3ducmV2LnhtbFBLAQIUABQAAAAIAIdO4kBG4lJBAgIAACQEAAAOAAAAAAAAAAEAIAAAACcBAABk&#10;cnMvZTJvRG9jLnhtbFBLBQYAAAAABgAGAFkBAACbBQAAAAA=&#10;">
                      <v:fill on="t" focussize="0,0"/>
                      <v:stroke color="#000000" joinstyle="round"/>
                      <v:imagedata o:title=""/>
                      <o:lock v:ext="edit" aspectratio="f"/>
                    </v:shape>
                  </w:pict>
                </mc:Fallback>
              </mc:AlternateContent>
            </w:r>
            <w:r>
              <w:rPr>
                <w:color w:val="auto"/>
              </w:rPr>
              <w:drawing>
                <wp:anchor distT="0" distB="0" distL="114300" distR="114300" simplePos="0" relativeHeight="251669504" behindDoc="0" locked="0" layoutInCell="1" allowOverlap="1">
                  <wp:simplePos x="0" y="0"/>
                  <wp:positionH relativeFrom="column">
                    <wp:posOffset>2181225</wp:posOffset>
                  </wp:positionH>
                  <wp:positionV relativeFrom="paragraph">
                    <wp:posOffset>1962150</wp:posOffset>
                  </wp:positionV>
                  <wp:extent cx="1536700" cy="1027430"/>
                  <wp:effectExtent l="0" t="0" r="0" b="0"/>
                  <wp:wrapNone/>
                  <wp:docPr id="1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9"/>
                          <pic:cNvPicPr>
                            <a:picLocks noChangeAspect="1"/>
                          </pic:cNvPicPr>
                        </pic:nvPicPr>
                        <pic:blipFill>
                          <a:blip r:embed="rId14"/>
                          <a:stretch>
                            <a:fillRect/>
                          </a:stretch>
                        </pic:blipFill>
                        <pic:spPr>
                          <a:xfrm>
                            <a:off x="0" y="0"/>
                            <a:ext cx="1536700" cy="1027430"/>
                          </a:xfrm>
                          <a:prstGeom prst="rect">
                            <a:avLst/>
                          </a:prstGeom>
                          <a:noFill/>
                          <a:ln>
                            <a:noFill/>
                          </a:ln>
                        </pic:spPr>
                      </pic:pic>
                    </a:graphicData>
                  </a:graphic>
                </wp:anchor>
              </w:drawing>
            </w:r>
            <w:r>
              <w:rPr>
                <w:color w:val="auto"/>
              </w:rPr>
              <w:drawing>
                <wp:inline distT="0" distB="0" distL="114300" distR="114300">
                  <wp:extent cx="4415155" cy="3124835"/>
                  <wp:effectExtent l="0" t="0" r="0" b="0"/>
                  <wp:docPr id="33"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0"/>
                          <pic:cNvPicPr>
                            <a:picLocks noChangeAspect="1"/>
                          </pic:cNvPicPr>
                        </pic:nvPicPr>
                        <pic:blipFill>
                          <a:blip r:embed="rId15"/>
                          <a:stretch>
                            <a:fillRect/>
                          </a:stretch>
                        </pic:blipFill>
                        <pic:spPr>
                          <a:xfrm>
                            <a:off x="0" y="0"/>
                            <a:ext cx="4415155" cy="3124835"/>
                          </a:xfrm>
                          <a:prstGeom prst="rect">
                            <a:avLst/>
                          </a:prstGeom>
                          <a:noFill/>
                          <a:ln>
                            <a:noFill/>
                          </a:ln>
                        </pic:spPr>
                      </pic:pic>
                    </a:graphicData>
                  </a:graphic>
                </wp:inline>
              </w:drawing>
            </w:r>
          </w:p>
          <w:p w14:paraId="1E69DA25">
            <w:pPr>
              <w:pStyle w:val="15"/>
              <w:spacing w:before="0" w:after="0" w:line="240" w:lineRule="auto"/>
              <w:ind w:left="0" w:leftChars="0" w:right="0" w:firstLine="0" w:firstLineChars="0"/>
              <w:jc w:val="center"/>
              <w:rPr>
                <w:b/>
                <w:bCs/>
                <w:color w:val="auto"/>
                <w:sz w:val="24"/>
                <w:szCs w:val="24"/>
              </w:rPr>
            </w:pPr>
            <w:r>
              <w:rPr>
                <w:b/>
                <w:bCs/>
                <w:color w:val="auto"/>
                <w:sz w:val="24"/>
                <w:szCs w:val="24"/>
              </w:rPr>
              <w:t>图1-</w:t>
            </w:r>
            <w:r>
              <w:rPr>
                <w:rFonts w:hint="eastAsia"/>
                <w:b/>
                <w:bCs/>
                <w:color w:val="auto"/>
                <w:sz w:val="24"/>
                <w:szCs w:val="24"/>
              </w:rPr>
              <w:t>3</w:t>
            </w:r>
            <w:r>
              <w:rPr>
                <w:b/>
                <w:bCs/>
                <w:color w:val="auto"/>
                <w:sz w:val="24"/>
                <w:szCs w:val="24"/>
              </w:rPr>
              <w:t xml:space="preserve"> 本项目区块与池州市大气环境分区管控位置关系</w:t>
            </w:r>
          </w:p>
          <w:p w14:paraId="25DD28B8">
            <w:pPr>
              <w:ind w:left="0" w:leftChars="0" w:firstLine="0" w:firstLineChars="0"/>
              <w:jc w:val="center"/>
              <w:rPr>
                <w:color w:val="auto"/>
              </w:rPr>
            </w:pPr>
            <w:r>
              <w:rPr>
                <w:color w:val="auto"/>
                <w:sz w:val="24"/>
              </w:rPr>
              <mc:AlternateContent>
                <mc:Choice Requires="wps">
                  <w:drawing>
                    <wp:anchor distT="0" distB="0" distL="114300" distR="114300" simplePos="0" relativeHeight="251675648" behindDoc="0" locked="0" layoutInCell="1" allowOverlap="1">
                      <wp:simplePos x="0" y="0"/>
                      <wp:positionH relativeFrom="column">
                        <wp:posOffset>3397250</wp:posOffset>
                      </wp:positionH>
                      <wp:positionV relativeFrom="paragraph">
                        <wp:posOffset>2174240</wp:posOffset>
                      </wp:positionV>
                      <wp:extent cx="820420" cy="314960"/>
                      <wp:effectExtent l="0" t="0" r="0" b="0"/>
                      <wp:wrapNone/>
                      <wp:docPr id="18" name="自选图形 30"/>
                      <wp:cNvGraphicFramePr/>
                      <a:graphic xmlns:a="http://schemas.openxmlformats.org/drawingml/2006/main">
                        <a:graphicData uri="http://schemas.microsoft.com/office/word/2010/wordprocessingShape">
                          <wps:wsp>
                            <wps:cNvSpPr/>
                            <wps:spPr>
                              <a:xfrm>
                                <a:off x="0" y="0"/>
                                <a:ext cx="820420" cy="314960"/>
                              </a:xfrm>
                              <a:prstGeom prst="wedgeRoundRectCallout">
                                <a:avLst>
                                  <a:gd name="adj1" fmla="val -81185"/>
                                  <a:gd name="adj2" fmla="val 104838"/>
                                  <a:gd name="adj3" fmla="val 16667"/>
                                </a:avLst>
                              </a:prstGeom>
                              <a:noFill/>
                              <a:ln w="9525" cap="flat" cmpd="sng">
                                <a:solidFill>
                                  <a:srgbClr val="000000"/>
                                </a:solidFill>
                                <a:prstDash val="solid"/>
                                <a:miter/>
                                <a:headEnd type="none" w="med" len="med"/>
                                <a:tailEnd type="none" w="med" len="med"/>
                              </a:ln>
                            </wps:spPr>
                            <wps:txbx>
                              <w:txbxContent>
                                <w:p w14:paraId="03147D81">
                                  <w:pPr>
                                    <w:rPr>
                                      <w:rFonts w:hint="eastAsia"/>
                                    </w:rPr>
                                  </w:pPr>
                                  <w:r>
                                    <w:rPr>
                                      <w:rFonts w:hint="eastAsia"/>
                                      <w:szCs w:val="21"/>
                                    </w:rPr>
                                    <w:t>项目位置</w:t>
                                  </w:r>
                                </w:p>
                              </w:txbxContent>
                            </wps:txbx>
                            <wps:bodyPr wrap="square" upright="1"/>
                          </wps:wsp>
                        </a:graphicData>
                      </a:graphic>
                    </wp:anchor>
                  </w:drawing>
                </mc:Choice>
                <mc:Fallback>
                  <w:pict>
                    <v:shape id="自选图形 30" o:spid="_x0000_s1026" o:spt="62" type="#_x0000_t62" style="position:absolute;left:0pt;margin-left:267.5pt;margin-top:171.2pt;height:24.8pt;width:64.6pt;z-index:251675648;mso-width-relative:page;mso-height-relative:page;" filled="f" stroked="t" coordsize="21600,21600" o:gfxdata="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dWsfD9sAAAALAQAADwAA&#10;AAAAAAABACAAAAAiAAAAZHJzL2Rvd25yZXYueG1sUEsBAhQAFAAAAAgAh07iQBmNwR1MAgAAnQQA&#10;AA4AAAAAAAAAAQAgAAAAKgEAAGRycy9lMm9Eb2MueG1sUEsFBgAAAAAGAAYAWQEAAOgFAAAAAA==&#10;" adj="-6736,33445,14400">
                      <v:fill on="f" focussize="0,0"/>
                      <v:stroke color="#000000" joinstyle="miter"/>
                      <v:imagedata o:title=""/>
                      <o:lock v:ext="edit" aspectratio="f"/>
                      <v:textbox>
                        <w:txbxContent>
                          <w:p w14:paraId="03147D81">
                            <w:pPr>
                              <w:rPr>
                                <w:rFonts w:hint="eastAsia"/>
                              </w:rPr>
                            </w:pPr>
                            <w:r>
                              <w:rPr>
                                <w:rFonts w:hint="eastAsia"/>
                                <w:szCs w:val="21"/>
                              </w:rPr>
                              <w:t>项目位置</w:t>
                            </w:r>
                          </w:p>
                        </w:txbxContent>
                      </v:textbox>
                    </v:shape>
                  </w:pict>
                </mc:Fallback>
              </mc:AlternateContent>
            </w:r>
            <w:r>
              <w:rPr>
                <w:color w:val="auto"/>
                <w:sz w:val="24"/>
              </w:rPr>
              <mc:AlternateContent>
                <mc:Choice Requires="wps">
                  <w:drawing>
                    <wp:anchor distT="0" distB="0" distL="114300" distR="114300" simplePos="0" relativeHeight="251674624" behindDoc="0" locked="0" layoutInCell="1" allowOverlap="1">
                      <wp:simplePos x="0" y="0"/>
                      <wp:positionH relativeFrom="column">
                        <wp:posOffset>3060700</wp:posOffset>
                      </wp:positionH>
                      <wp:positionV relativeFrom="paragraph">
                        <wp:posOffset>2643505</wp:posOffset>
                      </wp:positionV>
                      <wp:extent cx="88265" cy="75565"/>
                      <wp:effectExtent l="0" t="0" r="0" b="0"/>
                      <wp:wrapNone/>
                      <wp:docPr id="17" name="椭圆 31"/>
                      <wp:cNvGraphicFramePr/>
                      <a:graphic xmlns:a="http://schemas.openxmlformats.org/drawingml/2006/main">
                        <a:graphicData uri="http://schemas.microsoft.com/office/word/2010/wordprocessingShape">
                          <wps:wsp>
                            <wps:cNvSpPr/>
                            <wps:spPr>
                              <a:xfrm>
                                <a:off x="0" y="0"/>
                                <a:ext cx="88265" cy="75565"/>
                              </a:xfrm>
                              <a:prstGeom prst="ellipse">
                                <a:avLst/>
                              </a:prstGeom>
                              <a:solidFill>
                                <a:srgbClr val="FF0000"/>
                              </a:solidFill>
                              <a:ln w="9525" cap="flat" cmpd="sng">
                                <a:solidFill>
                                  <a:srgbClr val="000000"/>
                                </a:solidFill>
                                <a:prstDash val="solid"/>
                                <a:headEnd type="none" w="med" len="med"/>
                                <a:tailEnd type="none" w="med" len="med"/>
                              </a:ln>
                            </wps:spPr>
                            <wps:bodyPr wrap="square" upright="1"/>
                          </wps:wsp>
                        </a:graphicData>
                      </a:graphic>
                    </wp:anchor>
                  </w:drawing>
                </mc:Choice>
                <mc:Fallback>
                  <w:pict>
                    <v:shape id="椭圆 31" o:spid="_x0000_s1026" o:spt="3" type="#_x0000_t3" style="position:absolute;left:0pt;margin-left:241pt;margin-top:208.15pt;height:5.95pt;width:6.95pt;z-index:251674624;mso-width-relative:page;mso-height-relative:page;" fillcolor="#FF0000" filled="t" stroked="t" coordsize="21600,21600" o:gfxdata="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IxavtkAAAALAQAADwAAAAAAAAABACAAAAAiAAAAZHJzL2Rv&#10;d25yZXYueG1sUEsBAhQAFAAAAAgAh07iQBJ56CcAAgAAJAQAAA4AAAAAAAAAAQAgAAAAKAEAAGRy&#10;cy9lMm9Eb2MueG1sUEsFBgAAAAAGAAYAWQEAAJoFAAAAAA==&#10;">
                      <v:fill on="t" focussize="0,0"/>
                      <v:stroke color="#000000" joinstyle="round"/>
                      <v:imagedata o:title=""/>
                      <o:lock v:ext="edit" aspectratio="f"/>
                    </v:shape>
                  </w:pict>
                </mc:Fallback>
              </mc:AlternateContent>
            </w:r>
            <w:r>
              <w:rPr>
                <w:color w:val="auto"/>
                <w:sz w:val="24"/>
              </w:rPr>
              <mc:AlternateContent>
                <mc:Choice Requires="wps">
                  <w:drawing>
                    <wp:anchor distT="0" distB="0" distL="114300" distR="114300" simplePos="0" relativeHeight="251673600" behindDoc="0" locked="0" layoutInCell="1" allowOverlap="1">
                      <wp:simplePos x="0" y="0"/>
                      <wp:positionH relativeFrom="column">
                        <wp:posOffset>2222500</wp:posOffset>
                      </wp:positionH>
                      <wp:positionV relativeFrom="paragraph">
                        <wp:posOffset>1979295</wp:posOffset>
                      </wp:positionV>
                      <wp:extent cx="1758315" cy="1112520"/>
                      <wp:effectExtent l="0" t="0" r="0" b="0"/>
                      <wp:wrapNone/>
                      <wp:docPr id="16" name="自选图形 32"/>
                      <wp:cNvGraphicFramePr/>
                      <a:graphic xmlns:a="http://schemas.openxmlformats.org/drawingml/2006/main">
                        <a:graphicData uri="http://schemas.microsoft.com/office/word/2010/wordprocessingShape">
                          <wps:wsp>
                            <wps:cNvSpPr/>
                            <wps:spPr>
                              <a:xfrm flipV="1">
                                <a:off x="0" y="0"/>
                                <a:ext cx="1758315" cy="1112520"/>
                              </a:xfrm>
                              <a:prstGeom prst="wedgeRectCallout">
                                <a:avLst>
                                  <a:gd name="adj1" fmla="val 7134"/>
                                  <a:gd name="adj2" fmla="val 155593"/>
                                </a:avLst>
                              </a:prstGeom>
                              <a:noFill/>
                              <a:ln w="9525" cap="flat" cmpd="sng">
                                <a:solidFill>
                                  <a:srgbClr val="FF0000"/>
                                </a:solidFill>
                                <a:prstDash val="solid"/>
                                <a:miter/>
                                <a:headEnd type="none" w="med" len="med"/>
                                <a:tailEnd type="none" w="med" len="med"/>
                              </a:ln>
                            </wps:spPr>
                            <wps:txbx>
                              <w:txbxContent>
                                <w:p w14:paraId="023F57B1">
                                  <w:r>
                                    <w:drawing>
                                      <wp:inline distT="0" distB="0" distL="114300" distR="114300">
                                        <wp:extent cx="1564005" cy="1126490"/>
                                        <wp:effectExtent l="0" t="0" r="0" b="0"/>
                                        <wp:docPr id="28"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1"/>
                                                <pic:cNvPicPr>
                                                  <a:picLocks noChangeAspect="1"/>
                                                </pic:cNvPicPr>
                                              </pic:nvPicPr>
                                              <pic:blipFill>
                                                <a:blip r:embed="rId16"/>
                                                <a:stretch>
                                                  <a:fillRect/>
                                                </a:stretch>
                                              </pic:blipFill>
                                              <pic:spPr>
                                                <a:xfrm>
                                                  <a:off x="0" y="0"/>
                                                  <a:ext cx="1564005" cy="1126490"/>
                                                </a:xfrm>
                                                <a:prstGeom prst="rect">
                                                  <a:avLst/>
                                                </a:prstGeom>
                                                <a:noFill/>
                                                <a:ln>
                                                  <a:noFill/>
                                                </a:ln>
                                              </pic:spPr>
                                            </pic:pic>
                                          </a:graphicData>
                                        </a:graphic>
                                      </wp:inline>
                                    </w:drawing>
                                  </w:r>
                                </w:p>
                              </w:txbxContent>
                            </wps:txbx>
                            <wps:bodyPr wrap="square" upright="1"/>
                          </wps:wsp>
                        </a:graphicData>
                      </a:graphic>
                    </wp:anchor>
                  </w:drawing>
                </mc:Choice>
                <mc:Fallback>
                  <w:pict>
                    <v:shape id="自选图形 32" o:spid="_x0000_s1026" o:spt="61" type="#_x0000_t61" style="position:absolute;left:0pt;flip:y;margin-left:175pt;margin-top:155.85pt;height:87.6pt;width:138.45pt;z-index:251673600;mso-width-relative:page;mso-height-relative:page;" filled="f" stroked="t" coordsize="21600,21600" o:gfxdata="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BFHDBnaAAAACwEAAA8AAAAAAAAA&#10;AQAgAAAAIgAAAGRycy9kb3ducmV2LnhtbFBLAQIUABQAAAAIAIdO4kCb1J2ESAIAAH4EAAAOAAAA&#10;AAAAAAEAIAAAACkBAABkcnMvZTJvRG9jLnhtbFBLBQYAAAAABgAGAFkBAADjBQAAAAA=&#10;" adj="12341,44408">
                      <v:fill on="f" focussize="0,0"/>
                      <v:stroke color="#FF0000" joinstyle="miter"/>
                      <v:imagedata o:title=""/>
                      <o:lock v:ext="edit" aspectratio="f"/>
                      <v:textbox>
                        <w:txbxContent>
                          <w:p w14:paraId="023F57B1">
                            <w:r>
                              <w:drawing>
                                <wp:inline distT="0" distB="0" distL="114300" distR="114300">
                                  <wp:extent cx="1564005" cy="1126490"/>
                                  <wp:effectExtent l="0" t="0" r="0" b="0"/>
                                  <wp:docPr id="28"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1"/>
                                          <pic:cNvPicPr>
                                            <a:picLocks noChangeAspect="1"/>
                                          </pic:cNvPicPr>
                                        </pic:nvPicPr>
                                        <pic:blipFill>
                                          <a:blip r:embed="rId16"/>
                                          <a:stretch>
                                            <a:fillRect/>
                                          </a:stretch>
                                        </pic:blipFill>
                                        <pic:spPr>
                                          <a:xfrm>
                                            <a:off x="0" y="0"/>
                                            <a:ext cx="1564005" cy="1126490"/>
                                          </a:xfrm>
                                          <a:prstGeom prst="rect">
                                            <a:avLst/>
                                          </a:prstGeom>
                                          <a:noFill/>
                                          <a:ln>
                                            <a:noFill/>
                                          </a:ln>
                                        </pic:spPr>
                                      </pic:pic>
                                    </a:graphicData>
                                  </a:graphic>
                                </wp:inline>
                              </w:drawing>
                            </w:r>
                          </w:p>
                        </w:txbxContent>
                      </v:textbox>
                    </v:shape>
                  </w:pict>
                </mc:Fallback>
              </mc:AlternateContent>
            </w:r>
            <w:r>
              <w:rPr>
                <w:color w:val="auto"/>
              </w:rPr>
              <w:drawing>
                <wp:inline distT="0" distB="0" distL="114300" distR="114300">
                  <wp:extent cx="4410075" cy="3122295"/>
                  <wp:effectExtent l="0" t="0" r="0" b="0"/>
                  <wp:docPr id="34"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2"/>
                          <pic:cNvPicPr>
                            <a:picLocks noChangeAspect="1"/>
                          </pic:cNvPicPr>
                        </pic:nvPicPr>
                        <pic:blipFill>
                          <a:blip r:embed="rId17"/>
                          <a:stretch>
                            <a:fillRect/>
                          </a:stretch>
                        </pic:blipFill>
                        <pic:spPr>
                          <a:xfrm>
                            <a:off x="0" y="0"/>
                            <a:ext cx="4410075" cy="3122295"/>
                          </a:xfrm>
                          <a:prstGeom prst="rect">
                            <a:avLst/>
                          </a:prstGeom>
                          <a:noFill/>
                          <a:ln>
                            <a:noFill/>
                          </a:ln>
                        </pic:spPr>
                      </pic:pic>
                    </a:graphicData>
                  </a:graphic>
                </wp:inline>
              </w:drawing>
            </w:r>
          </w:p>
          <w:p w14:paraId="6D815004">
            <w:pPr>
              <w:pStyle w:val="15"/>
              <w:spacing w:before="0" w:after="0" w:line="240" w:lineRule="auto"/>
              <w:ind w:left="0" w:leftChars="0" w:right="0" w:firstLine="0" w:firstLineChars="0"/>
              <w:jc w:val="center"/>
              <w:rPr>
                <w:b/>
                <w:bCs/>
                <w:color w:val="auto"/>
                <w:sz w:val="24"/>
                <w:szCs w:val="24"/>
              </w:rPr>
            </w:pPr>
            <w:r>
              <w:rPr>
                <w:b/>
                <w:bCs/>
                <w:color w:val="auto"/>
                <w:sz w:val="24"/>
                <w:szCs w:val="24"/>
              </w:rPr>
              <w:t>图1-</w:t>
            </w:r>
            <w:r>
              <w:rPr>
                <w:rFonts w:hint="eastAsia"/>
                <w:b/>
                <w:bCs/>
                <w:color w:val="auto"/>
                <w:sz w:val="24"/>
                <w:szCs w:val="24"/>
              </w:rPr>
              <w:t>4</w:t>
            </w:r>
            <w:r>
              <w:rPr>
                <w:b/>
                <w:bCs/>
                <w:color w:val="auto"/>
                <w:sz w:val="24"/>
                <w:szCs w:val="24"/>
              </w:rPr>
              <w:t xml:space="preserve"> 本项目区块与池州市土壤环境风险分区防控位置关系</w:t>
            </w:r>
          </w:p>
          <w:p w14:paraId="2AEB575E">
            <w:pPr>
              <w:ind w:left="0" w:leftChars="0" w:firstLine="0" w:firstLineChars="0"/>
              <w:jc w:val="center"/>
              <w:rPr>
                <w:color w:val="auto"/>
              </w:rPr>
            </w:pPr>
          </w:p>
          <w:p w14:paraId="2706779F">
            <w:pPr>
              <w:pStyle w:val="4"/>
              <w:spacing w:before="120" w:after="120"/>
              <w:ind w:left="0" w:leftChars="0" w:firstLine="0" w:firstLineChars="0"/>
              <w:jc w:val="center"/>
              <w:rPr>
                <w:color w:val="auto"/>
              </w:rPr>
            </w:pPr>
            <w:r>
              <w:rPr>
                <w:color w:val="auto"/>
                <w:sz w:val="24"/>
              </w:rPr>
              <mc:AlternateContent>
                <mc:Choice Requires="wps">
                  <w:drawing>
                    <wp:anchor distT="0" distB="0" distL="114300" distR="114300" simplePos="0" relativeHeight="251678720" behindDoc="0" locked="0" layoutInCell="1" allowOverlap="1">
                      <wp:simplePos x="0" y="0"/>
                      <wp:positionH relativeFrom="column">
                        <wp:posOffset>2887980</wp:posOffset>
                      </wp:positionH>
                      <wp:positionV relativeFrom="paragraph">
                        <wp:posOffset>2095500</wp:posOffset>
                      </wp:positionV>
                      <wp:extent cx="820420" cy="314960"/>
                      <wp:effectExtent l="0" t="0" r="0" b="0"/>
                      <wp:wrapNone/>
                      <wp:docPr id="21" name="自选图形 33"/>
                      <wp:cNvGraphicFramePr/>
                      <a:graphic xmlns:a="http://schemas.openxmlformats.org/drawingml/2006/main">
                        <a:graphicData uri="http://schemas.microsoft.com/office/word/2010/wordprocessingShape">
                          <wps:wsp>
                            <wps:cNvSpPr/>
                            <wps:spPr>
                              <a:xfrm>
                                <a:off x="0" y="0"/>
                                <a:ext cx="820420" cy="314960"/>
                              </a:xfrm>
                              <a:prstGeom prst="wedgeRoundRectCallout">
                                <a:avLst>
                                  <a:gd name="adj1" fmla="val -81185"/>
                                  <a:gd name="adj2" fmla="val 104838"/>
                                  <a:gd name="adj3" fmla="val 16667"/>
                                </a:avLst>
                              </a:prstGeom>
                              <a:noFill/>
                              <a:ln w="9525" cap="flat" cmpd="sng">
                                <a:solidFill>
                                  <a:srgbClr val="000000"/>
                                </a:solidFill>
                                <a:prstDash val="solid"/>
                                <a:miter/>
                                <a:headEnd type="none" w="med" len="med"/>
                                <a:tailEnd type="none" w="med" len="med"/>
                              </a:ln>
                            </wps:spPr>
                            <wps:txbx>
                              <w:txbxContent>
                                <w:p w14:paraId="1B07D2BB">
                                  <w:pPr>
                                    <w:rPr>
                                      <w:rFonts w:hint="eastAsia"/>
                                      <w:color w:val="FF0000"/>
                                    </w:rPr>
                                  </w:pPr>
                                  <w:r>
                                    <w:rPr>
                                      <w:rFonts w:hint="eastAsia"/>
                                      <w:color w:val="FF0000"/>
                                      <w:szCs w:val="21"/>
                                    </w:rPr>
                                    <w:t>项目位置</w:t>
                                  </w:r>
                                </w:p>
                              </w:txbxContent>
                            </wps:txbx>
                            <wps:bodyPr wrap="square" upright="1"/>
                          </wps:wsp>
                        </a:graphicData>
                      </a:graphic>
                    </wp:anchor>
                  </w:drawing>
                </mc:Choice>
                <mc:Fallback>
                  <w:pict>
                    <v:shape id="自选图形 33" o:spid="_x0000_s1026" o:spt="62" type="#_x0000_t62" style="position:absolute;left:0pt;margin-left:227.4pt;margin-top:165pt;height:24.8pt;width:64.6pt;z-index:251678720;mso-width-relative:page;mso-height-relative:page;" filled="f" stroked="t" coordsize="21600,21600" o:gfxdata="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VmHfbdoAAAALAQAADwAA&#10;AAAAAAABACAAAAAiAAAAZHJzL2Rvd25yZXYueG1sUEsBAhQAFAAAAAgAh07iQNim8yRNAgAAnQQA&#10;AA4AAAAAAAAAAQAgAAAAKQEAAGRycy9lMm9Eb2MueG1sUEsFBgAAAAAGAAYAWQEAAOgFAAAAAA==&#10;" adj="-6736,33445,14400">
                      <v:fill on="f" focussize="0,0"/>
                      <v:stroke color="#000000" joinstyle="miter"/>
                      <v:imagedata o:title=""/>
                      <o:lock v:ext="edit" aspectratio="f"/>
                      <v:textbox>
                        <w:txbxContent>
                          <w:p w14:paraId="1B07D2BB">
                            <w:pPr>
                              <w:rPr>
                                <w:rFonts w:hint="eastAsia"/>
                                <w:color w:val="FF0000"/>
                              </w:rPr>
                            </w:pPr>
                            <w:r>
                              <w:rPr>
                                <w:rFonts w:hint="eastAsia"/>
                                <w:color w:val="FF0000"/>
                                <w:szCs w:val="21"/>
                              </w:rPr>
                              <w:t>项目位置</w:t>
                            </w:r>
                          </w:p>
                        </w:txbxContent>
                      </v:textbox>
                    </v:shape>
                  </w:pict>
                </mc:Fallback>
              </mc:AlternateContent>
            </w:r>
            <w:r>
              <w:rPr>
                <w:color w:val="auto"/>
                <w:sz w:val="24"/>
              </w:rPr>
              <mc:AlternateContent>
                <mc:Choice Requires="wps">
                  <w:drawing>
                    <wp:anchor distT="0" distB="0" distL="114300" distR="114300" simplePos="0" relativeHeight="251677696" behindDoc="0" locked="0" layoutInCell="1" allowOverlap="1">
                      <wp:simplePos x="0" y="0"/>
                      <wp:positionH relativeFrom="column">
                        <wp:posOffset>2540635</wp:posOffset>
                      </wp:positionH>
                      <wp:positionV relativeFrom="paragraph">
                        <wp:posOffset>2551430</wp:posOffset>
                      </wp:positionV>
                      <wp:extent cx="75565" cy="75565"/>
                      <wp:effectExtent l="0" t="0" r="0" b="0"/>
                      <wp:wrapNone/>
                      <wp:docPr id="20" name="椭圆 34"/>
                      <wp:cNvGraphicFramePr/>
                      <a:graphic xmlns:a="http://schemas.openxmlformats.org/drawingml/2006/main">
                        <a:graphicData uri="http://schemas.microsoft.com/office/word/2010/wordprocessingShape">
                          <wps:wsp>
                            <wps:cNvSpPr/>
                            <wps:spPr>
                              <a:xfrm>
                                <a:off x="0" y="0"/>
                                <a:ext cx="75565" cy="75565"/>
                              </a:xfrm>
                              <a:prstGeom prst="ellipse">
                                <a:avLst/>
                              </a:prstGeom>
                              <a:solidFill>
                                <a:srgbClr val="FF0000"/>
                              </a:solidFill>
                              <a:ln w="9525" cap="flat" cmpd="sng">
                                <a:solidFill>
                                  <a:srgbClr val="FF0000"/>
                                </a:solidFill>
                                <a:prstDash val="solid"/>
                                <a:headEnd type="none" w="med" len="med"/>
                                <a:tailEnd type="none" w="med" len="med"/>
                              </a:ln>
                            </wps:spPr>
                            <wps:bodyPr wrap="square" upright="1"/>
                          </wps:wsp>
                        </a:graphicData>
                      </a:graphic>
                    </wp:anchor>
                  </w:drawing>
                </mc:Choice>
                <mc:Fallback>
                  <w:pict>
                    <v:shape id="椭圆 34" o:spid="_x0000_s1026" o:spt="3" type="#_x0000_t3" style="position:absolute;left:0pt;margin-left:200.05pt;margin-top:200.9pt;height:5.95pt;width:5.95pt;z-index:251677696;mso-width-relative:page;mso-height-relative:page;" fillcolor="#FF0000" filled="t" stroked="t" coordsize="21600,21600" o:gfxdata="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0eQfTWAAAACwEAAA8AAAAAAAAAAQAgAAAAIgAAAGRycy9kb3ducmV2Lnht&#10;bFBLAQIUABQAAAAIAIdO4kA/HkP1+wEAACQEAAAOAAAAAAAAAAEAIAAAACUBAABkcnMvZTJvRG9j&#10;LnhtbFBLBQYAAAAABgAGAFkBAACSBQAAAAA=&#10;">
                      <v:fill on="t" focussize="0,0"/>
                      <v:stroke color="#FF0000" joinstyle="round"/>
                      <v:imagedata o:title=""/>
                      <o:lock v:ext="edit" aspectratio="f"/>
                    </v:shape>
                  </w:pict>
                </mc:Fallback>
              </mc:AlternateContent>
            </w:r>
            <w:r>
              <w:rPr>
                <w:color w:val="auto"/>
                <w:sz w:val="24"/>
              </w:rPr>
              <mc:AlternateContent>
                <mc:Choice Requires="wps">
                  <w:drawing>
                    <wp:anchor distT="0" distB="0" distL="114300" distR="114300" simplePos="0" relativeHeight="251676672" behindDoc="0" locked="0" layoutInCell="1" allowOverlap="1">
                      <wp:simplePos x="0" y="0"/>
                      <wp:positionH relativeFrom="column">
                        <wp:posOffset>2000885</wp:posOffset>
                      </wp:positionH>
                      <wp:positionV relativeFrom="paragraph">
                        <wp:posOffset>2086610</wp:posOffset>
                      </wp:positionV>
                      <wp:extent cx="1758315" cy="1112520"/>
                      <wp:effectExtent l="0" t="0" r="0" b="0"/>
                      <wp:wrapNone/>
                      <wp:docPr id="19" name="自选图形 35"/>
                      <wp:cNvGraphicFramePr/>
                      <a:graphic xmlns:a="http://schemas.openxmlformats.org/drawingml/2006/main">
                        <a:graphicData uri="http://schemas.microsoft.com/office/word/2010/wordprocessingShape">
                          <wps:wsp>
                            <wps:cNvSpPr/>
                            <wps:spPr>
                              <a:xfrm flipV="1">
                                <a:off x="0" y="0"/>
                                <a:ext cx="1758315" cy="1112520"/>
                              </a:xfrm>
                              <a:prstGeom prst="wedgeRectCallout">
                                <a:avLst>
                                  <a:gd name="adj1" fmla="val 7134"/>
                                  <a:gd name="adj2" fmla="val 155593"/>
                                </a:avLst>
                              </a:prstGeom>
                              <a:noFill/>
                              <a:ln w="9525" cap="flat" cmpd="sng">
                                <a:solidFill>
                                  <a:srgbClr val="FF0000"/>
                                </a:solidFill>
                                <a:prstDash val="solid"/>
                                <a:miter/>
                                <a:headEnd type="none" w="med" len="med"/>
                                <a:tailEnd type="none" w="med" len="med"/>
                              </a:ln>
                            </wps:spPr>
                            <wps:txbx>
                              <w:txbxContent>
                                <w:p w14:paraId="7A11B62D">
                                  <w:r>
                                    <w:drawing>
                                      <wp:inline distT="0" distB="0" distL="114300" distR="114300">
                                        <wp:extent cx="1563370" cy="1136650"/>
                                        <wp:effectExtent l="0" t="0" r="0" b="0"/>
                                        <wp:docPr id="29"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3"/>
                                                <pic:cNvPicPr>
                                                  <a:picLocks noChangeAspect="1"/>
                                                </pic:cNvPicPr>
                                              </pic:nvPicPr>
                                              <pic:blipFill>
                                                <a:blip r:embed="rId18"/>
                                                <a:stretch>
                                                  <a:fillRect/>
                                                </a:stretch>
                                              </pic:blipFill>
                                              <pic:spPr>
                                                <a:xfrm>
                                                  <a:off x="0" y="0"/>
                                                  <a:ext cx="1563370" cy="1136650"/>
                                                </a:xfrm>
                                                <a:prstGeom prst="rect">
                                                  <a:avLst/>
                                                </a:prstGeom>
                                                <a:noFill/>
                                                <a:ln>
                                                  <a:noFill/>
                                                </a:ln>
                                              </pic:spPr>
                                            </pic:pic>
                                          </a:graphicData>
                                        </a:graphic>
                                      </wp:inline>
                                    </w:drawing>
                                  </w:r>
                                </w:p>
                              </w:txbxContent>
                            </wps:txbx>
                            <wps:bodyPr wrap="square" upright="1"/>
                          </wps:wsp>
                        </a:graphicData>
                      </a:graphic>
                    </wp:anchor>
                  </w:drawing>
                </mc:Choice>
                <mc:Fallback>
                  <w:pict>
                    <v:shape id="自选图形 35" o:spid="_x0000_s1026" o:spt="61" type="#_x0000_t61" style="position:absolute;left:0pt;flip:y;margin-left:157.55pt;margin-top:164.3pt;height:87.6pt;width:138.45pt;z-index:251676672;mso-width-relative:page;mso-height-relative:page;" filled="f" stroked="t" coordsize="21600,21600" o:gfxdata="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bQtVFNkAAAALAQAADwAAAAAAAAAB&#10;ACAAAAAiAAAAZHJzL2Rvd25yZXYueG1sUEsBAhQAFAAAAAgAh07iQDR/aDFIAgAAfgQAAA4AAAAA&#10;AAAAAQAgAAAAKAEAAGRycy9lMm9Eb2MueG1sUEsFBgAAAAAGAAYAWQEAAOIFAAAAAA==&#10;" adj="12341,44408">
                      <v:fill on="f" focussize="0,0"/>
                      <v:stroke color="#FF0000" joinstyle="miter"/>
                      <v:imagedata o:title=""/>
                      <o:lock v:ext="edit" aspectratio="f"/>
                      <v:textbox>
                        <w:txbxContent>
                          <w:p w14:paraId="7A11B62D">
                            <w:r>
                              <w:drawing>
                                <wp:inline distT="0" distB="0" distL="114300" distR="114300">
                                  <wp:extent cx="1563370" cy="1136650"/>
                                  <wp:effectExtent l="0" t="0" r="0" b="0"/>
                                  <wp:docPr id="29"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3"/>
                                          <pic:cNvPicPr>
                                            <a:picLocks noChangeAspect="1"/>
                                          </pic:cNvPicPr>
                                        </pic:nvPicPr>
                                        <pic:blipFill>
                                          <a:blip r:embed="rId18"/>
                                          <a:stretch>
                                            <a:fillRect/>
                                          </a:stretch>
                                        </pic:blipFill>
                                        <pic:spPr>
                                          <a:xfrm>
                                            <a:off x="0" y="0"/>
                                            <a:ext cx="1563370" cy="1136650"/>
                                          </a:xfrm>
                                          <a:prstGeom prst="rect">
                                            <a:avLst/>
                                          </a:prstGeom>
                                          <a:noFill/>
                                          <a:ln>
                                            <a:noFill/>
                                          </a:ln>
                                        </pic:spPr>
                                      </pic:pic>
                                    </a:graphicData>
                                  </a:graphic>
                                </wp:inline>
                              </w:drawing>
                            </w:r>
                          </w:p>
                        </w:txbxContent>
                      </v:textbox>
                    </v:shape>
                  </w:pict>
                </mc:Fallback>
              </mc:AlternateContent>
            </w:r>
            <w:r>
              <w:rPr>
                <w:color w:val="auto"/>
              </w:rPr>
              <w:drawing>
                <wp:inline distT="0" distB="0" distL="114300" distR="114300">
                  <wp:extent cx="4573270" cy="3239770"/>
                  <wp:effectExtent l="0" t="0" r="0" b="0"/>
                  <wp:docPr id="3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4"/>
                          <pic:cNvPicPr>
                            <a:picLocks noChangeAspect="1"/>
                          </pic:cNvPicPr>
                        </pic:nvPicPr>
                        <pic:blipFill>
                          <a:blip r:embed="rId19"/>
                          <a:stretch>
                            <a:fillRect/>
                          </a:stretch>
                        </pic:blipFill>
                        <pic:spPr>
                          <a:xfrm>
                            <a:off x="0" y="0"/>
                            <a:ext cx="4573270" cy="3239770"/>
                          </a:xfrm>
                          <a:prstGeom prst="rect">
                            <a:avLst/>
                          </a:prstGeom>
                          <a:noFill/>
                          <a:ln>
                            <a:noFill/>
                          </a:ln>
                        </pic:spPr>
                      </pic:pic>
                    </a:graphicData>
                  </a:graphic>
                </wp:inline>
              </w:drawing>
            </w:r>
          </w:p>
          <w:p w14:paraId="7A498F81">
            <w:pPr>
              <w:pStyle w:val="15"/>
              <w:spacing w:before="0" w:after="0" w:line="240" w:lineRule="auto"/>
              <w:ind w:left="0" w:leftChars="0" w:right="0" w:firstLine="0" w:firstLineChars="0"/>
              <w:jc w:val="center"/>
              <w:rPr>
                <w:b/>
                <w:bCs/>
                <w:color w:val="auto"/>
                <w:sz w:val="24"/>
                <w:szCs w:val="24"/>
              </w:rPr>
            </w:pPr>
            <w:r>
              <w:rPr>
                <w:b/>
                <w:bCs/>
                <w:color w:val="auto"/>
                <w:sz w:val="24"/>
                <w:szCs w:val="24"/>
              </w:rPr>
              <w:t>图1</w:t>
            </w:r>
            <w:r>
              <w:rPr>
                <w:rFonts w:hint="eastAsia"/>
                <w:b/>
                <w:bCs/>
                <w:color w:val="auto"/>
                <w:sz w:val="24"/>
                <w:szCs w:val="24"/>
              </w:rPr>
              <w:t>-5</w:t>
            </w:r>
            <w:r>
              <w:rPr>
                <w:b/>
                <w:bCs/>
                <w:color w:val="auto"/>
                <w:sz w:val="24"/>
                <w:szCs w:val="24"/>
              </w:rPr>
              <w:t xml:space="preserve">  本项目区块与池州市</w:t>
            </w:r>
            <w:r>
              <w:rPr>
                <w:rFonts w:hint="eastAsia"/>
                <w:b/>
                <w:bCs/>
                <w:color w:val="auto"/>
                <w:sz w:val="24"/>
                <w:szCs w:val="24"/>
              </w:rPr>
              <w:t>高污染燃料禁燃区</w:t>
            </w:r>
            <w:r>
              <w:rPr>
                <w:b/>
                <w:bCs/>
                <w:color w:val="auto"/>
                <w:sz w:val="24"/>
                <w:szCs w:val="24"/>
              </w:rPr>
              <w:t>位置关系</w:t>
            </w:r>
          </w:p>
          <w:p w14:paraId="382F805D">
            <w:pPr>
              <w:ind w:left="0" w:leftChars="0" w:firstLine="0" w:firstLineChars="0"/>
              <w:jc w:val="center"/>
              <w:rPr>
                <w:color w:val="auto"/>
              </w:rPr>
            </w:pPr>
            <w:r>
              <w:rPr>
                <w:color w:val="auto"/>
                <w:sz w:val="24"/>
              </w:rPr>
              <mc:AlternateContent>
                <mc:Choice Requires="wps">
                  <w:drawing>
                    <wp:anchor distT="0" distB="0" distL="114300" distR="114300" simplePos="0" relativeHeight="251681792" behindDoc="0" locked="0" layoutInCell="1" allowOverlap="1">
                      <wp:simplePos x="0" y="0"/>
                      <wp:positionH relativeFrom="column">
                        <wp:posOffset>2861310</wp:posOffset>
                      </wp:positionH>
                      <wp:positionV relativeFrom="paragraph">
                        <wp:posOffset>1949450</wp:posOffset>
                      </wp:positionV>
                      <wp:extent cx="820420" cy="314960"/>
                      <wp:effectExtent l="0" t="0" r="0" b="0"/>
                      <wp:wrapNone/>
                      <wp:docPr id="24" name="自选图形 36"/>
                      <wp:cNvGraphicFramePr/>
                      <a:graphic xmlns:a="http://schemas.openxmlformats.org/drawingml/2006/main">
                        <a:graphicData uri="http://schemas.microsoft.com/office/word/2010/wordprocessingShape">
                          <wps:wsp>
                            <wps:cNvSpPr/>
                            <wps:spPr>
                              <a:xfrm>
                                <a:off x="0" y="0"/>
                                <a:ext cx="820420" cy="314960"/>
                              </a:xfrm>
                              <a:prstGeom prst="wedgeRoundRectCallout">
                                <a:avLst>
                                  <a:gd name="adj1" fmla="val -81185"/>
                                  <a:gd name="adj2" fmla="val 104838"/>
                                  <a:gd name="adj3" fmla="val 16667"/>
                                </a:avLst>
                              </a:prstGeom>
                              <a:noFill/>
                              <a:ln w="9525" cap="flat" cmpd="sng">
                                <a:solidFill>
                                  <a:srgbClr val="000000"/>
                                </a:solidFill>
                                <a:prstDash val="solid"/>
                                <a:miter/>
                                <a:headEnd type="none" w="med" len="med"/>
                                <a:tailEnd type="none" w="med" len="med"/>
                              </a:ln>
                            </wps:spPr>
                            <wps:txbx>
                              <w:txbxContent>
                                <w:p w14:paraId="2C6C3331">
                                  <w:pPr>
                                    <w:rPr>
                                      <w:rFonts w:hint="eastAsia"/>
                                      <w:color w:val="FF0000"/>
                                    </w:rPr>
                                  </w:pPr>
                                  <w:r>
                                    <w:rPr>
                                      <w:rFonts w:hint="eastAsia"/>
                                      <w:color w:val="FF0000"/>
                                      <w:szCs w:val="21"/>
                                    </w:rPr>
                                    <w:t>项目位置</w:t>
                                  </w:r>
                                </w:p>
                              </w:txbxContent>
                            </wps:txbx>
                            <wps:bodyPr wrap="square" upright="1"/>
                          </wps:wsp>
                        </a:graphicData>
                      </a:graphic>
                    </wp:anchor>
                  </w:drawing>
                </mc:Choice>
                <mc:Fallback>
                  <w:pict>
                    <v:shape id="自选图形 36" o:spid="_x0000_s1026" o:spt="62" type="#_x0000_t62" style="position:absolute;left:0pt;margin-left:225.3pt;margin-top:153.5pt;height:24.8pt;width:64.6pt;z-index:251681792;mso-width-relative:page;mso-height-relative:page;" filled="f" stroked="t" coordsize="21600,21600" o:gfxdata="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v3T2x9kAAAALAQAADwAA&#10;AAAAAAABACAAAAAiAAAAZHJzL2Rvd25yZXYueG1sUEsBAhQAFAAAAAgAh07iQL3+bfFOAgAAnQQA&#10;AA4AAAAAAAAAAQAgAAAAKAEAAGRycy9lMm9Eb2MueG1sUEsFBgAAAAAGAAYAWQEAAOgFAAAAAA==&#10;" adj="-6736,33445,14400">
                      <v:fill on="f" focussize="0,0"/>
                      <v:stroke color="#000000" joinstyle="miter"/>
                      <v:imagedata o:title=""/>
                      <o:lock v:ext="edit" aspectratio="f"/>
                      <v:textbox>
                        <w:txbxContent>
                          <w:p w14:paraId="2C6C3331">
                            <w:pPr>
                              <w:rPr>
                                <w:rFonts w:hint="eastAsia"/>
                                <w:color w:val="FF0000"/>
                              </w:rPr>
                            </w:pPr>
                            <w:r>
                              <w:rPr>
                                <w:rFonts w:hint="eastAsia"/>
                                <w:color w:val="FF0000"/>
                                <w:szCs w:val="21"/>
                              </w:rPr>
                              <w:t>项目位置</w:t>
                            </w:r>
                          </w:p>
                        </w:txbxContent>
                      </v:textbox>
                    </v:shape>
                  </w:pict>
                </mc:Fallback>
              </mc:AlternateContent>
            </w:r>
            <w:r>
              <w:rPr>
                <w:color w:val="auto"/>
                <w:sz w:val="24"/>
              </w:rPr>
              <mc:AlternateContent>
                <mc:Choice Requires="wps">
                  <w:drawing>
                    <wp:anchor distT="0" distB="0" distL="114300" distR="114300" simplePos="0" relativeHeight="251680768" behindDoc="0" locked="0" layoutInCell="1" allowOverlap="1">
                      <wp:simplePos x="0" y="0"/>
                      <wp:positionH relativeFrom="column">
                        <wp:posOffset>2562225</wp:posOffset>
                      </wp:positionH>
                      <wp:positionV relativeFrom="paragraph">
                        <wp:posOffset>2416175</wp:posOffset>
                      </wp:positionV>
                      <wp:extent cx="75565" cy="75565"/>
                      <wp:effectExtent l="0" t="0" r="0" b="0"/>
                      <wp:wrapNone/>
                      <wp:docPr id="23" name="自选图形 37"/>
                      <wp:cNvGraphicFramePr/>
                      <a:graphic xmlns:a="http://schemas.openxmlformats.org/drawingml/2006/main">
                        <a:graphicData uri="http://schemas.microsoft.com/office/word/2010/wordprocessingShape">
                          <wps:wsp>
                            <wps:cNvSpPr/>
                            <wps:spPr>
                              <a:xfrm>
                                <a:off x="0" y="0"/>
                                <a:ext cx="75565" cy="75565"/>
                              </a:xfrm>
                              <a:prstGeom prst="flowChartConnector">
                                <a:avLst/>
                              </a:prstGeom>
                              <a:solidFill>
                                <a:srgbClr val="FF0000"/>
                              </a:solidFill>
                              <a:ln w="9525" cap="flat" cmpd="sng">
                                <a:solidFill>
                                  <a:srgbClr val="FF0000"/>
                                </a:solidFill>
                                <a:prstDash val="solid"/>
                                <a:headEnd type="none" w="med" len="med"/>
                                <a:tailEnd type="none" w="med" len="med"/>
                              </a:ln>
                            </wps:spPr>
                            <wps:bodyPr wrap="square" upright="1"/>
                          </wps:wsp>
                        </a:graphicData>
                      </a:graphic>
                    </wp:anchor>
                  </w:drawing>
                </mc:Choice>
                <mc:Fallback>
                  <w:pict>
                    <v:shape id="自选图形 37" o:spid="_x0000_s1026" o:spt="120" type="#_x0000_t120" style="position:absolute;left:0pt;margin-left:201.75pt;margin-top:190.25pt;height:5.95pt;width:5.95pt;z-index:251680768;mso-width-relative:page;mso-height-relative:page;" fillcolor="#FF0000" filled="t" stroked="t" coordsize="21600,21600" o:gfxdata="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eLxQztoAAAALAQAADwAAAAAAAAAB&#10;ACAAAAAiAAAAZHJzL2Rvd25yZXYueG1sUEsBAhQAFAAAAAgAh07iQDdKDhMOAgAANQQAAA4AAAAA&#10;AAAAAQAgAAAAKQEAAGRycy9lMm9Eb2MueG1sUEsFBgAAAAAGAAYAWQEAAKkFAAAAAA==&#10;">
                      <v:fill on="t" focussize="0,0"/>
                      <v:stroke color="#FF0000" joinstyle="round"/>
                      <v:imagedata o:title=""/>
                      <o:lock v:ext="edit" aspectratio="f"/>
                    </v:shape>
                  </w:pict>
                </mc:Fallback>
              </mc:AlternateContent>
            </w:r>
            <w:r>
              <w:rPr>
                <w:color w:val="auto"/>
                <w:sz w:val="24"/>
              </w:rPr>
              <mc:AlternateContent>
                <mc:Choice Requires="wps">
                  <w:drawing>
                    <wp:anchor distT="0" distB="0" distL="114300" distR="114300" simplePos="0" relativeHeight="251679744" behindDoc="0" locked="0" layoutInCell="1" allowOverlap="1">
                      <wp:simplePos x="0" y="0"/>
                      <wp:positionH relativeFrom="column">
                        <wp:posOffset>1943735</wp:posOffset>
                      </wp:positionH>
                      <wp:positionV relativeFrom="paragraph">
                        <wp:posOffset>2048510</wp:posOffset>
                      </wp:positionV>
                      <wp:extent cx="1758315" cy="1112520"/>
                      <wp:effectExtent l="0" t="0" r="0" b="0"/>
                      <wp:wrapNone/>
                      <wp:docPr id="22" name="自选图形 38"/>
                      <wp:cNvGraphicFramePr/>
                      <a:graphic xmlns:a="http://schemas.openxmlformats.org/drawingml/2006/main">
                        <a:graphicData uri="http://schemas.microsoft.com/office/word/2010/wordprocessingShape">
                          <wps:wsp>
                            <wps:cNvSpPr/>
                            <wps:spPr>
                              <a:xfrm flipV="1">
                                <a:off x="0" y="0"/>
                                <a:ext cx="1758315" cy="1112520"/>
                              </a:xfrm>
                              <a:prstGeom prst="wedgeRectCallout">
                                <a:avLst>
                                  <a:gd name="adj1" fmla="val 7134"/>
                                  <a:gd name="adj2" fmla="val 155593"/>
                                </a:avLst>
                              </a:prstGeom>
                              <a:noFill/>
                              <a:ln w="9525" cap="flat" cmpd="sng">
                                <a:solidFill>
                                  <a:srgbClr val="FF0000"/>
                                </a:solidFill>
                                <a:prstDash val="solid"/>
                                <a:miter/>
                                <a:headEnd type="none" w="med" len="med"/>
                                <a:tailEnd type="none" w="med" len="med"/>
                              </a:ln>
                            </wps:spPr>
                            <wps:txbx>
                              <w:txbxContent>
                                <w:p w14:paraId="366AF72B">
                                  <w:r>
                                    <w:drawing>
                                      <wp:inline distT="0" distB="0" distL="114300" distR="114300">
                                        <wp:extent cx="1563370" cy="1002665"/>
                                        <wp:effectExtent l="0" t="0" r="0" b="0"/>
                                        <wp:docPr id="30"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5"/>
                                                <pic:cNvPicPr>
                                                  <a:picLocks noChangeAspect="1"/>
                                                </pic:cNvPicPr>
                                              </pic:nvPicPr>
                                              <pic:blipFill>
                                                <a:blip r:embed="rId20"/>
                                                <a:stretch>
                                                  <a:fillRect/>
                                                </a:stretch>
                                              </pic:blipFill>
                                              <pic:spPr>
                                                <a:xfrm>
                                                  <a:off x="0" y="0"/>
                                                  <a:ext cx="1563370" cy="1002665"/>
                                                </a:xfrm>
                                                <a:prstGeom prst="rect">
                                                  <a:avLst/>
                                                </a:prstGeom>
                                                <a:noFill/>
                                                <a:ln>
                                                  <a:noFill/>
                                                </a:ln>
                                              </pic:spPr>
                                            </pic:pic>
                                          </a:graphicData>
                                        </a:graphic>
                                      </wp:inline>
                                    </w:drawing>
                                  </w:r>
                                </w:p>
                              </w:txbxContent>
                            </wps:txbx>
                            <wps:bodyPr wrap="square" upright="1"/>
                          </wps:wsp>
                        </a:graphicData>
                      </a:graphic>
                    </wp:anchor>
                  </w:drawing>
                </mc:Choice>
                <mc:Fallback>
                  <w:pict>
                    <v:shape id="自选图形 38" o:spid="_x0000_s1026" o:spt="61" type="#_x0000_t61" style="position:absolute;left:0pt;flip:y;margin-left:153.05pt;margin-top:161.3pt;height:87.6pt;width:138.45pt;z-index:251679744;mso-width-relative:page;mso-height-relative:page;" filled="f" stroked="t" coordsize="21600,21600" o:gfxdata="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UMLkWdoAAAALAQAADwAAAAAA&#10;AAABACAAAAAiAAAAZHJzL2Rvd25yZXYueG1sUEsBAhQAFAAAAAgAh07iQHm50mlKAgAAfgQAAA4A&#10;AAAAAAAAAQAgAAAAKQEAAGRycy9lMm9Eb2MueG1sUEsFBgAAAAAGAAYAWQEAAOUFAAAAAA==&#10;" adj="12341,44408">
                      <v:fill on="f" focussize="0,0"/>
                      <v:stroke color="#FF0000" joinstyle="miter"/>
                      <v:imagedata o:title=""/>
                      <o:lock v:ext="edit" aspectratio="f"/>
                      <v:textbox>
                        <w:txbxContent>
                          <w:p w14:paraId="366AF72B">
                            <w:r>
                              <w:drawing>
                                <wp:inline distT="0" distB="0" distL="114300" distR="114300">
                                  <wp:extent cx="1563370" cy="1002665"/>
                                  <wp:effectExtent l="0" t="0" r="0" b="0"/>
                                  <wp:docPr id="30"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5"/>
                                          <pic:cNvPicPr>
                                            <a:picLocks noChangeAspect="1"/>
                                          </pic:cNvPicPr>
                                        </pic:nvPicPr>
                                        <pic:blipFill>
                                          <a:blip r:embed="rId20"/>
                                          <a:stretch>
                                            <a:fillRect/>
                                          </a:stretch>
                                        </pic:blipFill>
                                        <pic:spPr>
                                          <a:xfrm>
                                            <a:off x="0" y="0"/>
                                            <a:ext cx="1563370" cy="1002665"/>
                                          </a:xfrm>
                                          <a:prstGeom prst="rect">
                                            <a:avLst/>
                                          </a:prstGeom>
                                          <a:noFill/>
                                          <a:ln>
                                            <a:noFill/>
                                          </a:ln>
                                        </pic:spPr>
                                      </pic:pic>
                                    </a:graphicData>
                                  </a:graphic>
                                </wp:inline>
                              </w:drawing>
                            </w:r>
                          </w:p>
                        </w:txbxContent>
                      </v:textbox>
                    </v:shape>
                  </w:pict>
                </mc:Fallback>
              </mc:AlternateContent>
            </w:r>
            <w:r>
              <w:rPr>
                <w:color w:val="auto"/>
                <w:szCs w:val="28"/>
              </w:rPr>
              <w:drawing>
                <wp:inline distT="0" distB="0" distL="114300" distR="114300">
                  <wp:extent cx="4604385" cy="3258820"/>
                  <wp:effectExtent l="0" t="0" r="0" b="0"/>
                  <wp:docPr id="36" name="图片 96" descr="C:\Users\xulifeng\AppData\Local\Temp\WeChat Files\74926ca8e4324c2a4e5b14e348a77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6" descr="C:\Users\xulifeng\AppData\Local\Temp\WeChat Files\74926ca8e4324c2a4e5b14e348a7797.png"/>
                          <pic:cNvPicPr>
                            <a:picLocks noChangeAspect="1"/>
                          </pic:cNvPicPr>
                        </pic:nvPicPr>
                        <pic:blipFill>
                          <a:blip r:embed="rId21"/>
                          <a:stretch>
                            <a:fillRect/>
                          </a:stretch>
                        </pic:blipFill>
                        <pic:spPr>
                          <a:xfrm>
                            <a:off x="0" y="0"/>
                            <a:ext cx="4604385" cy="3258820"/>
                          </a:xfrm>
                          <a:prstGeom prst="rect">
                            <a:avLst/>
                          </a:prstGeom>
                          <a:noFill/>
                          <a:ln>
                            <a:noFill/>
                          </a:ln>
                        </pic:spPr>
                      </pic:pic>
                    </a:graphicData>
                  </a:graphic>
                </wp:inline>
              </w:drawing>
            </w:r>
          </w:p>
          <w:p w14:paraId="57519CEA">
            <w:pPr>
              <w:pStyle w:val="15"/>
              <w:spacing w:before="0" w:after="0" w:line="240" w:lineRule="auto"/>
              <w:ind w:left="0" w:leftChars="0" w:right="0" w:firstLine="0" w:firstLineChars="0"/>
              <w:jc w:val="center"/>
              <w:rPr>
                <w:b/>
                <w:bCs/>
                <w:color w:val="auto"/>
                <w:sz w:val="24"/>
                <w:szCs w:val="24"/>
              </w:rPr>
            </w:pPr>
            <w:r>
              <w:rPr>
                <w:b/>
                <w:bCs/>
                <w:color w:val="auto"/>
                <w:sz w:val="24"/>
                <w:szCs w:val="24"/>
              </w:rPr>
              <w:t>图1-</w:t>
            </w:r>
            <w:r>
              <w:rPr>
                <w:rFonts w:hint="eastAsia"/>
                <w:b/>
                <w:bCs/>
                <w:color w:val="auto"/>
                <w:sz w:val="24"/>
                <w:szCs w:val="24"/>
              </w:rPr>
              <w:t>6</w:t>
            </w:r>
            <w:r>
              <w:rPr>
                <w:b/>
                <w:bCs/>
                <w:color w:val="auto"/>
                <w:sz w:val="24"/>
                <w:szCs w:val="24"/>
              </w:rPr>
              <w:t xml:space="preserve">  本项目区块与池州市</w:t>
            </w:r>
            <w:r>
              <w:rPr>
                <w:rFonts w:hint="eastAsia"/>
                <w:b/>
                <w:bCs/>
                <w:color w:val="auto"/>
                <w:sz w:val="24"/>
                <w:szCs w:val="24"/>
              </w:rPr>
              <w:t>土地资源管控</w:t>
            </w:r>
            <w:r>
              <w:rPr>
                <w:b/>
                <w:bCs/>
                <w:color w:val="auto"/>
                <w:sz w:val="24"/>
                <w:szCs w:val="24"/>
              </w:rPr>
              <w:t>分区</w:t>
            </w:r>
            <w:r>
              <w:rPr>
                <w:rFonts w:hint="eastAsia"/>
                <w:b/>
                <w:bCs/>
                <w:color w:val="auto"/>
                <w:sz w:val="24"/>
                <w:szCs w:val="24"/>
              </w:rPr>
              <w:t>位置</w:t>
            </w:r>
            <w:r>
              <w:rPr>
                <w:b/>
                <w:bCs/>
                <w:color w:val="auto"/>
                <w:sz w:val="24"/>
                <w:szCs w:val="24"/>
              </w:rPr>
              <w:t>关系</w:t>
            </w:r>
          </w:p>
          <w:p w14:paraId="140CE218">
            <w:pPr>
              <w:autoSpaceDE w:val="0"/>
              <w:autoSpaceDN w:val="0"/>
              <w:adjustRightInd w:val="0"/>
              <w:ind w:left="0" w:leftChars="0" w:firstLine="0" w:firstLineChars="0"/>
              <w:jc w:val="center"/>
              <w:rPr>
                <w:b/>
                <w:bCs/>
                <w:color w:val="auto"/>
                <w:kern w:val="0"/>
                <w:sz w:val="24"/>
              </w:rPr>
            </w:pPr>
          </w:p>
          <w:p w14:paraId="76087FE7">
            <w:pPr>
              <w:spacing w:line="360" w:lineRule="auto"/>
              <w:ind w:left="0" w:leftChars="0" w:firstLine="0" w:firstLineChars="0"/>
              <w:jc w:val="center"/>
              <w:rPr>
                <w:rFonts w:hint="eastAsia"/>
                <w:color w:val="auto"/>
                <w:szCs w:val="21"/>
              </w:rPr>
            </w:pPr>
            <w:r>
              <w:rPr>
                <w:color w:val="auto"/>
              </w:rPr>
              <mc:AlternateContent>
                <mc:Choice Requires="wps">
                  <w:drawing>
                    <wp:anchor distT="0" distB="0" distL="114300" distR="114300" simplePos="0" relativeHeight="251682816" behindDoc="0" locked="0" layoutInCell="1" allowOverlap="1">
                      <wp:simplePos x="0" y="0"/>
                      <wp:positionH relativeFrom="column">
                        <wp:posOffset>2124075</wp:posOffset>
                      </wp:positionH>
                      <wp:positionV relativeFrom="paragraph">
                        <wp:posOffset>465455</wp:posOffset>
                      </wp:positionV>
                      <wp:extent cx="838835" cy="307975"/>
                      <wp:effectExtent l="0" t="0" r="0" b="0"/>
                      <wp:wrapNone/>
                      <wp:docPr id="25" name="自选图形 39"/>
                      <wp:cNvGraphicFramePr/>
                      <a:graphic xmlns:a="http://schemas.openxmlformats.org/drawingml/2006/main">
                        <a:graphicData uri="http://schemas.microsoft.com/office/word/2010/wordprocessingShape">
                          <wps:wsp>
                            <wps:cNvSpPr/>
                            <wps:spPr>
                              <a:xfrm>
                                <a:off x="0" y="0"/>
                                <a:ext cx="838835" cy="307975"/>
                              </a:xfrm>
                              <a:prstGeom prst="wedgeRoundRectCallout">
                                <a:avLst>
                                  <a:gd name="adj1" fmla="val -99352"/>
                                  <a:gd name="adj2" fmla="val 217833"/>
                                  <a:gd name="adj3" fmla="val 16667"/>
                                </a:avLst>
                              </a:prstGeom>
                              <a:noFill/>
                              <a:ln w="9525" cap="flat" cmpd="sng">
                                <a:solidFill>
                                  <a:srgbClr val="000000"/>
                                </a:solidFill>
                                <a:prstDash val="solid"/>
                                <a:miter/>
                                <a:headEnd type="none" w="med" len="med"/>
                                <a:tailEnd type="none" w="med" len="med"/>
                              </a:ln>
                            </wps:spPr>
                            <wps:txbx>
                              <w:txbxContent>
                                <w:p w14:paraId="2B19F1BB">
                                  <w:pPr>
                                    <w:rPr>
                                      <w:rFonts w:hint="eastAsia"/>
                                    </w:rPr>
                                  </w:pPr>
                                  <w:r>
                                    <w:rPr>
                                      <w:rFonts w:hint="eastAsia"/>
                                    </w:rPr>
                                    <w:t>项目位置</w:t>
                                  </w:r>
                                </w:p>
                              </w:txbxContent>
                            </wps:txbx>
                            <wps:bodyPr wrap="square" upright="1"/>
                          </wps:wsp>
                        </a:graphicData>
                      </a:graphic>
                    </wp:anchor>
                  </w:drawing>
                </mc:Choice>
                <mc:Fallback>
                  <w:pict>
                    <v:shape id="自选图形 39" o:spid="_x0000_s1026" o:spt="62" type="#_x0000_t62" style="position:absolute;left:0pt;margin-left:167.25pt;margin-top:36.65pt;height:24.25pt;width:66.05pt;z-index:251682816;mso-width-relative:page;mso-height-relative:page;" filled="f" stroked="t" coordsize="21600,21600" o:gfxdata="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C0f1g3YAAAACgEAAA8AAAAA&#10;AAAAAQAgAAAAIgAAAGRycy9kb3ducmV2LnhtbFBLAQIUABQAAAAIAIdO4kBbqvFDTQIAAJ0EAAAO&#10;AAAAAAAAAAEAIAAAACcBAABkcnMvZTJvRG9jLnhtbFBLBQYAAAAABgAGAFkBAADmBQAAAAA=&#10;" adj="-10660,57852,14400">
                      <v:fill on="f" focussize="0,0"/>
                      <v:stroke color="#000000" joinstyle="miter"/>
                      <v:imagedata o:title=""/>
                      <o:lock v:ext="edit" aspectratio="f"/>
                      <v:textbox>
                        <w:txbxContent>
                          <w:p w14:paraId="2B19F1BB">
                            <w:pPr>
                              <w:rPr>
                                <w:rFonts w:hint="eastAsia"/>
                              </w:rPr>
                            </w:pPr>
                            <w:r>
                              <w:rPr>
                                <w:rFonts w:hint="eastAsia"/>
                              </w:rPr>
                              <w:t>项目位置</w:t>
                            </w:r>
                          </w:p>
                        </w:txbxContent>
                      </v:textbox>
                    </v:shape>
                  </w:pict>
                </mc:Fallback>
              </mc:AlternateContent>
            </w:r>
            <w:r>
              <w:rPr>
                <w:color w:val="auto"/>
              </w:rPr>
              <w:drawing>
                <wp:inline distT="0" distB="0" distL="114300" distR="114300">
                  <wp:extent cx="4427855" cy="2364740"/>
                  <wp:effectExtent l="0" t="0" r="0" b="0"/>
                  <wp:docPr id="3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7"/>
                          <pic:cNvPicPr>
                            <a:picLocks noChangeAspect="1"/>
                          </pic:cNvPicPr>
                        </pic:nvPicPr>
                        <pic:blipFill>
                          <a:blip r:embed="rId22"/>
                          <a:stretch>
                            <a:fillRect/>
                          </a:stretch>
                        </pic:blipFill>
                        <pic:spPr>
                          <a:xfrm>
                            <a:off x="0" y="0"/>
                            <a:ext cx="4427855" cy="2364740"/>
                          </a:xfrm>
                          <a:prstGeom prst="rect">
                            <a:avLst/>
                          </a:prstGeom>
                          <a:noFill/>
                          <a:ln>
                            <a:noFill/>
                          </a:ln>
                        </pic:spPr>
                      </pic:pic>
                    </a:graphicData>
                  </a:graphic>
                </wp:inline>
              </w:drawing>
            </w:r>
          </w:p>
          <w:p w14:paraId="38F276B8">
            <w:pPr>
              <w:spacing w:line="360" w:lineRule="auto"/>
              <w:ind w:left="0" w:leftChars="0" w:firstLine="0" w:firstLineChars="0"/>
              <w:jc w:val="center"/>
              <w:rPr>
                <w:rFonts w:hint="eastAsia"/>
                <w:color w:val="auto"/>
                <w:sz w:val="24"/>
              </w:rPr>
            </w:pPr>
            <w:r>
              <w:rPr>
                <w:b/>
                <w:bCs/>
                <w:color w:val="auto"/>
                <w:kern w:val="0"/>
                <w:sz w:val="24"/>
              </w:rPr>
              <w:t>图</w:t>
            </w:r>
            <w:r>
              <w:rPr>
                <w:rFonts w:hint="eastAsia"/>
                <w:b/>
                <w:bCs/>
                <w:color w:val="auto"/>
                <w:kern w:val="0"/>
                <w:sz w:val="24"/>
              </w:rPr>
              <w:t xml:space="preserve"> </w:t>
            </w:r>
            <w:r>
              <w:rPr>
                <w:b/>
                <w:bCs/>
                <w:color w:val="auto"/>
                <w:kern w:val="0"/>
                <w:sz w:val="24"/>
              </w:rPr>
              <w:t>1-</w:t>
            </w:r>
            <w:r>
              <w:rPr>
                <w:rFonts w:hint="eastAsia"/>
                <w:b/>
                <w:bCs/>
                <w:color w:val="auto"/>
                <w:kern w:val="0"/>
                <w:sz w:val="24"/>
              </w:rPr>
              <w:t>7</w:t>
            </w:r>
            <w:r>
              <w:rPr>
                <w:b/>
                <w:bCs/>
                <w:color w:val="auto"/>
                <w:kern w:val="0"/>
                <w:sz w:val="24"/>
              </w:rPr>
              <w:t xml:space="preserve"> 本项目区块与</w:t>
            </w:r>
            <w:r>
              <w:rPr>
                <w:rFonts w:hint="eastAsia"/>
                <w:b/>
                <w:bCs/>
                <w:color w:val="auto"/>
                <w:kern w:val="0"/>
                <w:sz w:val="24"/>
              </w:rPr>
              <w:t>池州市环境管控单元</w:t>
            </w:r>
            <w:r>
              <w:rPr>
                <w:b/>
                <w:bCs/>
                <w:color w:val="auto"/>
                <w:kern w:val="0"/>
                <w:sz w:val="24"/>
              </w:rPr>
              <w:t>位置关系图</w:t>
            </w:r>
          </w:p>
          <w:p w14:paraId="08B05A3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szCs w:val="24"/>
                <w:highlight w:val="none"/>
              </w:rPr>
              <w:t>综上所述，本项目符合生态保护红线、环境质量底线、资源利用上线和环境准入负面清单（简称“三线一单”）</w:t>
            </w:r>
            <w:r>
              <w:rPr>
                <w:rFonts w:hint="eastAsia"/>
                <w:color w:val="auto"/>
                <w:sz w:val="24"/>
                <w:szCs w:val="24"/>
                <w:highlight w:val="none"/>
              </w:rPr>
              <w:t>管控要求</w:t>
            </w:r>
            <w:r>
              <w:rPr>
                <w:rFonts w:hint="eastAsia" w:ascii="Times New Roman" w:hAnsi="Times New Roman" w:eastAsia="宋体" w:cs="Times New Roman"/>
                <w:color w:val="auto"/>
                <w:kern w:val="0"/>
                <w:sz w:val="24"/>
                <w:szCs w:val="24"/>
                <w:highlight w:val="none"/>
                <w:lang w:val="en-US" w:eastAsia="zh-CN"/>
              </w:rPr>
              <w:t>。</w:t>
            </w:r>
          </w:p>
          <w:p w14:paraId="61B833B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eastAsia" w:ascii="Times New Roman" w:hAnsi="Times New Roman" w:eastAsia="宋体" w:cs="Times New Roman"/>
                <w:b/>
                <w:bCs/>
                <w:color w:val="auto"/>
                <w:kern w:val="2"/>
                <w:sz w:val="24"/>
                <w:szCs w:val="24"/>
                <w:lang w:val="en-US" w:eastAsia="zh-CN"/>
              </w:rPr>
              <w:t>与《中华人民共和国长江保护法</w:t>
            </w:r>
            <w:r>
              <w:rPr>
                <w:rFonts w:hint="eastAsia"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长江经济带发展负面清单指南（试行，2022年版）</w:t>
            </w:r>
            <w:r>
              <w:rPr>
                <w:rFonts w:hint="eastAsia"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安徽省长江经济带发展负面清单实施细则（试行，2022年版）》符合性分析</w:t>
            </w:r>
          </w:p>
          <w:p w14:paraId="090C9C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highlight w:val="none"/>
                <w:lang w:val="en-US" w:eastAsia="zh-CN"/>
              </w:rPr>
            </w:pPr>
            <w:r>
              <w:rPr>
                <w:rFonts w:hint="eastAsia" w:cs="Times New Roman"/>
                <w:color w:val="auto"/>
                <w:sz w:val="24"/>
                <w:szCs w:val="32"/>
                <w:highlight w:val="none"/>
                <w:lang w:eastAsia="zh-CN"/>
              </w:rPr>
              <w:t>本项目位于长江流域，项目建设与《中华人民共和国长江保护法》《长江经济带发展负面清单指南（试行，2022年版》《安徽省长江经济带发展负面清单实施细则（试行，2022年版）》相符性分析见下表：</w:t>
            </w:r>
          </w:p>
          <w:p w14:paraId="1644F6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kern w:val="2"/>
                <w:sz w:val="24"/>
                <w:szCs w:val="24"/>
                <w:lang w:val="en-US" w:eastAsia="zh-CN"/>
              </w:rPr>
              <w:t xml:space="preserve">表1-2  </w:t>
            </w:r>
            <w:r>
              <w:rPr>
                <w:rFonts w:hint="eastAsia" w:ascii="Times New Roman" w:hAnsi="Times New Roman" w:eastAsia="宋体" w:cs="Times New Roman"/>
                <w:b/>
                <w:bCs/>
                <w:color w:val="auto"/>
                <w:sz w:val="24"/>
                <w:szCs w:val="24"/>
                <w:lang w:val="en-US" w:eastAsia="zh-CN"/>
              </w:rPr>
              <w:t>与长江保护相关文件要求相符性分析一览表</w:t>
            </w:r>
          </w:p>
          <w:tbl>
            <w:tblPr>
              <w:tblStyle w:val="3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98"/>
              <w:gridCol w:w="3542"/>
              <w:gridCol w:w="2555"/>
              <w:gridCol w:w="403"/>
            </w:tblGrid>
            <w:tr w14:paraId="3ACC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7F1024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（1）《中华人民共和国长江保护法》（节选）</w:t>
                  </w:r>
                </w:p>
              </w:tc>
            </w:tr>
            <w:tr w14:paraId="317E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 w:type="pct"/>
                  <w:noWrap w:val="0"/>
                  <w:vAlign w:val="center"/>
                </w:tcPr>
                <w:p w14:paraId="6B2FBA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eastAsia" w:ascii="Times New Roman" w:hAnsi="Times New Roman" w:eastAsia="宋体" w:cs="Times New Roman"/>
                      <w:b/>
                      <w:bCs/>
                      <w:color w:val="auto"/>
                      <w:sz w:val="21"/>
                      <w:szCs w:val="21"/>
                      <w:vertAlign w:val="baseline"/>
                      <w:lang w:val="en-US" w:eastAsia="zh-CN"/>
                    </w:rPr>
                    <w:t>序号</w:t>
                  </w:r>
                </w:p>
              </w:tc>
              <w:tc>
                <w:tcPr>
                  <w:tcW w:w="2577" w:type="pct"/>
                  <w:gridSpan w:val="2"/>
                  <w:noWrap w:val="0"/>
                  <w:vAlign w:val="center"/>
                </w:tcPr>
                <w:p w14:paraId="5C1BC5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相关内容</w:t>
                  </w:r>
                </w:p>
              </w:tc>
              <w:tc>
                <w:tcPr>
                  <w:tcW w:w="1809" w:type="pct"/>
                  <w:noWrap w:val="0"/>
                  <w:vAlign w:val="center"/>
                </w:tcPr>
                <w:p w14:paraId="788513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本项目情况</w:t>
                  </w:r>
                </w:p>
              </w:tc>
              <w:tc>
                <w:tcPr>
                  <w:tcW w:w="285" w:type="pct"/>
                  <w:noWrap w:val="0"/>
                  <w:vAlign w:val="center"/>
                </w:tcPr>
                <w:p w14:paraId="3861C1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相符性</w:t>
                  </w:r>
                </w:p>
              </w:tc>
            </w:tr>
            <w:tr w14:paraId="53B1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 w:type="pct"/>
                  <w:noWrap w:val="0"/>
                  <w:vAlign w:val="center"/>
                </w:tcPr>
                <w:p w14:paraId="7F7C6C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1</w:t>
                  </w:r>
                </w:p>
              </w:tc>
              <w:tc>
                <w:tcPr>
                  <w:tcW w:w="2577" w:type="pct"/>
                  <w:gridSpan w:val="2"/>
                  <w:noWrap w:val="0"/>
                  <w:vAlign w:val="center"/>
                </w:tcPr>
                <w:p w14:paraId="67E66789">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宋体" w:hAnsi="宋体" w:eastAsia="宋体" w:cs="宋体"/>
                      <w:color w:val="auto"/>
                      <w:sz w:val="21"/>
                      <w:szCs w:val="21"/>
                      <w:shd w:val="clear" w:color="auto" w:fill="FFFFFF"/>
                    </w:rPr>
                    <w:t>第二十二条</w:t>
                  </w:r>
                  <w:r>
                    <w:rPr>
                      <w:rFonts w:hint="eastAsia" w:ascii="宋体" w:hAnsi="宋体" w:eastAsia="宋体" w:cs="宋体"/>
                      <w:color w:val="auto"/>
                      <w:sz w:val="21"/>
                      <w:szCs w:val="21"/>
                      <w:shd w:val="clear" w:color="auto" w:fill="FFFFFF"/>
                      <w:lang w:val="en-US" w:eastAsia="zh-CN"/>
                    </w:rPr>
                    <w:t xml:space="preserve">  </w:t>
                  </w:r>
                  <w:r>
                    <w:rPr>
                      <w:rFonts w:hint="eastAsia" w:ascii="宋体" w:hAnsi="宋体" w:eastAsia="宋体" w:cs="宋体"/>
                      <w:color w:val="auto"/>
                      <w:sz w:val="21"/>
                      <w:szCs w:val="21"/>
                      <w:shd w:val="clear" w:color="auto" w:fill="FFFFFF"/>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809" w:type="pct"/>
                  <w:noWrap w:val="0"/>
                  <w:vAlign w:val="center"/>
                </w:tcPr>
                <w:p w14:paraId="6710E9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项目位于</w:t>
                  </w:r>
                  <w:r>
                    <w:rPr>
                      <w:rFonts w:hint="eastAsia" w:cs="Times New Roman"/>
                      <w:color w:val="auto"/>
                      <w:sz w:val="21"/>
                      <w:szCs w:val="21"/>
                      <w:vertAlign w:val="baseline"/>
                      <w:lang w:val="en-US" w:eastAsia="zh-CN"/>
                    </w:rPr>
                    <w:t>青阳县新河镇镁铝及机电装备制造产业集聚区</w:t>
                  </w:r>
                  <w:r>
                    <w:rPr>
                      <w:rFonts w:hint="eastAsia" w:ascii="Times New Roman" w:hAnsi="Times New Roman" w:eastAsia="宋体" w:cs="Times New Roman"/>
                      <w:color w:val="auto"/>
                      <w:sz w:val="21"/>
                      <w:szCs w:val="21"/>
                      <w:vertAlign w:val="baseline"/>
                      <w:lang w:val="en-US" w:eastAsia="zh-CN"/>
                    </w:rPr>
                    <w:t>，项目属于黑色金属铸造[C3391]，不属于对生态系统有严重影响的企业，不属于重污染项目。</w:t>
                  </w:r>
                </w:p>
              </w:tc>
              <w:tc>
                <w:tcPr>
                  <w:tcW w:w="285" w:type="pct"/>
                  <w:noWrap w:val="0"/>
                  <w:vAlign w:val="center"/>
                </w:tcPr>
                <w:p w14:paraId="22E4DA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5E42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26" w:type="pct"/>
                  <w:noWrap w:val="0"/>
                  <w:vAlign w:val="center"/>
                </w:tcPr>
                <w:p w14:paraId="774866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c>
                <w:tcPr>
                  <w:tcW w:w="2577" w:type="pct"/>
                  <w:gridSpan w:val="2"/>
                  <w:noWrap w:val="0"/>
                  <w:vAlign w:val="center"/>
                </w:tcPr>
                <w:p w14:paraId="6BBA73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 xml:space="preserve">第二十六条 </w:t>
                  </w:r>
                  <w:r>
                    <w:rPr>
                      <w:rFonts w:hint="eastAsia" w:ascii="Times New Roman" w:hAnsi="Times New Roman" w:eastAsia="宋体" w:cs="Times New Roman"/>
                      <w:color w:val="auto"/>
                      <w:sz w:val="21"/>
                      <w:szCs w:val="21"/>
                      <w:vertAlign w:val="baseline"/>
                      <w:lang w:val="en-US" w:eastAsia="zh-CN"/>
                    </w:rPr>
                    <w:t xml:space="preserve"> </w:t>
                  </w:r>
                  <w:r>
                    <w:rPr>
                      <w:rFonts w:hint="default" w:ascii="Times New Roman" w:hAnsi="Times New Roman" w:eastAsia="宋体" w:cs="Times New Roman"/>
                      <w:color w:val="auto"/>
                      <w:sz w:val="21"/>
                      <w:szCs w:val="21"/>
                      <w:vertAlign w:val="baseline"/>
                      <w:lang w:val="en-US" w:eastAsia="zh-CN"/>
                    </w:rPr>
                    <w:t>禁止在长江干支流岸线一公里范围内新建、扩建化工园区和化工项目。</w:t>
                  </w:r>
                </w:p>
                <w:p w14:paraId="466398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禁止在长江干流岸线三公里范围内和重要支流岸线一公里范围内新建、改建、扩建尾矿库；但是以提升安全、生态环境保护水平为目的的改建除外。</w:t>
                  </w:r>
                </w:p>
              </w:tc>
              <w:tc>
                <w:tcPr>
                  <w:tcW w:w="1809" w:type="pct"/>
                  <w:noWrap w:val="0"/>
                  <w:vAlign w:val="center"/>
                </w:tcPr>
                <w:p w14:paraId="147ECF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项目不属于化工项目，不涉及</w:t>
                  </w:r>
                  <w:r>
                    <w:rPr>
                      <w:rFonts w:hint="default" w:ascii="Times New Roman" w:hAnsi="Times New Roman" w:eastAsia="宋体" w:cs="Times New Roman"/>
                      <w:color w:val="auto"/>
                      <w:sz w:val="21"/>
                      <w:szCs w:val="21"/>
                      <w:vertAlign w:val="baseline"/>
                      <w:lang w:val="en-US" w:eastAsia="zh-CN"/>
                    </w:rPr>
                    <w:t>新建、改建、扩建尾矿库</w:t>
                  </w:r>
                  <w:r>
                    <w:rPr>
                      <w:rFonts w:hint="eastAsia" w:ascii="Times New Roman" w:hAnsi="Times New Roman" w:eastAsia="宋体" w:cs="Times New Roman"/>
                      <w:color w:val="auto"/>
                      <w:sz w:val="21"/>
                      <w:szCs w:val="21"/>
                      <w:vertAlign w:val="baseline"/>
                      <w:lang w:val="en-US" w:eastAsia="zh-CN"/>
                    </w:rPr>
                    <w:t>，且</w:t>
                  </w:r>
                  <w:r>
                    <w:rPr>
                      <w:rFonts w:hint="eastAsia" w:cs="Times New Roman"/>
                      <w:color w:val="auto"/>
                      <w:sz w:val="21"/>
                      <w:szCs w:val="21"/>
                      <w:vertAlign w:val="baseline"/>
                      <w:lang w:val="en-US" w:eastAsia="zh-CN"/>
                    </w:rPr>
                    <w:t>不在</w:t>
                  </w:r>
                  <w:r>
                    <w:rPr>
                      <w:rFonts w:hint="eastAsia" w:ascii="Times New Roman" w:hAnsi="Times New Roman" w:eastAsia="宋体" w:cs="Times New Roman"/>
                      <w:color w:val="auto"/>
                      <w:sz w:val="21"/>
                      <w:szCs w:val="21"/>
                      <w:vertAlign w:val="baseline"/>
                      <w:lang w:val="en-US" w:eastAsia="zh-CN"/>
                    </w:rPr>
                    <w:t>长江支流</w:t>
                  </w:r>
                  <w:r>
                    <w:rPr>
                      <w:rFonts w:hint="eastAsia" w:cs="Times New Roman"/>
                      <w:color w:val="auto"/>
                      <w:sz w:val="21"/>
                      <w:szCs w:val="21"/>
                      <w:vertAlign w:val="baseline"/>
                      <w:lang w:val="en-US" w:eastAsia="zh-CN"/>
                    </w:rPr>
                    <w:t>1公里范围内</w:t>
                  </w:r>
                  <w:r>
                    <w:rPr>
                      <w:rFonts w:hint="eastAsia" w:ascii="Times New Roman" w:hAnsi="Times New Roman" w:eastAsia="宋体" w:cs="Times New Roman"/>
                      <w:color w:val="auto"/>
                      <w:sz w:val="21"/>
                      <w:szCs w:val="21"/>
                      <w:vertAlign w:val="baseline"/>
                      <w:lang w:val="en-US" w:eastAsia="zh-CN"/>
                    </w:rPr>
                    <w:t>。</w:t>
                  </w:r>
                </w:p>
              </w:tc>
              <w:tc>
                <w:tcPr>
                  <w:tcW w:w="285" w:type="pct"/>
                  <w:noWrap w:val="0"/>
                  <w:vAlign w:val="center"/>
                </w:tcPr>
                <w:p w14:paraId="6A9915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153C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 w:type="pct"/>
                  <w:noWrap w:val="0"/>
                  <w:vAlign w:val="center"/>
                </w:tcPr>
                <w:p w14:paraId="3EB8C1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3</w:t>
                  </w:r>
                </w:p>
              </w:tc>
              <w:tc>
                <w:tcPr>
                  <w:tcW w:w="2577" w:type="pct"/>
                  <w:gridSpan w:val="2"/>
                  <w:noWrap w:val="0"/>
                  <w:vAlign w:val="center"/>
                </w:tcPr>
                <w:p w14:paraId="1FDBE1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 xml:space="preserve">第三十八条 </w:t>
                  </w:r>
                  <w:r>
                    <w:rPr>
                      <w:rFonts w:hint="eastAsia" w:ascii="Times New Roman" w:hAnsi="Times New Roman" w:eastAsia="宋体" w:cs="Times New Roman"/>
                      <w:b w:val="0"/>
                      <w:bCs w:val="0"/>
                      <w:color w:val="auto"/>
                      <w:sz w:val="21"/>
                      <w:szCs w:val="21"/>
                      <w:vertAlign w:val="baseline"/>
                      <w:lang w:val="en-US" w:eastAsia="zh-CN"/>
                    </w:rPr>
                    <w:t xml:space="preserve"> </w:t>
                  </w:r>
                  <w:r>
                    <w:rPr>
                      <w:rFonts w:hint="default" w:ascii="Times New Roman" w:hAnsi="Times New Roman" w:eastAsia="宋体" w:cs="Times New Roman"/>
                      <w:b w:val="0"/>
                      <w:bCs w:val="0"/>
                      <w:color w:val="auto"/>
                      <w:sz w:val="21"/>
                      <w:szCs w:val="21"/>
                      <w:vertAlign w:val="baseline"/>
                      <w:lang w:val="en-US" w:eastAsia="zh-CN"/>
                    </w:rPr>
                    <w:t>国务院水行政主管部门会同国务院有关部门确定长江流域农业、工业用水效率目标，加强用水计量和监测设施建设</w:t>
                  </w:r>
                  <w:r>
                    <w:rPr>
                      <w:rFonts w:hint="eastAsia" w:ascii="Times New Roman" w:hAnsi="Times New Roman" w:eastAsia="宋体" w:cs="Times New Roman"/>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完善规划和建设项目水资源论证制度</w:t>
                  </w:r>
                  <w:r>
                    <w:rPr>
                      <w:rFonts w:hint="eastAsia" w:ascii="Times New Roman" w:hAnsi="Times New Roman" w:eastAsia="宋体" w:cs="Times New Roman"/>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加强对高耗水行业、重点用水单位的用水定额管理，严格控制高耗水项目建设</w:t>
                  </w:r>
                  <w:r>
                    <w:rPr>
                      <w:rFonts w:hint="eastAsia" w:ascii="Times New Roman" w:hAnsi="Times New Roman" w:eastAsia="宋体" w:cs="Times New Roman"/>
                      <w:b w:val="0"/>
                      <w:bCs w:val="0"/>
                      <w:color w:val="auto"/>
                      <w:sz w:val="21"/>
                      <w:szCs w:val="21"/>
                      <w:vertAlign w:val="baseline"/>
                      <w:lang w:val="en-US" w:eastAsia="zh-CN"/>
                    </w:rPr>
                    <w:t>。</w:t>
                  </w:r>
                </w:p>
              </w:tc>
              <w:tc>
                <w:tcPr>
                  <w:tcW w:w="1809" w:type="pct"/>
                  <w:noWrap w:val="0"/>
                  <w:vAlign w:val="center"/>
                </w:tcPr>
                <w:p w14:paraId="05B1BB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本项目主要用水为生活用水、冷却水、绿化用水，项目建成后全厂总用水量</w:t>
                  </w:r>
                  <w:r>
                    <w:rPr>
                      <w:rFonts w:hint="eastAsia" w:cs="Times New Roman"/>
                      <w:color w:val="auto"/>
                      <w:sz w:val="21"/>
                      <w:szCs w:val="21"/>
                      <w:vertAlign w:val="baseline"/>
                      <w:lang w:val="en-US" w:eastAsia="zh-CN"/>
                    </w:rPr>
                    <w:t>不变</w:t>
                  </w:r>
                  <w:r>
                    <w:rPr>
                      <w:rFonts w:hint="eastAsia" w:ascii="Times New Roman" w:hAnsi="Times New Roman" w:eastAsia="宋体" w:cs="Times New Roman"/>
                      <w:color w:val="auto"/>
                      <w:sz w:val="21"/>
                      <w:szCs w:val="21"/>
                      <w:vertAlign w:val="baseline"/>
                      <w:lang w:val="en-US" w:eastAsia="zh-CN"/>
                    </w:rPr>
                    <w:t>。项目不属于高耗水项目。</w:t>
                  </w:r>
                </w:p>
              </w:tc>
              <w:tc>
                <w:tcPr>
                  <w:tcW w:w="285" w:type="pct"/>
                  <w:noWrap w:val="0"/>
                  <w:vAlign w:val="center"/>
                </w:tcPr>
                <w:p w14:paraId="70D04B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7F2C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5D03EE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（2）《长江经济带发展负面清单指南（试行，2022年版》（节选）</w:t>
                  </w:r>
                </w:p>
              </w:tc>
            </w:tr>
            <w:tr w14:paraId="0CE7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444235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ascii="Times New Roman" w:hAnsi="Times New Roman" w:eastAsia="宋体" w:cs="Times New Roman"/>
                      <w:b/>
                      <w:bCs/>
                      <w:color w:val="auto"/>
                      <w:sz w:val="21"/>
                      <w:szCs w:val="21"/>
                      <w:vertAlign w:val="baseline"/>
                      <w:lang w:val="en-US" w:eastAsia="zh-CN"/>
                    </w:rPr>
                    <w:t>序号</w:t>
                  </w:r>
                </w:p>
              </w:tc>
              <w:tc>
                <w:tcPr>
                  <w:tcW w:w="2508" w:type="pct"/>
                  <w:noWrap w:val="0"/>
                  <w:vAlign w:val="center"/>
                </w:tcPr>
                <w:p w14:paraId="14F718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相关内容</w:t>
                  </w:r>
                </w:p>
              </w:tc>
              <w:tc>
                <w:tcPr>
                  <w:tcW w:w="1809" w:type="pct"/>
                  <w:noWrap w:val="0"/>
                  <w:vAlign w:val="center"/>
                </w:tcPr>
                <w:p w14:paraId="60B136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本项目情况</w:t>
                  </w:r>
                </w:p>
              </w:tc>
              <w:tc>
                <w:tcPr>
                  <w:tcW w:w="285" w:type="pct"/>
                  <w:noWrap w:val="0"/>
                  <w:vAlign w:val="center"/>
                </w:tcPr>
                <w:p w14:paraId="6D4860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相符性</w:t>
                  </w:r>
                </w:p>
              </w:tc>
            </w:tr>
            <w:tr w14:paraId="7868C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49B8BC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w:t>
                  </w:r>
                </w:p>
              </w:tc>
              <w:tc>
                <w:tcPr>
                  <w:tcW w:w="2508" w:type="pct"/>
                  <w:noWrap w:val="0"/>
                  <w:vAlign w:val="center"/>
                </w:tcPr>
                <w:p w14:paraId="05D4DB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3.禁止在饮用水水源一级保护区的岸线和河段范围内新建、改建、扩建与供水设施和保护水源无关的项目</w:t>
                  </w:r>
                  <w:r>
                    <w:rPr>
                      <w:rFonts w:hint="eastAsia" w:cs="Times New Roman"/>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以及网箱养殖、畜禽养殖、旅游等可能污染饮用水水体的投资建设项目。禁止在饮用水水源二级保护区的岸线和河段范围内新建、改建、扩建排放污染物的投资建设项目。</w:t>
                  </w:r>
                </w:p>
              </w:tc>
              <w:tc>
                <w:tcPr>
                  <w:tcW w:w="1809" w:type="pct"/>
                  <w:noWrap w:val="0"/>
                  <w:vAlign w:val="center"/>
                </w:tcPr>
                <w:p w14:paraId="3D93F3E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项目不在饮用水水源一级</w:t>
                  </w:r>
                  <w:r>
                    <w:rPr>
                      <w:rFonts w:hint="eastAsia" w:cs="Times New Roman"/>
                      <w:color w:val="auto"/>
                      <w:sz w:val="21"/>
                      <w:szCs w:val="21"/>
                      <w:vertAlign w:val="baseline"/>
                      <w:lang w:val="en-US" w:eastAsia="zh-CN"/>
                    </w:rPr>
                    <w:t>保护区</w:t>
                  </w:r>
                  <w:r>
                    <w:rPr>
                      <w:rFonts w:hint="eastAsia" w:ascii="Times New Roman" w:hAnsi="Times New Roman" w:eastAsia="宋体" w:cs="Times New Roman"/>
                      <w:color w:val="auto"/>
                      <w:sz w:val="21"/>
                      <w:szCs w:val="21"/>
                      <w:vertAlign w:val="baseline"/>
                      <w:lang w:val="en-US" w:eastAsia="zh-CN"/>
                    </w:rPr>
                    <w:t>和饮用水水源二级保护区的岸线和河段范围内。</w:t>
                  </w:r>
                </w:p>
              </w:tc>
              <w:tc>
                <w:tcPr>
                  <w:tcW w:w="285" w:type="pct"/>
                  <w:noWrap w:val="0"/>
                  <w:vAlign w:val="center"/>
                </w:tcPr>
                <w:p w14:paraId="7B0241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5C5A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028FB8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2</w:t>
                  </w:r>
                </w:p>
              </w:tc>
              <w:tc>
                <w:tcPr>
                  <w:tcW w:w="2508" w:type="pct"/>
                  <w:noWrap w:val="0"/>
                  <w:vAlign w:val="center"/>
                </w:tcPr>
                <w:p w14:paraId="74578C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4.禁止在水产种质资源保护区的岸线和河段范围内新建围湖造田、围海造地或围填海等投资建设项目。禁止在国家湿地公园的岸线和河段范围内挖沙、采矿</w:t>
                  </w:r>
                  <w:r>
                    <w:rPr>
                      <w:rFonts w:hint="eastAsia" w:ascii="Times New Roman" w:hAnsi="Times New Roman" w:eastAsia="宋体" w:cs="Times New Roman"/>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以及任何不符合主体功能定位的投资建设项目。</w:t>
                  </w:r>
                </w:p>
              </w:tc>
              <w:tc>
                <w:tcPr>
                  <w:tcW w:w="1809" w:type="pct"/>
                  <w:noWrap w:val="0"/>
                  <w:vAlign w:val="center"/>
                </w:tcPr>
                <w:p w14:paraId="4F7474F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项目不在</w:t>
                  </w:r>
                  <w:r>
                    <w:rPr>
                      <w:rFonts w:hint="default" w:ascii="Times New Roman" w:hAnsi="Times New Roman" w:eastAsia="宋体" w:cs="Times New Roman"/>
                      <w:b w:val="0"/>
                      <w:bCs w:val="0"/>
                      <w:color w:val="auto"/>
                      <w:sz w:val="21"/>
                      <w:szCs w:val="21"/>
                      <w:vertAlign w:val="baseline"/>
                      <w:lang w:val="en-US" w:eastAsia="zh-CN"/>
                    </w:rPr>
                    <w:t>水产种质资源保护区</w:t>
                  </w:r>
                  <w:r>
                    <w:rPr>
                      <w:rFonts w:hint="eastAsia" w:ascii="Times New Roman" w:hAnsi="Times New Roman" w:eastAsia="宋体" w:cs="Times New Roman"/>
                      <w:b w:val="0"/>
                      <w:bCs w:val="0"/>
                      <w:color w:val="auto"/>
                      <w:sz w:val="21"/>
                      <w:szCs w:val="21"/>
                      <w:vertAlign w:val="baseline"/>
                      <w:lang w:val="en-US" w:eastAsia="zh-CN"/>
                    </w:rPr>
                    <w:t>、</w:t>
                  </w:r>
                  <w:r>
                    <w:rPr>
                      <w:rFonts w:hint="default" w:ascii="Times New Roman" w:hAnsi="Times New Roman" w:eastAsia="宋体" w:cs="Times New Roman"/>
                      <w:b w:val="0"/>
                      <w:bCs w:val="0"/>
                      <w:color w:val="auto"/>
                      <w:sz w:val="21"/>
                      <w:szCs w:val="21"/>
                      <w:vertAlign w:val="baseline"/>
                      <w:lang w:val="en-US" w:eastAsia="zh-CN"/>
                    </w:rPr>
                    <w:t>国家湿地公园的岸线和河段范围内</w:t>
                  </w:r>
                  <w:r>
                    <w:rPr>
                      <w:rFonts w:hint="eastAsia" w:ascii="Times New Roman" w:hAnsi="Times New Roman" w:eastAsia="宋体" w:cs="Times New Roman"/>
                      <w:b w:val="0"/>
                      <w:bCs w:val="0"/>
                      <w:color w:val="auto"/>
                      <w:sz w:val="21"/>
                      <w:szCs w:val="21"/>
                      <w:vertAlign w:val="baseline"/>
                      <w:lang w:val="en-US" w:eastAsia="zh-CN"/>
                    </w:rPr>
                    <w:t>，不涉及</w:t>
                  </w:r>
                  <w:r>
                    <w:rPr>
                      <w:rFonts w:hint="default" w:ascii="Times New Roman" w:hAnsi="Times New Roman" w:eastAsia="宋体" w:cs="Times New Roman"/>
                      <w:b w:val="0"/>
                      <w:bCs w:val="0"/>
                      <w:color w:val="auto"/>
                      <w:sz w:val="21"/>
                      <w:szCs w:val="21"/>
                      <w:vertAlign w:val="baseline"/>
                      <w:lang w:val="en-US" w:eastAsia="zh-CN"/>
                    </w:rPr>
                    <w:t>新建围湖造田、围海造地或围填海</w:t>
                  </w:r>
                  <w:r>
                    <w:rPr>
                      <w:rFonts w:hint="eastAsia" w:ascii="Times New Roman" w:hAnsi="Times New Roman" w:eastAsia="宋体" w:cs="Times New Roman"/>
                      <w:b w:val="0"/>
                      <w:bCs w:val="0"/>
                      <w:color w:val="auto"/>
                      <w:sz w:val="21"/>
                      <w:szCs w:val="21"/>
                      <w:vertAlign w:val="baseline"/>
                      <w:lang w:val="en-US" w:eastAsia="zh-CN"/>
                    </w:rPr>
                    <w:t>，不涉及</w:t>
                  </w:r>
                  <w:r>
                    <w:rPr>
                      <w:rFonts w:hint="default" w:ascii="Times New Roman" w:hAnsi="Times New Roman" w:eastAsia="宋体" w:cs="Times New Roman"/>
                      <w:b w:val="0"/>
                      <w:bCs w:val="0"/>
                      <w:color w:val="auto"/>
                      <w:sz w:val="21"/>
                      <w:szCs w:val="21"/>
                      <w:vertAlign w:val="baseline"/>
                      <w:lang w:val="en-US" w:eastAsia="zh-CN"/>
                    </w:rPr>
                    <w:t>挖沙、采矿</w:t>
                  </w:r>
                  <w:r>
                    <w:rPr>
                      <w:rFonts w:hint="eastAsia" w:ascii="Times New Roman" w:hAnsi="Times New Roman" w:eastAsia="宋体" w:cs="Times New Roman"/>
                      <w:b w:val="0"/>
                      <w:bCs w:val="0"/>
                      <w:color w:val="auto"/>
                      <w:sz w:val="21"/>
                      <w:szCs w:val="21"/>
                      <w:vertAlign w:val="baseline"/>
                      <w:lang w:val="en-US" w:eastAsia="zh-CN"/>
                    </w:rPr>
                    <w:t>等。</w:t>
                  </w:r>
                </w:p>
              </w:tc>
              <w:tc>
                <w:tcPr>
                  <w:tcW w:w="285" w:type="pct"/>
                  <w:noWrap w:val="0"/>
                  <w:vAlign w:val="center"/>
                </w:tcPr>
                <w:p w14:paraId="36C00A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3B5B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09FD2E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3</w:t>
                  </w:r>
                </w:p>
              </w:tc>
              <w:tc>
                <w:tcPr>
                  <w:tcW w:w="2508" w:type="pct"/>
                  <w:noWrap w:val="0"/>
                  <w:vAlign w:val="center"/>
                </w:tcPr>
                <w:p w14:paraId="672E15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809" w:type="pct"/>
                  <w:noWrap w:val="0"/>
                  <w:vAlign w:val="center"/>
                </w:tcPr>
                <w:p w14:paraId="469C7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项目不涉及</w:t>
                  </w:r>
                  <w:r>
                    <w:rPr>
                      <w:rFonts w:hint="default" w:ascii="Times New Roman" w:hAnsi="Times New Roman" w:eastAsia="宋体" w:cs="Times New Roman"/>
                      <w:b w:val="0"/>
                      <w:bCs w:val="0"/>
                      <w:color w:val="auto"/>
                      <w:sz w:val="21"/>
                      <w:szCs w:val="21"/>
                      <w:vertAlign w:val="baseline"/>
                      <w:lang w:val="en-US" w:eastAsia="zh-CN"/>
                    </w:rPr>
                    <w:t>违法利用、占用长江流域河湖岸线</w:t>
                  </w:r>
                  <w:r>
                    <w:rPr>
                      <w:rFonts w:hint="eastAsia" w:ascii="Times New Roman" w:hAnsi="Times New Roman" w:eastAsia="宋体" w:cs="Times New Roman"/>
                      <w:b w:val="0"/>
                      <w:bCs w:val="0"/>
                      <w:color w:val="auto"/>
                      <w:sz w:val="21"/>
                      <w:szCs w:val="21"/>
                      <w:vertAlign w:val="baseline"/>
                      <w:lang w:val="en-US" w:eastAsia="zh-CN"/>
                    </w:rPr>
                    <w:t>，不涉及</w:t>
                  </w:r>
                  <w:r>
                    <w:rPr>
                      <w:rFonts w:hint="default" w:ascii="Times New Roman" w:hAnsi="Times New Roman" w:eastAsia="宋体" w:cs="Times New Roman"/>
                      <w:b w:val="0"/>
                      <w:bCs w:val="0"/>
                      <w:color w:val="auto"/>
                      <w:sz w:val="21"/>
                      <w:szCs w:val="21"/>
                      <w:vertAlign w:val="baseline"/>
                      <w:lang w:val="en-US" w:eastAsia="zh-CN"/>
                    </w:rPr>
                    <w:t>划定的岸线保护区和保留</w:t>
                  </w:r>
                  <w:r>
                    <w:rPr>
                      <w:rFonts w:hint="eastAsia" w:ascii="Times New Roman" w:hAnsi="Times New Roman" w:eastAsia="宋体" w:cs="Times New Roman"/>
                      <w:b w:val="0"/>
                      <w:bCs w:val="0"/>
                      <w:color w:val="auto"/>
                      <w:sz w:val="21"/>
                      <w:szCs w:val="21"/>
                      <w:vertAlign w:val="baseline"/>
                      <w:lang w:val="en-US" w:eastAsia="zh-CN"/>
                    </w:rPr>
                    <w:t>区，不属于</w:t>
                  </w:r>
                  <w:r>
                    <w:rPr>
                      <w:rFonts w:hint="default" w:ascii="Times New Roman" w:hAnsi="Times New Roman" w:eastAsia="宋体" w:cs="Times New Roman"/>
                      <w:b w:val="0"/>
                      <w:bCs w:val="0"/>
                      <w:color w:val="auto"/>
                      <w:sz w:val="21"/>
                      <w:szCs w:val="21"/>
                      <w:vertAlign w:val="baseline"/>
                      <w:lang w:val="en-US" w:eastAsia="zh-CN"/>
                    </w:rPr>
                    <w:t>划定的河段及湖泊（新增）保护区、保留区</w:t>
                  </w:r>
                  <w:r>
                    <w:rPr>
                      <w:rFonts w:hint="eastAsia" w:ascii="Times New Roman" w:hAnsi="Times New Roman" w:eastAsia="宋体" w:cs="Times New Roman"/>
                      <w:b w:val="0"/>
                      <w:bCs w:val="0"/>
                      <w:color w:val="auto"/>
                      <w:sz w:val="21"/>
                      <w:szCs w:val="21"/>
                      <w:vertAlign w:val="baseline"/>
                      <w:lang w:val="en-US" w:eastAsia="zh-CN"/>
                    </w:rPr>
                    <w:t>。</w:t>
                  </w:r>
                </w:p>
              </w:tc>
              <w:tc>
                <w:tcPr>
                  <w:tcW w:w="285" w:type="pct"/>
                  <w:noWrap w:val="0"/>
                  <w:vAlign w:val="center"/>
                </w:tcPr>
                <w:p w14:paraId="778E37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78C9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025C88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4</w:t>
                  </w:r>
                </w:p>
              </w:tc>
              <w:tc>
                <w:tcPr>
                  <w:tcW w:w="2508" w:type="pct"/>
                  <w:noWrap w:val="0"/>
                  <w:vAlign w:val="center"/>
                </w:tcPr>
                <w:p w14:paraId="2EDE88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6.禁止未经许可在长江干支流及湖泊新设、改设或扩大排污口。</w:t>
                  </w:r>
                </w:p>
              </w:tc>
              <w:tc>
                <w:tcPr>
                  <w:tcW w:w="1809" w:type="pct"/>
                  <w:noWrap w:val="0"/>
                  <w:vAlign w:val="center"/>
                </w:tcPr>
                <w:p w14:paraId="7BAF713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项目不新增废水外排，不涉及新增排放口。</w:t>
                  </w:r>
                </w:p>
              </w:tc>
              <w:tc>
                <w:tcPr>
                  <w:tcW w:w="285" w:type="pct"/>
                  <w:noWrap w:val="0"/>
                  <w:vAlign w:val="center"/>
                </w:tcPr>
                <w:p w14:paraId="2ADC99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0913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1A633F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5</w:t>
                  </w:r>
                </w:p>
              </w:tc>
              <w:tc>
                <w:tcPr>
                  <w:tcW w:w="2508" w:type="pct"/>
                  <w:noWrap w:val="0"/>
                  <w:vAlign w:val="center"/>
                </w:tcPr>
                <w:p w14:paraId="18C3B8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禁止在长江干支流、重要湖泊岸线（新增）1公里范围内新建、扩建化工园区和化工项目。禁止在长江干流岸线3公里范围内和重要支流岸线1公里范围内新建、改建、扩建尾矿库、冶炼渣库和磷石膏库，以提升安全、生态环境保护水平为目的的改建除外</w:t>
                  </w:r>
                  <w:r>
                    <w:rPr>
                      <w:rFonts w:hint="eastAsia" w:ascii="Times New Roman" w:hAnsi="Times New Roman" w:eastAsia="宋体" w:cs="Times New Roman"/>
                      <w:b w:val="0"/>
                      <w:bCs w:val="0"/>
                      <w:color w:val="auto"/>
                      <w:sz w:val="21"/>
                      <w:szCs w:val="21"/>
                      <w:vertAlign w:val="baseline"/>
                      <w:lang w:val="en-US" w:eastAsia="zh-CN"/>
                    </w:rPr>
                    <w:t>。</w:t>
                  </w:r>
                </w:p>
              </w:tc>
              <w:tc>
                <w:tcPr>
                  <w:tcW w:w="1809" w:type="pct"/>
                  <w:noWrap w:val="0"/>
                  <w:vAlign w:val="center"/>
                </w:tcPr>
                <w:p w14:paraId="73DE7B8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项目不在长江</w:t>
                  </w:r>
                  <w:r>
                    <w:rPr>
                      <w:rFonts w:hint="default" w:ascii="Times New Roman" w:hAnsi="Times New Roman" w:eastAsia="宋体" w:cs="Times New Roman"/>
                      <w:b w:val="0"/>
                      <w:bCs w:val="0"/>
                      <w:color w:val="auto"/>
                      <w:sz w:val="21"/>
                      <w:szCs w:val="21"/>
                      <w:vertAlign w:val="baseline"/>
                      <w:lang w:val="en-US" w:eastAsia="zh-CN"/>
                    </w:rPr>
                    <w:t>干支流、重要湖泊岸线（新增）1公里范围内</w:t>
                  </w:r>
                  <w:r>
                    <w:rPr>
                      <w:rFonts w:hint="eastAsia" w:ascii="Times New Roman" w:hAnsi="Times New Roman" w:eastAsia="宋体" w:cs="Times New Roman"/>
                      <w:b w:val="0"/>
                      <w:bCs w:val="0"/>
                      <w:color w:val="auto"/>
                      <w:sz w:val="21"/>
                      <w:szCs w:val="21"/>
                      <w:vertAlign w:val="baseline"/>
                      <w:lang w:val="en-US" w:eastAsia="zh-CN"/>
                    </w:rPr>
                    <w:t>；项目不涉及</w:t>
                  </w:r>
                  <w:r>
                    <w:rPr>
                      <w:rFonts w:hint="default" w:ascii="Times New Roman" w:hAnsi="Times New Roman" w:eastAsia="宋体" w:cs="Times New Roman"/>
                      <w:b w:val="0"/>
                      <w:bCs w:val="0"/>
                      <w:color w:val="auto"/>
                      <w:sz w:val="21"/>
                      <w:szCs w:val="21"/>
                      <w:vertAlign w:val="baseline"/>
                      <w:lang w:val="en-US" w:eastAsia="zh-CN"/>
                    </w:rPr>
                    <w:t>新建、改建、扩建尾矿库、冶炼渣库和磷石膏库</w:t>
                  </w:r>
                  <w:r>
                    <w:rPr>
                      <w:rFonts w:hint="eastAsia" w:ascii="Times New Roman" w:hAnsi="Times New Roman" w:eastAsia="宋体" w:cs="Times New Roman"/>
                      <w:b w:val="0"/>
                      <w:bCs w:val="0"/>
                      <w:color w:val="auto"/>
                      <w:sz w:val="21"/>
                      <w:szCs w:val="21"/>
                      <w:vertAlign w:val="baseline"/>
                      <w:lang w:val="en-US" w:eastAsia="zh-CN"/>
                    </w:rPr>
                    <w:t>。</w:t>
                  </w:r>
                </w:p>
              </w:tc>
              <w:tc>
                <w:tcPr>
                  <w:tcW w:w="285" w:type="pct"/>
                  <w:noWrap w:val="0"/>
                  <w:vAlign w:val="center"/>
                </w:tcPr>
                <w:p w14:paraId="5B6C10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45C0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01BCFC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6</w:t>
                  </w:r>
                </w:p>
              </w:tc>
              <w:tc>
                <w:tcPr>
                  <w:tcW w:w="2508" w:type="pct"/>
                  <w:noWrap w:val="0"/>
                  <w:vAlign w:val="center"/>
                </w:tcPr>
                <w:p w14:paraId="6EF97D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9.禁止在合规园区外新建、扩建钢铁、石化、化工、焦化、建材、有色、制浆造纸等高污染项目。</w:t>
                  </w:r>
                </w:p>
              </w:tc>
              <w:tc>
                <w:tcPr>
                  <w:tcW w:w="1809" w:type="pct"/>
                  <w:noWrap w:val="0"/>
                  <w:vAlign w:val="center"/>
                </w:tcPr>
                <w:p w14:paraId="7763DAD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项目位于</w:t>
                  </w:r>
                  <w:r>
                    <w:rPr>
                      <w:rFonts w:hint="eastAsia" w:cs="Times New Roman"/>
                      <w:color w:val="auto"/>
                      <w:sz w:val="21"/>
                      <w:szCs w:val="21"/>
                      <w:vertAlign w:val="baseline"/>
                      <w:lang w:val="en-US" w:eastAsia="zh-CN"/>
                    </w:rPr>
                    <w:t>青阳县新河镇镁铝及机电装备制造产业集聚区</w:t>
                  </w:r>
                  <w:r>
                    <w:rPr>
                      <w:rFonts w:hint="eastAsia" w:ascii="Times New Roman" w:hAnsi="Times New Roman" w:eastAsia="宋体" w:cs="Times New Roman"/>
                      <w:color w:val="auto"/>
                      <w:sz w:val="21"/>
                      <w:szCs w:val="21"/>
                      <w:vertAlign w:val="baseline"/>
                      <w:lang w:val="en-US" w:eastAsia="zh-CN"/>
                    </w:rPr>
                    <w:t>，属于合规园区内。</w:t>
                  </w:r>
                </w:p>
              </w:tc>
              <w:tc>
                <w:tcPr>
                  <w:tcW w:w="285" w:type="pct"/>
                  <w:noWrap w:val="0"/>
                  <w:vAlign w:val="center"/>
                </w:tcPr>
                <w:p w14:paraId="47727C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708B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008AAD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7</w:t>
                  </w:r>
                </w:p>
              </w:tc>
              <w:tc>
                <w:tcPr>
                  <w:tcW w:w="2508" w:type="pct"/>
                  <w:noWrap w:val="0"/>
                  <w:vAlign w:val="center"/>
                </w:tcPr>
                <w:p w14:paraId="7C00F1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10.禁止新建、扩建不符合国家石化、现代煤化工等产业布局规划的项目。</w:t>
                  </w:r>
                </w:p>
              </w:tc>
              <w:tc>
                <w:tcPr>
                  <w:tcW w:w="1809" w:type="pct"/>
                  <w:noWrap w:val="0"/>
                  <w:vAlign w:val="center"/>
                </w:tcPr>
                <w:p w14:paraId="11543A6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项目不属于</w:t>
                  </w:r>
                  <w:r>
                    <w:rPr>
                      <w:rFonts w:hint="default" w:ascii="Times New Roman" w:hAnsi="Times New Roman" w:eastAsia="宋体" w:cs="Times New Roman"/>
                      <w:b w:val="0"/>
                      <w:bCs w:val="0"/>
                      <w:color w:val="auto"/>
                      <w:sz w:val="21"/>
                      <w:szCs w:val="21"/>
                      <w:vertAlign w:val="baseline"/>
                      <w:lang w:val="en-US" w:eastAsia="zh-CN"/>
                    </w:rPr>
                    <w:t>不符合国家石化、现代煤化工等产业布局规划的项目</w:t>
                  </w:r>
                  <w:r>
                    <w:rPr>
                      <w:rFonts w:hint="eastAsia" w:ascii="Times New Roman" w:hAnsi="Times New Roman" w:eastAsia="宋体" w:cs="Times New Roman"/>
                      <w:color w:val="auto"/>
                      <w:sz w:val="21"/>
                      <w:szCs w:val="21"/>
                      <w:vertAlign w:val="baseline"/>
                      <w:lang w:val="en-US" w:eastAsia="zh-CN"/>
                    </w:rPr>
                    <w:t>。</w:t>
                  </w:r>
                </w:p>
              </w:tc>
              <w:tc>
                <w:tcPr>
                  <w:tcW w:w="285" w:type="pct"/>
                  <w:noWrap w:val="0"/>
                  <w:vAlign w:val="center"/>
                </w:tcPr>
                <w:p w14:paraId="6AB79E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73FB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005A72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8</w:t>
                  </w:r>
                </w:p>
              </w:tc>
              <w:tc>
                <w:tcPr>
                  <w:tcW w:w="2508" w:type="pct"/>
                  <w:noWrap w:val="0"/>
                  <w:vAlign w:val="center"/>
                </w:tcPr>
                <w:p w14:paraId="356A0C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11.禁止新建、扩建法律法规和相关政策明令禁止的落后产能项目。禁止新建、扩建不符合国家产能置换要求的严重过剩产能行业的项目。禁止新建、扩建不符合要求的高耗能高排放项目</w:t>
                  </w:r>
                  <w:r>
                    <w:rPr>
                      <w:rFonts w:hint="eastAsia" w:ascii="Times New Roman" w:hAnsi="Times New Roman" w:eastAsia="宋体" w:cs="Times New Roman"/>
                      <w:b w:val="0"/>
                      <w:bCs w:val="0"/>
                      <w:color w:val="auto"/>
                      <w:sz w:val="21"/>
                      <w:szCs w:val="21"/>
                      <w:vertAlign w:val="baseline"/>
                      <w:lang w:val="en-US" w:eastAsia="zh-CN"/>
                    </w:rPr>
                    <w:t>。</w:t>
                  </w:r>
                </w:p>
              </w:tc>
              <w:tc>
                <w:tcPr>
                  <w:tcW w:w="1809" w:type="pct"/>
                  <w:noWrap w:val="0"/>
                  <w:vAlign w:val="center"/>
                </w:tcPr>
                <w:p w14:paraId="7E88CD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项目不属于</w:t>
                  </w:r>
                  <w:r>
                    <w:rPr>
                      <w:rFonts w:hint="default" w:ascii="Times New Roman" w:hAnsi="Times New Roman" w:eastAsia="宋体" w:cs="Times New Roman"/>
                      <w:b w:val="0"/>
                      <w:bCs w:val="0"/>
                      <w:color w:val="auto"/>
                      <w:sz w:val="21"/>
                      <w:szCs w:val="21"/>
                      <w:vertAlign w:val="baseline"/>
                      <w:lang w:val="en-US" w:eastAsia="zh-CN"/>
                    </w:rPr>
                    <w:t>落后产能项目</w:t>
                  </w:r>
                  <w:r>
                    <w:rPr>
                      <w:rFonts w:hint="eastAsia" w:ascii="Times New Roman" w:hAnsi="Times New Roman" w:eastAsia="宋体" w:cs="Times New Roman"/>
                      <w:color w:val="auto"/>
                      <w:sz w:val="21"/>
                      <w:szCs w:val="21"/>
                      <w:vertAlign w:val="baseline"/>
                      <w:lang w:val="en-US" w:eastAsia="zh-CN"/>
                    </w:rPr>
                    <w:t>，不属于</w:t>
                  </w:r>
                  <w:r>
                    <w:rPr>
                      <w:rFonts w:hint="default" w:ascii="Times New Roman" w:hAnsi="Times New Roman" w:eastAsia="宋体" w:cs="Times New Roman"/>
                      <w:b w:val="0"/>
                      <w:bCs w:val="0"/>
                      <w:color w:val="auto"/>
                      <w:sz w:val="21"/>
                      <w:szCs w:val="21"/>
                      <w:vertAlign w:val="baseline"/>
                      <w:lang w:val="en-US" w:eastAsia="zh-CN"/>
                    </w:rPr>
                    <w:t>严重过剩产能行业的项目</w:t>
                  </w:r>
                  <w:r>
                    <w:rPr>
                      <w:rFonts w:hint="eastAsia" w:ascii="Times New Roman" w:hAnsi="Times New Roman" w:eastAsia="宋体" w:cs="Times New Roman"/>
                      <w:b w:val="0"/>
                      <w:bCs w:val="0"/>
                      <w:color w:val="auto"/>
                      <w:sz w:val="21"/>
                      <w:szCs w:val="21"/>
                      <w:vertAlign w:val="baseline"/>
                      <w:lang w:val="en-US" w:eastAsia="zh-CN"/>
                    </w:rPr>
                    <w:t>；项目不属于</w:t>
                  </w:r>
                  <w:r>
                    <w:rPr>
                      <w:rFonts w:hint="default" w:ascii="Times New Roman" w:hAnsi="Times New Roman" w:eastAsia="宋体" w:cs="Times New Roman"/>
                      <w:b w:val="0"/>
                      <w:bCs w:val="0"/>
                      <w:color w:val="auto"/>
                      <w:sz w:val="21"/>
                      <w:szCs w:val="21"/>
                      <w:vertAlign w:val="baseline"/>
                      <w:lang w:val="en-US" w:eastAsia="zh-CN"/>
                    </w:rPr>
                    <w:t>高耗能高排放项目</w:t>
                  </w:r>
                  <w:r>
                    <w:rPr>
                      <w:rFonts w:hint="eastAsia" w:ascii="Times New Roman" w:hAnsi="Times New Roman" w:eastAsia="宋体" w:cs="Times New Roman"/>
                      <w:color w:val="auto"/>
                      <w:sz w:val="21"/>
                      <w:szCs w:val="21"/>
                      <w:vertAlign w:val="baseline"/>
                      <w:lang w:val="en-US" w:eastAsia="zh-CN"/>
                    </w:rPr>
                    <w:t>。</w:t>
                  </w:r>
                </w:p>
              </w:tc>
              <w:tc>
                <w:tcPr>
                  <w:tcW w:w="285" w:type="pct"/>
                  <w:noWrap w:val="0"/>
                  <w:vAlign w:val="center"/>
                </w:tcPr>
                <w:p w14:paraId="746402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6D89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316D43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（3）《安徽省长江经济带发展负面清单实施细则（试行，2022年版）》节选</w:t>
                  </w:r>
                </w:p>
              </w:tc>
            </w:tr>
            <w:tr w14:paraId="392D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5B3942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ascii="Times New Roman" w:hAnsi="Times New Roman" w:eastAsia="宋体" w:cs="Times New Roman"/>
                      <w:b/>
                      <w:bCs/>
                      <w:color w:val="auto"/>
                      <w:sz w:val="21"/>
                      <w:szCs w:val="21"/>
                      <w:vertAlign w:val="baseline"/>
                      <w:lang w:val="en-US" w:eastAsia="zh-CN"/>
                    </w:rPr>
                    <w:t>序号</w:t>
                  </w:r>
                </w:p>
              </w:tc>
              <w:tc>
                <w:tcPr>
                  <w:tcW w:w="2508" w:type="pct"/>
                  <w:noWrap w:val="0"/>
                  <w:vAlign w:val="center"/>
                </w:tcPr>
                <w:p w14:paraId="5D2061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相关内容</w:t>
                  </w:r>
                </w:p>
              </w:tc>
              <w:tc>
                <w:tcPr>
                  <w:tcW w:w="1809" w:type="pct"/>
                  <w:noWrap w:val="0"/>
                  <w:vAlign w:val="center"/>
                </w:tcPr>
                <w:p w14:paraId="5E6DAB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本项目情况</w:t>
                  </w:r>
                </w:p>
              </w:tc>
              <w:tc>
                <w:tcPr>
                  <w:tcW w:w="285" w:type="pct"/>
                  <w:noWrap w:val="0"/>
                  <w:vAlign w:val="center"/>
                </w:tcPr>
                <w:p w14:paraId="79C91C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相符性</w:t>
                  </w:r>
                </w:p>
              </w:tc>
            </w:tr>
            <w:tr w14:paraId="0D04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1102B0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w:t>
                  </w:r>
                </w:p>
              </w:tc>
              <w:tc>
                <w:tcPr>
                  <w:tcW w:w="2508" w:type="pct"/>
                  <w:noWrap w:val="0"/>
                  <w:vAlign w:val="center"/>
                </w:tcPr>
                <w:p w14:paraId="7E67FF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b w:val="0"/>
                      <w:bCs w:val="0"/>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第十一条 禁止在长江（安徽段）干支流、巢湖岸线一公里范围内新建、扩建化工园区和化工项目。已批未开工的项目，依法停止建设，支持重新选址。已经开工建设的项目，严格进行检查评估，不符合岸线规划和环保、安全要求的，全部依法依规停建搬迁。</w:t>
                  </w:r>
                </w:p>
                <w:p w14:paraId="0446F8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禁止在长江干流岸线三公里范围内和主要支流岸线一公里范围内新建、改建、扩建</w:t>
                  </w:r>
                  <w:r>
                    <w:rPr>
                      <w:rFonts w:hint="default" w:ascii="Times New Roman" w:hAnsi="Times New Roman" w:eastAsia="宋体" w:cs="Times New Roman"/>
                      <w:b w:val="0"/>
                      <w:bCs w:val="0"/>
                      <w:color w:val="auto"/>
                      <w:sz w:val="21"/>
                      <w:szCs w:val="21"/>
                      <w:vertAlign w:val="baseline"/>
                      <w:lang w:val="en-US" w:eastAsia="zh-CN"/>
                    </w:rPr>
                    <w:t>尾矿库、冶炼渣库和磷石膏库，以提升安全、生态环境保护水平为目的的改建除外</w:t>
                  </w:r>
                  <w:r>
                    <w:rPr>
                      <w:rFonts w:hint="eastAsia" w:ascii="Times New Roman" w:hAnsi="Times New Roman" w:eastAsia="宋体" w:cs="Times New Roman"/>
                      <w:b w:val="0"/>
                      <w:bCs w:val="0"/>
                      <w:color w:val="auto"/>
                      <w:sz w:val="21"/>
                      <w:szCs w:val="21"/>
                      <w:vertAlign w:val="baseline"/>
                      <w:lang w:val="en-US" w:eastAsia="zh-CN"/>
                    </w:rPr>
                    <w:t>。</w:t>
                  </w:r>
                </w:p>
              </w:tc>
              <w:tc>
                <w:tcPr>
                  <w:tcW w:w="1809" w:type="pct"/>
                  <w:noWrap w:val="0"/>
                  <w:vAlign w:val="center"/>
                </w:tcPr>
                <w:p w14:paraId="52F37E2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项目距离长江</w:t>
                  </w:r>
                  <w:r>
                    <w:rPr>
                      <w:rFonts w:hint="eastAsia" w:cs="Times New Roman"/>
                      <w:color w:val="auto"/>
                      <w:sz w:val="21"/>
                      <w:szCs w:val="21"/>
                      <w:vertAlign w:val="baseline"/>
                      <w:lang w:val="en-US" w:eastAsia="zh-CN"/>
                    </w:rPr>
                    <w:t>干</w:t>
                  </w:r>
                  <w:r>
                    <w:rPr>
                      <w:rFonts w:hint="eastAsia" w:ascii="Times New Roman" w:hAnsi="Times New Roman" w:eastAsia="宋体" w:cs="Times New Roman"/>
                      <w:color w:val="auto"/>
                      <w:sz w:val="21"/>
                      <w:szCs w:val="21"/>
                      <w:vertAlign w:val="baseline"/>
                      <w:lang w:val="en-US" w:eastAsia="zh-CN"/>
                    </w:rPr>
                    <w:t>支流大于3km，不在长江</w:t>
                  </w:r>
                  <w:r>
                    <w:rPr>
                      <w:rFonts w:hint="default" w:ascii="Times New Roman" w:hAnsi="Times New Roman" w:eastAsia="宋体" w:cs="Times New Roman"/>
                      <w:b w:val="0"/>
                      <w:bCs w:val="0"/>
                      <w:color w:val="auto"/>
                      <w:sz w:val="21"/>
                      <w:szCs w:val="21"/>
                      <w:vertAlign w:val="baseline"/>
                      <w:lang w:val="en-US" w:eastAsia="zh-CN"/>
                    </w:rPr>
                    <w:t>干支流、重要湖泊岸线（新增）1公里范围内</w:t>
                  </w:r>
                  <w:r>
                    <w:rPr>
                      <w:rFonts w:hint="eastAsia" w:ascii="Times New Roman" w:hAnsi="Times New Roman" w:eastAsia="宋体" w:cs="Times New Roman"/>
                      <w:b w:val="0"/>
                      <w:bCs w:val="0"/>
                      <w:color w:val="auto"/>
                      <w:sz w:val="21"/>
                      <w:szCs w:val="21"/>
                      <w:vertAlign w:val="baseline"/>
                      <w:lang w:val="en-US" w:eastAsia="zh-CN"/>
                    </w:rPr>
                    <w:t>。项目不涉及新建、改建、扩建</w:t>
                  </w:r>
                  <w:r>
                    <w:rPr>
                      <w:rFonts w:hint="default" w:ascii="Times New Roman" w:hAnsi="Times New Roman" w:eastAsia="宋体" w:cs="Times New Roman"/>
                      <w:b w:val="0"/>
                      <w:bCs w:val="0"/>
                      <w:color w:val="auto"/>
                      <w:sz w:val="21"/>
                      <w:szCs w:val="21"/>
                      <w:vertAlign w:val="baseline"/>
                      <w:lang w:val="en-US" w:eastAsia="zh-CN"/>
                    </w:rPr>
                    <w:t>尾矿库、冶炼渣库和磷石膏库</w:t>
                  </w:r>
                  <w:r>
                    <w:rPr>
                      <w:rFonts w:hint="eastAsia" w:ascii="Times New Roman" w:hAnsi="Times New Roman" w:eastAsia="宋体" w:cs="Times New Roman"/>
                      <w:b w:val="0"/>
                      <w:bCs w:val="0"/>
                      <w:color w:val="auto"/>
                      <w:sz w:val="21"/>
                      <w:szCs w:val="21"/>
                      <w:vertAlign w:val="baseline"/>
                      <w:lang w:val="en-US" w:eastAsia="zh-CN"/>
                    </w:rPr>
                    <w:t>。</w:t>
                  </w:r>
                </w:p>
              </w:tc>
              <w:tc>
                <w:tcPr>
                  <w:tcW w:w="285" w:type="pct"/>
                  <w:noWrap w:val="0"/>
                  <w:vAlign w:val="center"/>
                </w:tcPr>
                <w:p w14:paraId="29D5AA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3884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3312A9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2</w:t>
                  </w:r>
                </w:p>
              </w:tc>
              <w:tc>
                <w:tcPr>
                  <w:tcW w:w="2508" w:type="pct"/>
                  <w:noWrap w:val="0"/>
                  <w:vAlign w:val="center"/>
                </w:tcPr>
                <w:p w14:paraId="452A32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 xml:space="preserve">第十二条 </w:t>
                  </w:r>
                  <w:r>
                    <w:rPr>
                      <w:rFonts w:hint="default" w:ascii="Times New Roman" w:hAnsi="Times New Roman" w:eastAsia="宋体" w:cs="Times New Roman"/>
                      <w:b w:val="0"/>
                      <w:bCs w:val="0"/>
                      <w:color w:val="auto"/>
                      <w:sz w:val="21"/>
                      <w:szCs w:val="21"/>
                      <w:vertAlign w:val="baseline"/>
                      <w:lang w:val="en-US" w:eastAsia="zh-CN"/>
                    </w:rPr>
                    <w:t>禁止在合规园区外新建、扩建钢铁、石化、化工、焦化、建材、有色、制浆造纸等高污染项目。</w:t>
                  </w:r>
                </w:p>
              </w:tc>
              <w:tc>
                <w:tcPr>
                  <w:tcW w:w="1809" w:type="pct"/>
                  <w:noWrap w:val="0"/>
                  <w:vAlign w:val="center"/>
                </w:tcPr>
                <w:p w14:paraId="38653C6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项目不属于</w:t>
                  </w:r>
                  <w:r>
                    <w:rPr>
                      <w:rFonts w:hint="default" w:ascii="Times New Roman" w:hAnsi="Times New Roman" w:eastAsia="宋体" w:cs="Times New Roman"/>
                      <w:b w:val="0"/>
                      <w:bCs w:val="0"/>
                      <w:color w:val="auto"/>
                      <w:sz w:val="21"/>
                      <w:szCs w:val="21"/>
                      <w:vertAlign w:val="baseline"/>
                      <w:lang w:val="en-US" w:eastAsia="zh-CN"/>
                    </w:rPr>
                    <w:t>高污染项目</w:t>
                  </w:r>
                  <w:r>
                    <w:rPr>
                      <w:rFonts w:hint="eastAsia" w:ascii="Times New Roman" w:hAnsi="Times New Roman" w:eastAsia="宋体" w:cs="Times New Roman"/>
                      <w:b w:val="0"/>
                      <w:bCs w:val="0"/>
                      <w:color w:val="auto"/>
                      <w:sz w:val="21"/>
                      <w:szCs w:val="21"/>
                      <w:vertAlign w:val="baseline"/>
                      <w:lang w:val="en-US" w:eastAsia="zh-CN"/>
                    </w:rPr>
                    <w:t>。</w:t>
                  </w:r>
                </w:p>
              </w:tc>
              <w:tc>
                <w:tcPr>
                  <w:tcW w:w="285" w:type="pct"/>
                  <w:noWrap w:val="0"/>
                  <w:vAlign w:val="center"/>
                </w:tcPr>
                <w:p w14:paraId="64789F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3CCC4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199A18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3</w:t>
                  </w:r>
                </w:p>
              </w:tc>
              <w:tc>
                <w:tcPr>
                  <w:tcW w:w="2508" w:type="pct"/>
                  <w:noWrap w:val="0"/>
                  <w:vAlign w:val="center"/>
                </w:tcPr>
                <w:p w14:paraId="37EC19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 xml:space="preserve">第十三条 </w:t>
                  </w:r>
                  <w:r>
                    <w:rPr>
                      <w:rFonts w:hint="default" w:ascii="Times New Roman" w:hAnsi="Times New Roman" w:eastAsia="宋体" w:cs="Times New Roman"/>
                      <w:b w:val="0"/>
                      <w:bCs w:val="0"/>
                      <w:color w:val="auto"/>
                      <w:sz w:val="21"/>
                      <w:szCs w:val="21"/>
                      <w:vertAlign w:val="baseline"/>
                      <w:lang w:val="en-US" w:eastAsia="zh-CN"/>
                    </w:rPr>
                    <w:t>禁止新建、扩建不符合国家石化、现代煤化工等产业布局规划的项目</w:t>
                  </w:r>
                </w:p>
              </w:tc>
              <w:tc>
                <w:tcPr>
                  <w:tcW w:w="1809" w:type="pct"/>
                  <w:noWrap w:val="0"/>
                  <w:vAlign w:val="center"/>
                </w:tcPr>
                <w:p w14:paraId="032CEC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宋体" w:cs="Times New Roman"/>
                      <w:color w:val="auto"/>
                      <w:kern w:val="2"/>
                      <w:sz w:val="21"/>
                      <w:szCs w:val="21"/>
                      <w:vertAlign w:val="baseline"/>
                      <w:lang w:val="en-US" w:eastAsia="zh-CN" w:bidi="ar-SA"/>
                    </w:rPr>
                  </w:pPr>
                  <w:r>
                    <w:rPr>
                      <w:rFonts w:hint="eastAsia" w:ascii="Times New Roman" w:hAnsi="Times New Roman" w:eastAsia="宋体" w:cs="Times New Roman"/>
                      <w:color w:val="auto"/>
                      <w:sz w:val="21"/>
                      <w:szCs w:val="21"/>
                      <w:vertAlign w:val="baseline"/>
                      <w:lang w:val="en-US" w:eastAsia="zh-CN"/>
                    </w:rPr>
                    <w:t>项目不属于</w:t>
                  </w:r>
                  <w:r>
                    <w:rPr>
                      <w:rFonts w:hint="default" w:ascii="Times New Roman" w:hAnsi="Times New Roman" w:eastAsia="宋体" w:cs="Times New Roman"/>
                      <w:b w:val="0"/>
                      <w:bCs w:val="0"/>
                      <w:color w:val="auto"/>
                      <w:sz w:val="21"/>
                      <w:szCs w:val="21"/>
                      <w:vertAlign w:val="baseline"/>
                      <w:lang w:val="en-US" w:eastAsia="zh-CN"/>
                    </w:rPr>
                    <w:t>不符合国家石化、现代煤化工等产业布局规划的项目</w:t>
                  </w:r>
                  <w:r>
                    <w:rPr>
                      <w:rFonts w:hint="eastAsia" w:ascii="Times New Roman" w:hAnsi="Times New Roman" w:eastAsia="宋体" w:cs="Times New Roman"/>
                      <w:color w:val="auto"/>
                      <w:sz w:val="21"/>
                      <w:szCs w:val="21"/>
                      <w:vertAlign w:val="baseline"/>
                      <w:lang w:val="en-US" w:eastAsia="zh-CN"/>
                    </w:rPr>
                    <w:t>。</w:t>
                  </w:r>
                </w:p>
              </w:tc>
              <w:tc>
                <w:tcPr>
                  <w:tcW w:w="285" w:type="pct"/>
                  <w:noWrap w:val="0"/>
                  <w:vAlign w:val="center"/>
                </w:tcPr>
                <w:p w14:paraId="4118A5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6F2B0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5097E2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4</w:t>
                  </w:r>
                </w:p>
              </w:tc>
              <w:tc>
                <w:tcPr>
                  <w:tcW w:w="2508" w:type="pct"/>
                  <w:noWrap w:val="0"/>
                  <w:vAlign w:val="center"/>
                </w:tcPr>
                <w:p w14:paraId="1CC8CE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 xml:space="preserve">第十四条 </w:t>
                  </w:r>
                  <w:r>
                    <w:rPr>
                      <w:rFonts w:hint="default" w:ascii="Times New Roman" w:hAnsi="Times New Roman" w:eastAsia="宋体" w:cs="Times New Roman"/>
                      <w:b w:val="0"/>
                      <w:bCs w:val="0"/>
                      <w:color w:val="auto"/>
                      <w:sz w:val="21"/>
                      <w:szCs w:val="21"/>
                      <w:vertAlign w:val="baseline"/>
                      <w:lang w:val="en-US" w:eastAsia="zh-CN"/>
                    </w:rPr>
                    <w:t>禁止新建、扩建法律法规和相关政策明令禁止的落后产能项目。</w:t>
                  </w:r>
                </w:p>
                <w:p w14:paraId="7227BA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严格执行国家《产业结构调整指导目录》淘汰类和限制类有关规定，禁止投资建设属于淘汰类的项目，禁止投资新建属于限制类的项目。对属于限制类的现有生产能力，允许企业在一定期限内采取措施改造升级。</w:t>
                  </w:r>
                </w:p>
                <w:p w14:paraId="06554D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禁止新建、扩建不符合国家产能置换要求的严重过剩产能行业的项目。</w:t>
                  </w:r>
                </w:p>
                <w:p w14:paraId="7CD7CD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禁止新建、扩建不符合要求的高耗能高排放项目。</w:t>
                  </w:r>
                </w:p>
              </w:tc>
              <w:tc>
                <w:tcPr>
                  <w:tcW w:w="1809" w:type="pct"/>
                  <w:noWrap w:val="0"/>
                  <w:vAlign w:val="center"/>
                </w:tcPr>
                <w:p w14:paraId="38F5B0E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宋体" w:cs="Times New Roman"/>
                      <w:color w:val="auto"/>
                      <w:kern w:val="2"/>
                      <w:sz w:val="21"/>
                      <w:szCs w:val="21"/>
                      <w:vertAlign w:val="baseline"/>
                      <w:lang w:val="en-US" w:eastAsia="zh-CN" w:bidi="ar-SA"/>
                    </w:rPr>
                  </w:pPr>
                  <w:r>
                    <w:rPr>
                      <w:rFonts w:hint="eastAsia" w:ascii="Times New Roman" w:hAnsi="Times New Roman" w:eastAsia="宋体" w:cs="Times New Roman"/>
                      <w:color w:val="auto"/>
                      <w:sz w:val="21"/>
                      <w:szCs w:val="21"/>
                      <w:vertAlign w:val="baseline"/>
                      <w:lang w:val="en-US" w:eastAsia="zh-CN"/>
                    </w:rPr>
                    <w:t>项目不属于</w:t>
                  </w:r>
                  <w:r>
                    <w:rPr>
                      <w:rFonts w:hint="default" w:ascii="Times New Roman" w:hAnsi="Times New Roman" w:eastAsia="宋体" w:cs="Times New Roman"/>
                      <w:b w:val="0"/>
                      <w:bCs w:val="0"/>
                      <w:color w:val="auto"/>
                      <w:sz w:val="21"/>
                      <w:szCs w:val="21"/>
                      <w:vertAlign w:val="baseline"/>
                      <w:lang w:val="en-US" w:eastAsia="zh-CN"/>
                    </w:rPr>
                    <w:t>落后产能项目</w:t>
                  </w:r>
                  <w:r>
                    <w:rPr>
                      <w:rFonts w:hint="eastAsia" w:ascii="Times New Roman" w:hAnsi="Times New Roman" w:eastAsia="宋体" w:cs="Times New Roman"/>
                      <w:color w:val="auto"/>
                      <w:sz w:val="21"/>
                      <w:szCs w:val="21"/>
                      <w:vertAlign w:val="baseline"/>
                      <w:lang w:val="en-US" w:eastAsia="zh-CN"/>
                    </w:rPr>
                    <w:t>，不属于</w:t>
                  </w:r>
                  <w:r>
                    <w:rPr>
                      <w:rFonts w:hint="default" w:ascii="Times New Roman" w:hAnsi="Times New Roman" w:eastAsia="宋体" w:cs="Times New Roman"/>
                      <w:b w:val="0"/>
                      <w:bCs w:val="0"/>
                      <w:color w:val="auto"/>
                      <w:sz w:val="21"/>
                      <w:szCs w:val="21"/>
                      <w:vertAlign w:val="baseline"/>
                      <w:lang w:val="en-US" w:eastAsia="zh-CN"/>
                    </w:rPr>
                    <w:t>严重过剩产能行业的项目</w:t>
                  </w:r>
                  <w:r>
                    <w:rPr>
                      <w:rFonts w:hint="eastAsia" w:ascii="Times New Roman" w:hAnsi="Times New Roman" w:eastAsia="宋体" w:cs="Times New Roman"/>
                      <w:b w:val="0"/>
                      <w:bCs w:val="0"/>
                      <w:color w:val="auto"/>
                      <w:sz w:val="21"/>
                      <w:szCs w:val="21"/>
                      <w:vertAlign w:val="baseline"/>
                      <w:lang w:val="en-US" w:eastAsia="zh-CN"/>
                    </w:rPr>
                    <w:t>；对照《关于有力有效管控高耗能高排放项目的通知（2025）》，项目不属于</w:t>
                  </w:r>
                  <w:r>
                    <w:rPr>
                      <w:rFonts w:hint="default" w:ascii="Times New Roman" w:hAnsi="Times New Roman" w:eastAsia="宋体" w:cs="Times New Roman"/>
                      <w:b w:val="0"/>
                      <w:bCs w:val="0"/>
                      <w:color w:val="auto"/>
                      <w:sz w:val="21"/>
                      <w:szCs w:val="21"/>
                      <w:vertAlign w:val="baseline"/>
                      <w:lang w:val="en-US" w:eastAsia="zh-CN"/>
                    </w:rPr>
                    <w:t>高耗能高排放项目</w:t>
                  </w:r>
                  <w:r>
                    <w:rPr>
                      <w:rFonts w:hint="eastAsia" w:ascii="Times New Roman" w:hAnsi="Times New Roman" w:eastAsia="宋体" w:cs="Times New Roman"/>
                      <w:color w:val="auto"/>
                      <w:sz w:val="21"/>
                      <w:szCs w:val="21"/>
                      <w:vertAlign w:val="baseline"/>
                      <w:lang w:val="en-US" w:eastAsia="zh-CN"/>
                    </w:rPr>
                    <w:t>。</w:t>
                  </w:r>
                </w:p>
              </w:tc>
              <w:tc>
                <w:tcPr>
                  <w:tcW w:w="285" w:type="pct"/>
                  <w:noWrap w:val="0"/>
                  <w:vAlign w:val="center"/>
                </w:tcPr>
                <w:p w14:paraId="5156B8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r w14:paraId="24FBC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 w:type="pct"/>
                  <w:gridSpan w:val="2"/>
                  <w:noWrap w:val="0"/>
                  <w:vAlign w:val="center"/>
                </w:tcPr>
                <w:p w14:paraId="44CD9A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5</w:t>
                  </w:r>
                </w:p>
              </w:tc>
              <w:tc>
                <w:tcPr>
                  <w:tcW w:w="2508" w:type="pct"/>
                  <w:noWrap w:val="0"/>
                  <w:vAlign w:val="center"/>
                </w:tcPr>
                <w:p w14:paraId="75F361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第十五条 法律法规及相关政策文件有更加严格规定的从其规定。</w:t>
                  </w:r>
                </w:p>
              </w:tc>
              <w:tc>
                <w:tcPr>
                  <w:tcW w:w="1809" w:type="pct"/>
                  <w:noWrap w:val="0"/>
                  <w:vAlign w:val="center"/>
                </w:tcPr>
                <w:p w14:paraId="2C4437B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w:t>
                  </w:r>
                </w:p>
              </w:tc>
              <w:tc>
                <w:tcPr>
                  <w:tcW w:w="285" w:type="pct"/>
                  <w:noWrap w:val="0"/>
                  <w:vAlign w:val="center"/>
                </w:tcPr>
                <w:p w14:paraId="0D2268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符合</w:t>
                  </w:r>
                </w:p>
              </w:tc>
            </w:tr>
          </w:tbl>
          <w:p w14:paraId="58BFED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b w:val="0"/>
                <w:bCs w:val="0"/>
                <w:color w:val="auto"/>
                <w:sz w:val="21"/>
                <w:szCs w:val="21"/>
                <w:vertAlign w:val="baseline"/>
                <w:lang w:val="en-US" w:eastAsia="zh-CN"/>
              </w:rPr>
            </w:pPr>
          </w:p>
          <w:p w14:paraId="4C58D94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kern w:val="0"/>
                <w:sz w:val="24"/>
                <w:szCs w:val="24"/>
                <w:lang w:val="en-US" w:eastAsia="zh-CN"/>
              </w:rPr>
            </w:pPr>
            <w:r>
              <w:rPr>
                <w:rFonts w:hint="eastAsia" w:ascii="Times New Roman" w:hAnsi="Times New Roman" w:eastAsia="宋体" w:cs="Times New Roman"/>
                <w:b w:val="0"/>
                <w:bCs w:val="0"/>
                <w:color w:val="auto"/>
                <w:kern w:val="0"/>
                <w:sz w:val="24"/>
                <w:szCs w:val="24"/>
                <w:lang w:val="en-US" w:eastAsia="zh-CN"/>
              </w:rPr>
              <w:t>综上所述，项目不在长江干支流、重要湖泊岸线（新增）1公里范围内；不属于高污染项目，不属于高耗能高排放项目；项目无废水外排，不涉及新增排放口；项目不在饮用水水源一级</w:t>
            </w:r>
            <w:r>
              <w:rPr>
                <w:rFonts w:hint="eastAsia" w:cs="Times New Roman"/>
                <w:b w:val="0"/>
                <w:bCs w:val="0"/>
                <w:color w:val="auto"/>
                <w:kern w:val="0"/>
                <w:sz w:val="24"/>
                <w:szCs w:val="24"/>
                <w:lang w:val="en-US" w:eastAsia="zh-CN"/>
              </w:rPr>
              <w:t>保护区</w:t>
            </w:r>
            <w:r>
              <w:rPr>
                <w:rFonts w:hint="eastAsia" w:ascii="Times New Roman" w:hAnsi="Times New Roman" w:eastAsia="宋体" w:cs="Times New Roman"/>
                <w:b w:val="0"/>
                <w:bCs w:val="0"/>
                <w:color w:val="auto"/>
                <w:kern w:val="0"/>
                <w:sz w:val="24"/>
                <w:szCs w:val="24"/>
                <w:lang w:val="en-US" w:eastAsia="zh-CN"/>
              </w:rPr>
              <w:t>和饮用水水源二级保护区的岸线和河段范围内；项目不在水产种质资源保护区、国家湿地公园的岸线和河段范围内，不涉及新建围湖造田、围海造地或围填海，不涉及挖沙、采矿等。</w:t>
            </w:r>
          </w:p>
          <w:p w14:paraId="70F5663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val="0"/>
                <w:bCs w:val="0"/>
                <w:color w:val="auto"/>
                <w:kern w:val="0"/>
                <w:sz w:val="24"/>
                <w:szCs w:val="24"/>
                <w:lang w:val="en-US" w:eastAsia="zh-CN"/>
              </w:rPr>
              <w:t>故项目的建设符合</w:t>
            </w:r>
            <w:r>
              <w:rPr>
                <w:rFonts w:hint="eastAsia" w:cs="Times New Roman"/>
                <w:color w:val="auto"/>
                <w:sz w:val="24"/>
                <w:szCs w:val="32"/>
                <w:lang w:eastAsia="zh-CN"/>
              </w:rPr>
              <w:t>《</w:t>
            </w:r>
            <w:r>
              <w:rPr>
                <w:rFonts w:hint="eastAsia" w:cs="Times New Roman"/>
                <w:color w:val="auto"/>
                <w:sz w:val="24"/>
                <w:szCs w:val="32"/>
                <w:lang w:val="en-US" w:eastAsia="zh-CN"/>
              </w:rPr>
              <w:t>中</w:t>
            </w:r>
            <w:r>
              <w:rPr>
                <w:rFonts w:hint="eastAsia" w:cs="Times New Roman"/>
                <w:color w:val="auto"/>
                <w:sz w:val="24"/>
                <w:szCs w:val="32"/>
                <w:lang w:eastAsia="zh-CN"/>
              </w:rPr>
              <w:t>华人民共和国长江保护法》《长江经济带发展负面清单指南（试行，2022年版》《安徽省长江经济带发展负面清单实施细则（试行，2022年版）》</w:t>
            </w:r>
            <w:r>
              <w:rPr>
                <w:rFonts w:hint="eastAsia" w:cs="Times New Roman"/>
                <w:color w:val="auto"/>
                <w:sz w:val="24"/>
                <w:szCs w:val="32"/>
                <w:lang w:val="en-US" w:eastAsia="zh-CN"/>
              </w:rPr>
              <w:t>等文件</w:t>
            </w:r>
            <w:r>
              <w:rPr>
                <w:rFonts w:hint="eastAsia" w:ascii="Times New Roman" w:hAnsi="Times New Roman" w:eastAsia="宋体" w:cs="Times New Roman"/>
                <w:b w:val="0"/>
                <w:bCs w:val="0"/>
                <w:color w:val="auto"/>
                <w:kern w:val="0"/>
                <w:sz w:val="24"/>
                <w:szCs w:val="24"/>
                <w:lang w:val="en-US" w:eastAsia="zh-CN"/>
              </w:rPr>
              <w:t>要求</w:t>
            </w:r>
            <w:r>
              <w:rPr>
                <w:rFonts w:hint="eastAsia" w:ascii="Times New Roman" w:hAnsi="Times New Roman" w:eastAsia="宋体" w:cs="Times New Roman"/>
                <w:b w:val="0"/>
                <w:bCs w:val="0"/>
                <w:color w:val="auto"/>
                <w:kern w:val="0"/>
                <w:sz w:val="24"/>
                <w:szCs w:val="24"/>
                <w:highlight w:val="none"/>
                <w:lang w:val="en-US" w:eastAsia="zh-CN"/>
              </w:rPr>
              <w:t>。</w:t>
            </w:r>
          </w:p>
          <w:p w14:paraId="62068E5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5.</w:t>
            </w:r>
            <w:r>
              <w:rPr>
                <w:rFonts w:hint="default" w:ascii="Times New Roman" w:hAnsi="Times New Roman" w:eastAsia="宋体" w:cs="Times New Roman"/>
                <w:b/>
                <w:bCs/>
                <w:color w:val="auto"/>
                <w:kern w:val="2"/>
                <w:sz w:val="24"/>
                <w:szCs w:val="24"/>
                <w:lang w:val="en-US" w:eastAsia="zh-CN"/>
              </w:rPr>
              <w:t>与《中共安徽省委、安徽省人民政府关于全面打造水清岸绿产业优美丽长江（安徽）经济带的实施意见</w:t>
            </w:r>
            <w:r>
              <w:rPr>
                <w:rFonts w:hint="eastAsia" w:ascii="Times New Roman" w:hAnsi="Times New Roman" w:eastAsia="宋体" w:cs="Times New Roman"/>
                <w:b/>
                <w:bCs/>
                <w:color w:val="auto"/>
                <w:kern w:val="2"/>
                <w:sz w:val="24"/>
                <w:szCs w:val="24"/>
                <w:lang w:val="en-US" w:eastAsia="zh-CN"/>
              </w:rPr>
              <w:t>（升级版）</w:t>
            </w:r>
            <w:r>
              <w:rPr>
                <w:rFonts w:hint="default" w:ascii="Times New Roman" w:hAnsi="Times New Roman" w:eastAsia="宋体"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（皖发</w:t>
            </w:r>
            <w:r>
              <w:rPr>
                <w:rFonts w:hint="eastAsia" w:cs="Times New Roman"/>
                <w:b/>
                <w:bCs/>
                <w:color w:val="auto"/>
                <w:kern w:val="2"/>
                <w:sz w:val="24"/>
                <w:szCs w:val="24"/>
                <w:lang w:val="en-US" w:eastAsia="zh-CN"/>
              </w:rPr>
              <w:t>〔2021〕19号</w:t>
            </w:r>
            <w:r>
              <w:rPr>
                <w:rFonts w:hint="eastAsia" w:ascii="Times New Roman" w:hAnsi="Times New Roman" w:eastAsia="宋体" w:cs="Times New Roman"/>
                <w:b/>
                <w:bCs/>
                <w:color w:val="auto"/>
                <w:kern w:val="2"/>
                <w:sz w:val="24"/>
                <w:szCs w:val="24"/>
                <w:lang w:val="en-US" w:eastAsia="zh-CN"/>
              </w:rPr>
              <w:t>）</w:t>
            </w:r>
            <w:r>
              <w:rPr>
                <w:rFonts w:hint="default" w:ascii="Times New Roman" w:hAnsi="Times New Roman" w:eastAsia="宋体" w:cs="Times New Roman"/>
                <w:b/>
                <w:bCs/>
                <w:color w:val="auto"/>
                <w:kern w:val="2"/>
                <w:sz w:val="24"/>
                <w:szCs w:val="24"/>
                <w:lang w:val="en-US" w:eastAsia="zh-CN"/>
              </w:rPr>
              <w:t>的符合性分析</w:t>
            </w:r>
          </w:p>
          <w:p w14:paraId="79632A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eastAsia="宋体"/>
                <w:b w:val="0"/>
                <w:bCs w:val="0"/>
                <w:color w:val="auto"/>
                <w:sz w:val="24"/>
                <w:szCs w:val="24"/>
                <w:highlight w:val="none"/>
                <w:lang w:val="en-US" w:eastAsia="zh-CN"/>
              </w:rPr>
            </w:pPr>
            <w:r>
              <w:rPr>
                <w:rFonts w:hint="eastAsia"/>
                <w:b w:val="0"/>
                <w:bCs w:val="0"/>
                <w:color w:val="auto"/>
                <w:sz w:val="24"/>
                <w:szCs w:val="24"/>
                <w:highlight w:val="none"/>
                <w:lang w:val="en-US" w:eastAsia="zh-CN"/>
              </w:rPr>
              <w:t>本项目与《中共安徽省委、安徽省人民政府关于全面打造水清岸绿产业优美丽长江（安徽）经济带的实施意见（升级版）》（皖发〔2021〕19号）的符合性分析情况，见下表：</w:t>
            </w:r>
          </w:p>
          <w:p w14:paraId="3E6DF26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w:t>
            </w:r>
            <w:r>
              <w:rPr>
                <w:rFonts w:hint="eastAsia" w:ascii="Times New Roman" w:hAnsi="Times New Roman" w:eastAsia="宋体" w:cs="Times New Roman"/>
                <w:b/>
                <w:bCs/>
                <w:color w:val="auto"/>
                <w:kern w:val="2"/>
                <w:sz w:val="24"/>
                <w:szCs w:val="24"/>
                <w:lang w:val="en-US" w:eastAsia="zh-CN"/>
              </w:rPr>
              <w:t xml:space="preserve">1-3 </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皖发</w:t>
            </w:r>
            <w:r>
              <w:rPr>
                <w:rFonts w:hint="eastAsia" w:cs="Times New Roman"/>
                <w:b/>
                <w:bCs/>
                <w:color w:val="auto"/>
                <w:kern w:val="2"/>
                <w:sz w:val="24"/>
                <w:szCs w:val="24"/>
                <w:lang w:val="en-US" w:eastAsia="zh-CN"/>
              </w:rPr>
              <w:t>〔2021〕19号</w:t>
            </w:r>
            <w:r>
              <w:rPr>
                <w:rFonts w:hint="default" w:ascii="Times New Roman" w:hAnsi="Times New Roman" w:eastAsia="宋体" w:cs="Times New Roman"/>
                <w:b/>
                <w:bCs/>
                <w:color w:val="auto"/>
                <w:kern w:val="2"/>
                <w:sz w:val="24"/>
                <w:szCs w:val="24"/>
                <w:lang w:val="en-US" w:eastAsia="zh-CN"/>
              </w:rPr>
              <w:t>符合性分析一览表</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5"/>
              <w:gridCol w:w="2266"/>
              <w:gridCol w:w="412"/>
            </w:tblGrid>
            <w:tr w14:paraId="324A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03" w:type="pct"/>
                  <w:tcBorders>
                    <w:tl2br w:val="nil"/>
                    <w:tr2bl w:val="nil"/>
                  </w:tcBorders>
                  <w:noWrap w:val="0"/>
                  <w:vAlign w:val="center"/>
                </w:tcPr>
                <w:p w14:paraId="79C090C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rPr>
                    <w:t>相关要求</w:t>
                  </w:r>
                </w:p>
              </w:tc>
              <w:tc>
                <w:tcPr>
                  <w:tcW w:w="1604" w:type="pct"/>
                  <w:tcBorders>
                    <w:tl2br w:val="nil"/>
                    <w:tr2bl w:val="nil"/>
                  </w:tcBorders>
                  <w:noWrap w:val="0"/>
                  <w:vAlign w:val="center"/>
                </w:tcPr>
                <w:p w14:paraId="134F45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本</w:t>
                  </w:r>
                  <w:r>
                    <w:rPr>
                      <w:rFonts w:hint="default" w:ascii="Times New Roman" w:hAnsi="Times New Roman" w:eastAsia="宋体" w:cs="Times New Roman"/>
                      <w:b/>
                      <w:bCs/>
                      <w:color w:val="auto"/>
                      <w:sz w:val="21"/>
                      <w:szCs w:val="21"/>
                      <w:highlight w:val="none"/>
                    </w:rPr>
                    <w:t>项目</w:t>
                  </w:r>
                  <w:r>
                    <w:rPr>
                      <w:rFonts w:hint="eastAsia" w:cs="Times New Roman"/>
                      <w:b/>
                      <w:bCs/>
                      <w:color w:val="auto"/>
                      <w:sz w:val="21"/>
                      <w:szCs w:val="21"/>
                      <w:highlight w:val="none"/>
                      <w:vertAlign w:val="baseline"/>
                      <w:lang w:val="en-US" w:eastAsia="zh-CN"/>
                    </w:rPr>
                    <w:t>情况</w:t>
                  </w:r>
                </w:p>
              </w:tc>
              <w:tc>
                <w:tcPr>
                  <w:tcW w:w="292" w:type="pct"/>
                  <w:tcBorders>
                    <w:tl2br w:val="nil"/>
                    <w:tr2bl w:val="nil"/>
                  </w:tcBorders>
                  <w:noWrap w:val="0"/>
                  <w:vAlign w:val="center"/>
                </w:tcPr>
                <w:p w14:paraId="1A2D5E3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结果</w:t>
                  </w:r>
                </w:p>
              </w:tc>
            </w:tr>
            <w:tr w14:paraId="61FD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03" w:type="pct"/>
                  <w:tcBorders>
                    <w:tl2br w:val="nil"/>
                    <w:tr2bl w:val="nil"/>
                  </w:tcBorders>
                  <w:noWrap w:val="0"/>
                  <w:vAlign w:val="center"/>
                </w:tcPr>
                <w:p w14:paraId="45DCC2EE">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严禁1公里范围内新建化工项目。长江干支流岸线1公里范围内，严禁新建、扩建化工园区和化工项目。</w:t>
                  </w:r>
                </w:p>
              </w:tc>
              <w:tc>
                <w:tcPr>
                  <w:tcW w:w="1604" w:type="pct"/>
                  <w:tcBorders>
                    <w:tl2br w:val="nil"/>
                    <w:tr2bl w:val="nil"/>
                  </w:tcBorders>
                  <w:noWrap w:val="0"/>
                  <w:vAlign w:val="center"/>
                </w:tcPr>
                <w:p w14:paraId="603CBDBA">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本项目不属于化工项目，项目</w:t>
                  </w:r>
                  <w:r>
                    <w:rPr>
                      <w:rFonts w:hint="eastAsia" w:cs="Times New Roman"/>
                      <w:color w:val="auto"/>
                      <w:sz w:val="21"/>
                      <w:szCs w:val="21"/>
                      <w:highlight w:val="none"/>
                      <w:vertAlign w:val="baseline"/>
                      <w:lang w:val="en-US" w:eastAsia="zh-CN"/>
                    </w:rPr>
                    <w:t>不在</w:t>
                  </w:r>
                  <w:r>
                    <w:rPr>
                      <w:rFonts w:hint="eastAsia" w:ascii="Times New Roman" w:hAnsi="Times New Roman" w:eastAsia="宋体" w:cs="Times New Roman"/>
                      <w:color w:val="auto"/>
                      <w:sz w:val="21"/>
                      <w:szCs w:val="21"/>
                      <w:highlight w:val="none"/>
                      <w:vertAlign w:val="baseline"/>
                      <w:lang w:val="en-US" w:eastAsia="zh-CN"/>
                    </w:rPr>
                    <w:t>长江支流</w:t>
                  </w:r>
                  <w:r>
                    <w:rPr>
                      <w:rFonts w:hint="eastAsia" w:cs="Times New Roman"/>
                      <w:color w:val="auto"/>
                      <w:sz w:val="21"/>
                      <w:szCs w:val="21"/>
                      <w:highlight w:val="none"/>
                      <w:vertAlign w:val="baseline"/>
                      <w:lang w:val="en-US" w:eastAsia="zh-CN"/>
                    </w:rPr>
                    <w:t>1</w:t>
                  </w:r>
                  <w:r>
                    <w:rPr>
                      <w:rFonts w:hint="eastAsia" w:ascii="Times New Roman" w:hAnsi="Times New Roman" w:eastAsia="宋体" w:cs="Times New Roman"/>
                      <w:color w:val="auto"/>
                      <w:sz w:val="21"/>
                      <w:szCs w:val="21"/>
                      <w:highlight w:val="none"/>
                      <w:vertAlign w:val="baseline"/>
                      <w:lang w:val="en-US" w:eastAsia="zh-CN"/>
                    </w:rPr>
                    <w:t>km</w:t>
                  </w:r>
                  <w:r>
                    <w:rPr>
                      <w:rFonts w:hint="eastAsia" w:cs="Times New Roman"/>
                      <w:color w:val="auto"/>
                      <w:sz w:val="21"/>
                      <w:szCs w:val="21"/>
                      <w:highlight w:val="none"/>
                      <w:vertAlign w:val="baseline"/>
                      <w:lang w:val="en-US" w:eastAsia="zh-CN"/>
                    </w:rPr>
                    <w:t>范围</w:t>
                  </w:r>
                  <w:r>
                    <w:rPr>
                      <w:rFonts w:hint="eastAsia" w:ascii="Times New Roman" w:hAnsi="Times New Roman" w:eastAsia="宋体" w:cs="Times New Roman"/>
                      <w:color w:val="auto"/>
                      <w:sz w:val="21"/>
                      <w:szCs w:val="21"/>
                      <w:highlight w:val="none"/>
                      <w:vertAlign w:val="baseline"/>
                      <w:lang w:val="en-US" w:eastAsia="zh-CN"/>
                    </w:rPr>
                    <w:t>。</w:t>
                  </w:r>
                </w:p>
              </w:tc>
              <w:tc>
                <w:tcPr>
                  <w:tcW w:w="292" w:type="pct"/>
                  <w:tcBorders>
                    <w:tl2br w:val="nil"/>
                    <w:tr2bl w:val="nil"/>
                  </w:tcBorders>
                  <w:noWrap w:val="0"/>
                  <w:vAlign w:val="center"/>
                </w:tcPr>
                <w:p w14:paraId="0BAF222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7053C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03" w:type="pct"/>
                  <w:tcBorders>
                    <w:tl2br w:val="nil"/>
                    <w:tr2bl w:val="nil"/>
                  </w:tcBorders>
                  <w:noWrap w:val="0"/>
                  <w:vAlign w:val="center"/>
                </w:tcPr>
                <w:p w14:paraId="6BC548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604" w:type="pct"/>
                  <w:tcBorders>
                    <w:tl2br w:val="nil"/>
                    <w:tr2bl w:val="nil"/>
                  </w:tcBorders>
                  <w:noWrap w:val="0"/>
                  <w:vAlign w:val="center"/>
                </w:tcPr>
                <w:p w14:paraId="53CFCD9E">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本项目选址位于</w:t>
                  </w:r>
                  <w:r>
                    <w:rPr>
                      <w:rFonts w:hint="eastAsia" w:cs="Times New Roman"/>
                      <w:color w:val="auto"/>
                      <w:sz w:val="21"/>
                      <w:szCs w:val="21"/>
                      <w:highlight w:val="none"/>
                      <w:vertAlign w:val="baseline"/>
                      <w:lang w:val="en-US" w:eastAsia="zh-CN"/>
                    </w:rPr>
                    <w:t>青阳县新河镇镁铝及机电装备制造产业集聚区</w:t>
                  </w:r>
                  <w:r>
                    <w:rPr>
                      <w:rFonts w:hint="eastAsia" w:ascii="Times New Roman" w:hAnsi="Times New Roman" w:eastAsia="宋体" w:cs="Times New Roman"/>
                      <w:color w:val="auto"/>
                      <w:sz w:val="21"/>
                      <w:szCs w:val="21"/>
                      <w:highlight w:val="none"/>
                      <w:vertAlign w:val="baseline"/>
                      <w:lang w:val="en-US" w:eastAsia="zh-CN"/>
                    </w:rPr>
                    <w:t>内，且项目不属于重污染、重化工项目。</w:t>
                  </w:r>
                </w:p>
              </w:tc>
              <w:tc>
                <w:tcPr>
                  <w:tcW w:w="292" w:type="pct"/>
                  <w:tcBorders>
                    <w:tl2br w:val="nil"/>
                    <w:tr2bl w:val="nil"/>
                  </w:tcBorders>
                  <w:noWrap w:val="0"/>
                  <w:vAlign w:val="center"/>
                </w:tcPr>
                <w:p w14:paraId="21B98B2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19F0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03" w:type="pct"/>
                  <w:tcBorders>
                    <w:tl2br w:val="nil"/>
                    <w:tr2bl w:val="nil"/>
                  </w:tcBorders>
                  <w:noWrap w:val="0"/>
                  <w:vAlign w:val="center"/>
                </w:tcPr>
                <w:p w14:paraId="461AFE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管住固体废物污染。提升危险废物利用处置水平。</w:t>
                  </w:r>
                </w:p>
              </w:tc>
              <w:tc>
                <w:tcPr>
                  <w:tcW w:w="1604" w:type="pct"/>
                  <w:tcBorders>
                    <w:tl2br w:val="nil"/>
                    <w:tr2bl w:val="nil"/>
                  </w:tcBorders>
                  <w:noWrap w:val="0"/>
                  <w:vAlign w:val="center"/>
                </w:tcPr>
                <w:p w14:paraId="24B61FE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本项目一般工业固体废物</w:t>
                  </w:r>
                  <w:r>
                    <w:rPr>
                      <w:rFonts w:hint="eastAsia" w:ascii="Times New Roman" w:hAnsi="Times New Roman" w:eastAsia="宋体" w:cs="Times New Roman"/>
                      <w:color w:val="auto"/>
                      <w:sz w:val="21"/>
                      <w:szCs w:val="21"/>
                      <w:highlight w:val="none"/>
                      <w:vertAlign w:val="baseline"/>
                      <w:lang w:val="en-US" w:eastAsia="zh-CN"/>
                    </w:rPr>
                    <w:t>均得到综合利用。危险废物收集暂存后交由有资质单位处置。</w:t>
                  </w:r>
                </w:p>
              </w:tc>
              <w:tc>
                <w:tcPr>
                  <w:tcW w:w="292" w:type="pct"/>
                  <w:tcBorders>
                    <w:tl2br w:val="nil"/>
                    <w:tr2bl w:val="nil"/>
                  </w:tcBorders>
                  <w:noWrap w:val="0"/>
                  <w:vAlign w:val="center"/>
                </w:tcPr>
                <w:p w14:paraId="6A6BBBB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394B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03" w:type="pct"/>
                  <w:tcBorders>
                    <w:tl2br w:val="nil"/>
                    <w:tr2bl w:val="nil"/>
                  </w:tcBorders>
                  <w:noWrap w:val="0"/>
                  <w:vAlign w:val="center"/>
                </w:tcPr>
                <w:p w14:paraId="1FE41A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新建项目进园区。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604" w:type="pct"/>
                  <w:tcBorders>
                    <w:tl2br w:val="nil"/>
                    <w:tr2bl w:val="nil"/>
                  </w:tcBorders>
                  <w:noWrap w:val="0"/>
                  <w:vAlign w:val="center"/>
                </w:tcPr>
                <w:p w14:paraId="0B486548">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vertAlign w:val="baseline"/>
                      <w:lang w:val="en-US" w:eastAsia="zh-CN"/>
                    </w:rPr>
                    <w:t>本项目不属于化工项目，</w:t>
                  </w:r>
                  <w:r>
                    <w:rPr>
                      <w:rFonts w:hint="eastAsia" w:ascii="Times New Roman" w:hAnsi="Times New Roman" w:eastAsia="宋体" w:cs="Times New Roman"/>
                      <w:color w:val="auto"/>
                      <w:sz w:val="21"/>
                      <w:szCs w:val="21"/>
                      <w:highlight w:val="none"/>
                      <w:lang w:val="en-US" w:eastAsia="zh-CN"/>
                    </w:rPr>
                    <w:t>项目选址位于</w:t>
                  </w:r>
                  <w:r>
                    <w:rPr>
                      <w:rFonts w:hint="eastAsia" w:cs="Times New Roman"/>
                      <w:color w:val="auto"/>
                      <w:sz w:val="21"/>
                      <w:szCs w:val="21"/>
                      <w:highlight w:val="none"/>
                      <w:lang w:val="en-US" w:eastAsia="zh-CN"/>
                    </w:rPr>
                    <w:t>青阳县新河镇镁铝及机电装备制造产业集聚区</w:t>
                  </w:r>
                  <w:r>
                    <w:rPr>
                      <w:rFonts w:hint="eastAsia" w:ascii="Times New Roman" w:hAnsi="Times New Roman" w:eastAsia="宋体" w:cs="Times New Roman"/>
                      <w:color w:val="auto"/>
                      <w:sz w:val="21"/>
                      <w:szCs w:val="21"/>
                      <w:highlight w:val="none"/>
                      <w:lang w:val="en-US" w:eastAsia="zh-CN"/>
                    </w:rPr>
                    <w:t>，位于园区内。</w:t>
                  </w:r>
                </w:p>
              </w:tc>
              <w:tc>
                <w:tcPr>
                  <w:tcW w:w="292" w:type="pct"/>
                  <w:tcBorders>
                    <w:tl2br w:val="nil"/>
                    <w:tr2bl w:val="nil"/>
                  </w:tcBorders>
                  <w:noWrap w:val="0"/>
                  <w:vAlign w:val="center"/>
                </w:tcPr>
                <w:p w14:paraId="6B95C6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562A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03" w:type="pct"/>
                  <w:tcBorders>
                    <w:tl2br w:val="nil"/>
                    <w:tr2bl w:val="nil"/>
                  </w:tcBorders>
                  <w:noWrap w:val="0"/>
                  <w:vAlign w:val="center"/>
                </w:tcPr>
                <w:p w14:paraId="36C435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环保设备运行全覆盖。重点排污单位依法安装使用污染物排放自动监测设备，规范监测和运维，并依法公开排污信息。</w:t>
                  </w:r>
                </w:p>
              </w:tc>
              <w:tc>
                <w:tcPr>
                  <w:tcW w:w="1604" w:type="pct"/>
                  <w:tcBorders>
                    <w:tl2br w:val="nil"/>
                    <w:tr2bl w:val="nil"/>
                  </w:tcBorders>
                  <w:noWrap w:val="0"/>
                  <w:vAlign w:val="center"/>
                </w:tcPr>
                <w:p w14:paraId="3D56D489">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本环评要求企业按照环评要求建设环保设备，完善排污许可相关手续，并公开信息。</w:t>
                  </w:r>
                </w:p>
              </w:tc>
              <w:tc>
                <w:tcPr>
                  <w:tcW w:w="292" w:type="pct"/>
                  <w:tcBorders>
                    <w:tl2br w:val="nil"/>
                    <w:tr2bl w:val="nil"/>
                  </w:tcBorders>
                  <w:noWrap w:val="0"/>
                  <w:vAlign w:val="center"/>
                </w:tcPr>
                <w:p w14:paraId="0DA978E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bl>
          <w:p w14:paraId="69591C6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val="0"/>
                <w:bCs w:val="0"/>
                <w:color w:val="auto"/>
                <w:kern w:val="0"/>
                <w:sz w:val="24"/>
                <w:szCs w:val="24"/>
                <w:highlight w:val="none"/>
                <w:lang w:val="en-US" w:eastAsia="zh-CN"/>
              </w:rPr>
              <w:t>综上，本项目的建设符合《中共安徽省委、安徽省人民政府关于全面打造水清岸绿产业优美丽长江（安徽）经济带的实施意见（升级版）》（皖发</w:t>
            </w:r>
            <w:r>
              <w:rPr>
                <w:rFonts w:hint="eastAsia" w:cs="Times New Roman"/>
                <w:b w:val="0"/>
                <w:bCs w:val="0"/>
                <w:color w:val="auto"/>
                <w:kern w:val="0"/>
                <w:sz w:val="24"/>
                <w:szCs w:val="24"/>
                <w:highlight w:val="none"/>
                <w:lang w:val="en-US" w:eastAsia="zh-CN"/>
              </w:rPr>
              <w:t>〔2021〕19号</w:t>
            </w:r>
            <w:r>
              <w:rPr>
                <w:rFonts w:hint="eastAsia" w:ascii="Times New Roman" w:hAnsi="Times New Roman" w:eastAsia="宋体" w:cs="Times New Roman"/>
                <w:b w:val="0"/>
                <w:bCs w:val="0"/>
                <w:color w:val="auto"/>
                <w:kern w:val="0"/>
                <w:sz w:val="24"/>
                <w:szCs w:val="24"/>
                <w:highlight w:val="none"/>
                <w:lang w:val="en-US" w:eastAsia="zh-CN"/>
              </w:rPr>
              <w:t>）政策要求。</w:t>
            </w:r>
          </w:p>
          <w:p w14:paraId="7E77E38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6.</w:t>
            </w:r>
            <w:r>
              <w:rPr>
                <w:rFonts w:hint="eastAsia" w:ascii="Times New Roman" w:hAnsi="Times New Roman" w:eastAsia="宋体" w:cs="Times New Roman"/>
                <w:b/>
                <w:bCs/>
                <w:color w:val="auto"/>
                <w:kern w:val="2"/>
                <w:sz w:val="24"/>
                <w:szCs w:val="24"/>
                <w:lang w:val="en-US" w:eastAsia="zh-CN"/>
              </w:rPr>
              <w:t>与《安徽省2022年大气污染防治工作要点》（安环委办</w:t>
            </w:r>
            <w:r>
              <w:rPr>
                <w:rFonts w:hint="eastAsia" w:cs="Times New Roman"/>
                <w:b/>
                <w:bCs/>
                <w:color w:val="auto"/>
                <w:kern w:val="2"/>
                <w:sz w:val="24"/>
                <w:szCs w:val="24"/>
                <w:lang w:val="en-US" w:eastAsia="zh-CN"/>
              </w:rPr>
              <w:t>〔2022〕37号</w:t>
            </w:r>
            <w:r>
              <w:rPr>
                <w:rFonts w:hint="eastAsia" w:ascii="Times New Roman" w:hAnsi="Times New Roman" w:eastAsia="宋体" w:cs="Times New Roman"/>
                <w:b/>
                <w:bCs/>
                <w:color w:val="auto"/>
                <w:kern w:val="2"/>
                <w:sz w:val="24"/>
                <w:szCs w:val="24"/>
                <w:lang w:val="en-US" w:eastAsia="zh-CN"/>
              </w:rPr>
              <w:t>）符合性分析</w:t>
            </w:r>
          </w:p>
          <w:p w14:paraId="14826A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b/>
                <w:color w:val="auto"/>
                <w:sz w:val="24"/>
                <w:szCs w:val="24"/>
                <w:highlight w:val="none"/>
              </w:rPr>
            </w:pPr>
            <w:r>
              <w:rPr>
                <w:rFonts w:hint="eastAsia" w:ascii="Times New Roman" w:eastAsia="宋体"/>
                <w:b w:val="0"/>
                <w:bCs w:val="0"/>
                <w:color w:val="auto"/>
                <w:sz w:val="24"/>
                <w:szCs w:val="24"/>
                <w:highlight w:val="none"/>
                <w:lang w:val="en-US" w:eastAsia="zh-CN"/>
              </w:rPr>
              <w:t>本项目与《安徽省2022年大气污染防治工作要点》（安环委办</w:t>
            </w:r>
            <w:r>
              <w:rPr>
                <w:rFonts w:hint="eastAsia"/>
                <w:b w:val="0"/>
                <w:bCs w:val="0"/>
                <w:color w:val="auto"/>
                <w:sz w:val="24"/>
                <w:szCs w:val="24"/>
                <w:highlight w:val="none"/>
                <w:lang w:val="en-US" w:eastAsia="zh-CN"/>
              </w:rPr>
              <w:t>〔2022〕37号</w:t>
            </w:r>
            <w:r>
              <w:rPr>
                <w:rFonts w:hint="eastAsia" w:ascii="Times New Roman" w:eastAsia="宋体"/>
                <w:b w:val="0"/>
                <w:bCs w:val="0"/>
                <w:color w:val="auto"/>
                <w:sz w:val="24"/>
                <w:szCs w:val="24"/>
                <w:highlight w:val="none"/>
                <w:lang w:val="en-US" w:eastAsia="zh-CN"/>
              </w:rPr>
              <w:t>）的符合性分析情况，见下表：</w:t>
            </w:r>
          </w:p>
          <w:p w14:paraId="20CEF11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w:t>
            </w:r>
            <w:r>
              <w:rPr>
                <w:rFonts w:hint="eastAsia" w:ascii="Times New Roman" w:hAnsi="Times New Roman" w:eastAsia="宋体" w:cs="Times New Roman"/>
                <w:b/>
                <w:bCs/>
                <w:color w:val="auto"/>
                <w:kern w:val="2"/>
                <w:sz w:val="24"/>
                <w:szCs w:val="24"/>
                <w:lang w:val="en-US" w:eastAsia="zh-CN"/>
              </w:rPr>
              <w:t>1-4  与（安环委办</w:t>
            </w:r>
            <w:r>
              <w:rPr>
                <w:rFonts w:hint="eastAsia" w:cs="Times New Roman"/>
                <w:b/>
                <w:bCs/>
                <w:color w:val="auto"/>
                <w:kern w:val="2"/>
                <w:sz w:val="24"/>
                <w:szCs w:val="24"/>
                <w:lang w:val="en-US" w:eastAsia="zh-CN"/>
              </w:rPr>
              <w:t>〔2022〕37号</w:t>
            </w:r>
            <w:r>
              <w:rPr>
                <w:rFonts w:hint="eastAsia" w:ascii="Times New Roman" w:hAnsi="Times New Roman" w:eastAsia="宋体" w:cs="Times New Roman"/>
                <w:b/>
                <w:bCs/>
                <w:color w:val="auto"/>
                <w:kern w:val="2"/>
                <w:sz w:val="24"/>
                <w:szCs w:val="24"/>
                <w:lang w:val="en-US" w:eastAsia="zh-CN"/>
              </w:rPr>
              <w:t>）</w:t>
            </w:r>
            <w:r>
              <w:rPr>
                <w:rFonts w:hint="default" w:ascii="Times New Roman" w:hAnsi="Times New Roman" w:eastAsia="宋体" w:cs="Times New Roman"/>
                <w:b/>
                <w:bCs/>
                <w:color w:val="auto"/>
                <w:kern w:val="2"/>
                <w:sz w:val="24"/>
                <w:szCs w:val="24"/>
                <w:lang w:val="en-US" w:eastAsia="zh-CN"/>
              </w:rPr>
              <w:t>符合性分析一览表</w:t>
            </w:r>
          </w:p>
          <w:tbl>
            <w:tblPr>
              <w:tblStyle w:val="3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5276"/>
              <w:gridCol w:w="1044"/>
              <w:gridCol w:w="739"/>
            </w:tblGrid>
            <w:tr w14:paraId="02C8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3736" w:type="pct"/>
                  <w:tcBorders>
                    <w:tl2br w:val="nil"/>
                    <w:tr2bl w:val="nil"/>
                  </w:tcBorders>
                  <w:noWrap w:val="0"/>
                  <w:vAlign w:val="center"/>
                </w:tcPr>
                <w:p w14:paraId="43903EC8">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b/>
                      <w:color w:val="auto"/>
                      <w:sz w:val="21"/>
                      <w:szCs w:val="21"/>
                      <w:highlight w:val="none"/>
                    </w:rPr>
                  </w:pPr>
                  <w:r>
                    <w:rPr>
                      <w:rFonts w:hint="eastAsia" w:ascii="Times New Roman" w:hAnsi="Times New Roman"/>
                      <w:b/>
                      <w:color w:val="auto"/>
                      <w:sz w:val="21"/>
                      <w:szCs w:val="21"/>
                      <w:highlight w:val="none"/>
                    </w:rPr>
                    <w:t>安环委办</w:t>
                  </w:r>
                  <w:r>
                    <w:rPr>
                      <w:rFonts w:hint="eastAsia"/>
                      <w:b/>
                      <w:color w:val="auto"/>
                      <w:sz w:val="21"/>
                      <w:szCs w:val="21"/>
                      <w:highlight w:val="none"/>
                      <w:lang w:eastAsia="zh-CN"/>
                    </w:rPr>
                    <w:t>〔2022〕37号</w:t>
                  </w:r>
                </w:p>
              </w:tc>
              <w:tc>
                <w:tcPr>
                  <w:tcW w:w="740" w:type="pct"/>
                  <w:tcBorders>
                    <w:tl2br w:val="nil"/>
                    <w:tr2bl w:val="nil"/>
                  </w:tcBorders>
                  <w:noWrap w:val="0"/>
                  <w:vAlign w:val="center"/>
                </w:tcPr>
                <w:p w14:paraId="562707B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b/>
                      <w:color w:val="auto"/>
                      <w:sz w:val="21"/>
                      <w:szCs w:val="21"/>
                      <w:highlight w:val="none"/>
                      <w:lang w:eastAsia="zh-CN"/>
                    </w:rPr>
                  </w:pPr>
                  <w:r>
                    <w:rPr>
                      <w:rFonts w:hint="eastAsia" w:ascii="Times New Roman" w:hAnsi="Times New Roman"/>
                      <w:b/>
                      <w:color w:val="auto"/>
                      <w:sz w:val="21"/>
                      <w:szCs w:val="21"/>
                      <w:highlight w:val="none"/>
                      <w:lang w:eastAsia="zh-CN"/>
                    </w:rPr>
                    <w:t>本项目</w:t>
                  </w:r>
                  <w:r>
                    <w:rPr>
                      <w:rFonts w:hint="eastAsia" w:cs="Times New Roman"/>
                      <w:b/>
                      <w:bCs/>
                      <w:color w:val="auto"/>
                      <w:sz w:val="21"/>
                      <w:szCs w:val="21"/>
                      <w:highlight w:val="none"/>
                      <w:vertAlign w:val="baseline"/>
                      <w:lang w:val="en-US" w:eastAsia="zh-CN"/>
                    </w:rPr>
                    <w:t>情况</w:t>
                  </w:r>
                </w:p>
              </w:tc>
              <w:tc>
                <w:tcPr>
                  <w:tcW w:w="523" w:type="pct"/>
                  <w:tcBorders>
                    <w:tl2br w:val="nil"/>
                    <w:tr2bl w:val="nil"/>
                  </w:tcBorders>
                  <w:noWrap w:val="0"/>
                  <w:vAlign w:val="center"/>
                </w:tcPr>
                <w:p w14:paraId="535BD99A">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b/>
                      <w:color w:val="auto"/>
                      <w:sz w:val="21"/>
                      <w:szCs w:val="21"/>
                      <w:highlight w:val="none"/>
                    </w:rPr>
                  </w:pPr>
                  <w:r>
                    <w:rPr>
                      <w:rFonts w:ascii="Times New Roman" w:hAnsi="Times New Roman"/>
                      <w:b/>
                      <w:color w:val="auto"/>
                      <w:sz w:val="21"/>
                      <w:szCs w:val="21"/>
                      <w:highlight w:val="none"/>
                    </w:rPr>
                    <w:t>相符性</w:t>
                  </w:r>
                </w:p>
              </w:tc>
            </w:tr>
            <w:tr w14:paraId="397E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40" w:hRule="atLeast"/>
                <w:jc w:val="center"/>
              </w:trPr>
              <w:tc>
                <w:tcPr>
                  <w:tcW w:w="3736" w:type="pct"/>
                  <w:tcBorders>
                    <w:tl2br w:val="nil"/>
                    <w:tr2bl w:val="nil"/>
                  </w:tcBorders>
                  <w:noWrap w:val="0"/>
                  <w:vAlign w:val="center"/>
                </w:tcPr>
                <w:p w14:paraId="006FE8AD">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Times New Roman" w:hAnsi="Times New Roman"/>
                      <w:color w:val="auto"/>
                      <w:sz w:val="21"/>
                      <w:szCs w:val="21"/>
                      <w:highlight w:val="none"/>
                    </w:rPr>
                  </w:pPr>
                  <w:r>
                    <w:rPr>
                      <w:rFonts w:hint="eastAsia" w:ascii="Times New Roman" w:hAnsi="Times New Roman"/>
                      <w:b/>
                      <w:bCs/>
                      <w:color w:val="auto"/>
                      <w:sz w:val="21"/>
                      <w:szCs w:val="21"/>
                      <w:highlight w:val="none"/>
                      <w:lang w:val="en-US" w:eastAsia="zh-CN"/>
                    </w:rPr>
                    <w:t>积极发展清洁能源。</w:t>
                  </w:r>
                  <w:r>
                    <w:rPr>
                      <w:rFonts w:hint="eastAsia" w:ascii="Times New Roman" w:hAnsi="Times New Roman"/>
                      <w:b w:val="0"/>
                      <w:bCs w:val="0"/>
                      <w:color w:val="auto"/>
                      <w:sz w:val="21"/>
                      <w:szCs w:val="21"/>
                      <w:highlight w:val="none"/>
                      <w:lang w:val="en-US" w:eastAsia="zh-CN"/>
                    </w:rPr>
                    <w:t>坚持实施“增气减煤”，提升供应侧非化石能源比重，提高消费侧电力比重，增加天然气供应量、优化天然气使用，2022年底前，新增电能替代电量60亿千瓦时，天然气供气规模达76亿立方米。持续推进以煤为燃料的工业炉窑清洁燃料替代改造，提高以电代煤、以气代煤比例。推进现有机组实施清洁能源替代、功能转换，积极争取“外电入皖”。实施可再生能源替代行动，加快建设新型能源供应系统，因地制宜开发风电与光伏发电，鼓励建设风能、太阳能、生物质能等新能源项目，推进生物燃料乙醇项目改造提升。（省发展改革委、省能源局牵头，省经济和信息化厅、省生态环境厅、省市场监管局等参与）</w:t>
                  </w:r>
                </w:p>
              </w:tc>
              <w:tc>
                <w:tcPr>
                  <w:tcW w:w="740" w:type="pct"/>
                  <w:tcBorders>
                    <w:tl2br w:val="nil"/>
                    <w:tr2bl w:val="nil"/>
                  </w:tcBorders>
                  <w:noWrap w:val="0"/>
                  <w:vAlign w:val="center"/>
                </w:tcPr>
                <w:p w14:paraId="2DC77704">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本项目采用电加热，均使用清洁能源，不涉及煤的使用。</w:t>
                  </w:r>
                </w:p>
              </w:tc>
              <w:tc>
                <w:tcPr>
                  <w:tcW w:w="523" w:type="pct"/>
                  <w:tcBorders>
                    <w:tl2br w:val="nil"/>
                    <w:tr2bl w:val="nil"/>
                  </w:tcBorders>
                  <w:noWrap w:val="0"/>
                  <w:vAlign w:val="center"/>
                </w:tcPr>
                <w:p w14:paraId="7DC57DE6">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color w:val="auto"/>
                      <w:sz w:val="21"/>
                      <w:szCs w:val="21"/>
                      <w:highlight w:val="none"/>
                    </w:rPr>
                  </w:pPr>
                  <w:r>
                    <w:rPr>
                      <w:rFonts w:ascii="Times New Roman" w:hAnsi="Times New Roman"/>
                      <w:color w:val="auto"/>
                      <w:sz w:val="21"/>
                      <w:szCs w:val="21"/>
                      <w:highlight w:val="none"/>
                    </w:rPr>
                    <w:t>相符</w:t>
                  </w:r>
                </w:p>
              </w:tc>
            </w:tr>
          </w:tbl>
          <w:p w14:paraId="7E2B3FA0">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imes New Roman" w:hAnsi="Times New Roman" w:eastAsia="宋体" w:cs="Times New Roman"/>
                <w:b/>
                <w:bCs/>
                <w:color w:val="auto"/>
                <w:sz w:val="21"/>
                <w:szCs w:val="21"/>
                <w:highlight w:val="none"/>
                <w:lang w:val="en-US" w:eastAsia="zh-CN"/>
              </w:rPr>
            </w:pPr>
          </w:p>
          <w:p w14:paraId="741B954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val="0"/>
                <w:bCs w:val="0"/>
                <w:color w:val="auto"/>
                <w:kern w:val="0"/>
                <w:sz w:val="24"/>
                <w:szCs w:val="24"/>
                <w:highlight w:val="none"/>
                <w:lang w:val="en-US" w:eastAsia="zh-CN"/>
              </w:rPr>
              <w:t>综上，本项目的建设符合</w:t>
            </w:r>
            <w:r>
              <w:rPr>
                <w:rFonts w:hint="eastAsia" w:ascii="Times New Roman" w:hAnsi="Times New Roman"/>
                <w:b w:val="0"/>
                <w:bCs w:val="0"/>
                <w:color w:val="auto"/>
                <w:sz w:val="24"/>
                <w:szCs w:val="24"/>
                <w:highlight w:val="none"/>
                <w:lang w:val="en-US" w:eastAsia="zh-CN"/>
              </w:rPr>
              <w:t>《安徽省2022年大气污染防治工作要点》（安环委办</w:t>
            </w:r>
            <w:r>
              <w:rPr>
                <w:rFonts w:hint="eastAsia"/>
                <w:b w:val="0"/>
                <w:bCs w:val="0"/>
                <w:color w:val="auto"/>
                <w:sz w:val="24"/>
                <w:szCs w:val="24"/>
                <w:highlight w:val="none"/>
                <w:lang w:val="en-US" w:eastAsia="zh-CN"/>
              </w:rPr>
              <w:t>〔2022〕37号</w:t>
            </w:r>
            <w:r>
              <w:rPr>
                <w:rFonts w:hint="eastAsia" w:ascii="Times New Roman" w:hAnsi="Times New Roman"/>
                <w:b w:val="0"/>
                <w:bCs w:val="0"/>
                <w:color w:val="auto"/>
                <w:sz w:val="24"/>
                <w:szCs w:val="24"/>
                <w:highlight w:val="none"/>
                <w:lang w:val="en-US" w:eastAsia="zh-CN"/>
              </w:rPr>
              <w:t>）</w:t>
            </w:r>
            <w:r>
              <w:rPr>
                <w:rFonts w:hint="eastAsia" w:ascii="Times New Roman" w:hAnsi="Times New Roman" w:eastAsia="宋体" w:cs="Times New Roman"/>
                <w:b w:val="0"/>
                <w:bCs w:val="0"/>
                <w:color w:val="auto"/>
                <w:kern w:val="0"/>
                <w:sz w:val="24"/>
                <w:szCs w:val="24"/>
                <w:highlight w:val="none"/>
                <w:lang w:val="en-US" w:eastAsia="zh-CN"/>
              </w:rPr>
              <w:t>政策要求。</w:t>
            </w:r>
          </w:p>
          <w:p w14:paraId="63964AD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7.</w:t>
            </w:r>
            <w:r>
              <w:rPr>
                <w:rFonts w:hint="eastAsia" w:ascii="Times New Roman" w:hAnsi="Times New Roman" w:eastAsia="宋体" w:cs="Times New Roman"/>
                <w:b/>
                <w:bCs/>
                <w:color w:val="auto"/>
                <w:kern w:val="2"/>
                <w:sz w:val="24"/>
                <w:szCs w:val="24"/>
                <w:lang w:val="en-US" w:eastAsia="zh-CN"/>
              </w:rPr>
              <w:t>与</w:t>
            </w:r>
            <w:r>
              <w:rPr>
                <w:rFonts w:hint="default" w:ascii="Times New Roman" w:hAnsi="Times New Roman" w:eastAsia="宋体"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安徽省“十四五”生态环境保护规划</w:t>
            </w:r>
            <w:r>
              <w:rPr>
                <w:rFonts w:hint="default" w:ascii="Times New Roman" w:hAnsi="Times New Roman" w:eastAsia="宋体"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皖环发</w:t>
            </w:r>
            <w:r>
              <w:rPr>
                <w:rFonts w:hint="eastAsia" w:cs="Times New Roman"/>
                <w:b/>
                <w:bCs/>
                <w:color w:val="auto"/>
                <w:kern w:val="2"/>
                <w:sz w:val="24"/>
                <w:szCs w:val="24"/>
                <w:lang w:val="en-US" w:eastAsia="zh-CN"/>
              </w:rPr>
              <w:t>〔2022〕12号</w:t>
            </w:r>
            <w:r>
              <w:rPr>
                <w:rFonts w:hint="default" w:ascii="Times New Roman" w:hAnsi="Times New Roman" w:eastAsia="宋体"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的符合性</w:t>
            </w:r>
            <w:r>
              <w:rPr>
                <w:rFonts w:hint="default" w:ascii="Times New Roman" w:hAnsi="Times New Roman" w:eastAsia="宋体" w:cs="Times New Roman"/>
                <w:b/>
                <w:bCs/>
                <w:color w:val="auto"/>
                <w:kern w:val="2"/>
                <w:sz w:val="24"/>
                <w:szCs w:val="24"/>
                <w:lang w:val="en-US" w:eastAsia="zh-CN"/>
              </w:rPr>
              <w:t>分析</w:t>
            </w:r>
          </w:p>
          <w:p w14:paraId="4AAAEC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cs="Times New Roman"/>
                <w:b/>
                <w:bCs/>
                <w:color w:val="auto"/>
                <w:sz w:val="24"/>
                <w:szCs w:val="32"/>
                <w:highlight w:val="none"/>
                <w:lang w:val="en-US" w:eastAsia="zh-CN"/>
              </w:rPr>
            </w:pPr>
            <w:r>
              <w:rPr>
                <w:rFonts w:hint="eastAsia" w:ascii="Times New Roman" w:eastAsia="宋体"/>
                <w:b w:val="0"/>
                <w:bCs w:val="0"/>
                <w:color w:val="auto"/>
                <w:sz w:val="24"/>
                <w:szCs w:val="24"/>
                <w:highlight w:val="none"/>
                <w:lang w:val="en-US" w:eastAsia="zh-CN"/>
              </w:rPr>
              <w:t>本项目与《</w:t>
            </w:r>
            <w:r>
              <w:rPr>
                <w:rFonts w:hint="eastAsia"/>
                <w:b w:val="0"/>
                <w:bCs w:val="0"/>
                <w:color w:val="auto"/>
                <w:sz w:val="24"/>
                <w:szCs w:val="24"/>
                <w:highlight w:val="none"/>
                <w:lang w:val="en-US" w:eastAsia="zh-CN"/>
              </w:rPr>
              <w:t>安徽省</w:t>
            </w:r>
            <w:r>
              <w:rPr>
                <w:rFonts w:hint="eastAsia" w:ascii="Times New Roman" w:eastAsia="宋体"/>
                <w:b w:val="0"/>
                <w:bCs w:val="0"/>
                <w:color w:val="auto"/>
                <w:sz w:val="24"/>
                <w:szCs w:val="24"/>
                <w:highlight w:val="none"/>
                <w:lang w:val="en-US" w:eastAsia="zh-CN"/>
              </w:rPr>
              <w:t>“十四五”生态环境保护规划》（皖环发</w:t>
            </w:r>
            <w:r>
              <w:rPr>
                <w:rFonts w:hint="eastAsia"/>
                <w:b w:val="0"/>
                <w:bCs w:val="0"/>
                <w:color w:val="auto"/>
                <w:sz w:val="24"/>
                <w:szCs w:val="24"/>
                <w:highlight w:val="none"/>
                <w:lang w:val="en-US" w:eastAsia="zh-CN"/>
              </w:rPr>
              <w:t>〔2022〕12号</w:t>
            </w:r>
            <w:r>
              <w:rPr>
                <w:rFonts w:hint="eastAsia" w:ascii="Times New Roman" w:eastAsia="宋体"/>
                <w:b w:val="0"/>
                <w:bCs w:val="0"/>
                <w:color w:val="auto"/>
                <w:sz w:val="24"/>
                <w:szCs w:val="24"/>
                <w:highlight w:val="none"/>
                <w:lang w:val="en-US" w:eastAsia="zh-CN"/>
              </w:rPr>
              <w:t>）的符合性分析情况，见下表：</w:t>
            </w:r>
          </w:p>
          <w:p w14:paraId="52EAC1F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表1-</w:t>
            </w:r>
            <w:r>
              <w:rPr>
                <w:rFonts w:hint="eastAsia" w:ascii="Times New Roman" w:hAnsi="Times New Roman" w:eastAsia="宋体" w:cs="Times New Roman"/>
                <w:b/>
                <w:bCs/>
                <w:color w:val="auto"/>
                <w:kern w:val="2"/>
                <w:sz w:val="24"/>
                <w:szCs w:val="24"/>
                <w:lang w:val="en-US" w:eastAsia="zh-CN"/>
              </w:rPr>
              <w:t>5</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与（皖环发</w:t>
            </w:r>
            <w:r>
              <w:rPr>
                <w:rFonts w:hint="eastAsia" w:cs="Times New Roman"/>
                <w:b/>
                <w:bCs/>
                <w:color w:val="auto"/>
                <w:kern w:val="2"/>
                <w:sz w:val="24"/>
                <w:szCs w:val="24"/>
                <w:lang w:val="en-US" w:eastAsia="zh-CN"/>
              </w:rPr>
              <w:t>〔2022〕12号</w:t>
            </w:r>
            <w:r>
              <w:rPr>
                <w:rFonts w:hint="eastAsia" w:ascii="Times New Roman" w:hAnsi="Times New Roman" w:eastAsia="宋体" w:cs="Times New Roman"/>
                <w:b/>
                <w:bCs/>
                <w:color w:val="auto"/>
                <w:kern w:val="2"/>
                <w:sz w:val="24"/>
                <w:szCs w:val="24"/>
                <w:lang w:val="en-US" w:eastAsia="zh-CN"/>
              </w:rPr>
              <w:t>）符合性分析</w:t>
            </w:r>
            <w:r>
              <w:rPr>
                <w:rFonts w:hint="default" w:ascii="Times New Roman" w:hAnsi="Times New Roman" w:eastAsia="宋体" w:cs="Times New Roman"/>
                <w:b/>
                <w:bCs/>
                <w:color w:val="auto"/>
                <w:kern w:val="2"/>
                <w:sz w:val="24"/>
                <w:szCs w:val="24"/>
                <w:lang w:val="en-US" w:eastAsia="zh-CN"/>
              </w:rPr>
              <w:t>对照一览表</w:t>
            </w:r>
          </w:p>
          <w:tbl>
            <w:tblPr>
              <w:tblStyle w:val="3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3"/>
              <w:gridCol w:w="1773"/>
              <w:gridCol w:w="383"/>
            </w:tblGrid>
            <w:tr w14:paraId="24E5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72" w:type="pct"/>
                  <w:noWrap w:val="0"/>
                  <w:vAlign w:val="center"/>
                </w:tcPr>
                <w:p w14:paraId="32629013">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4"/>
                      <w:highlight w:val="none"/>
                      <w:lang w:val="en-US" w:eastAsia="zh-CN"/>
                    </w:rPr>
                    <w:t>皖环发</w:t>
                  </w:r>
                  <w:r>
                    <w:rPr>
                      <w:rFonts w:hint="eastAsia" w:cs="Times New Roman"/>
                      <w:b/>
                      <w:bCs/>
                      <w:color w:val="auto"/>
                      <w:sz w:val="21"/>
                      <w:szCs w:val="24"/>
                      <w:highlight w:val="none"/>
                      <w:lang w:val="en-US" w:eastAsia="zh-CN"/>
                    </w:rPr>
                    <w:t>〔2022〕12号</w:t>
                  </w:r>
                </w:p>
              </w:tc>
              <w:tc>
                <w:tcPr>
                  <w:tcW w:w="1255" w:type="pct"/>
                  <w:noWrap w:val="0"/>
                  <w:vAlign w:val="center"/>
                </w:tcPr>
                <w:p w14:paraId="7B9E261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vertAlign w:val="baseline"/>
                      <w:lang w:val="en-US" w:eastAsia="zh-CN"/>
                    </w:rPr>
                    <w:t>本项目情况</w:t>
                  </w:r>
                </w:p>
              </w:tc>
              <w:tc>
                <w:tcPr>
                  <w:tcW w:w="271" w:type="pct"/>
                  <w:noWrap w:val="0"/>
                  <w:vAlign w:val="center"/>
                </w:tcPr>
                <w:p w14:paraId="53581824">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符合性</w:t>
                  </w:r>
                </w:p>
              </w:tc>
            </w:tr>
            <w:tr w14:paraId="2524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pct"/>
                  <w:noWrap w:val="0"/>
                  <w:vAlign w:val="center"/>
                </w:tcPr>
                <w:p w14:paraId="67FAE49B">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严</w:t>
                  </w:r>
                  <w:r>
                    <w:rPr>
                      <w:rFonts w:hint="eastAsia" w:ascii="宋体" w:hAnsi="宋体" w:eastAsia="宋体" w:cs="宋体"/>
                      <w:b w:val="0"/>
                      <w:bCs w:val="0"/>
                      <w:color w:val="auto"/>
                      <w:sz w:val="21"/>
                      <w:szCs w:val="21"/>
                      <w:highlight w:val="none"/>
                      <w:vertAlign w:val="baseline"/>
                      <w:lang w:val="en-US" w:eastAsia="zh-CN"/>
                    </w:rPr>
                    <w:t>控“两高”行业盲目发展。严格环境准入，坚决遏制高耗能、高排放即“两高”行业盲目发展。严格落实国家产业规划、产业政策、“三线一单”、规划环评，以及产能置换、煤炭消费减量替代、区域污染物削减等要求，坚决叫停不符合要求的“两高”项目。严禁新增钢铁、焦化、电解铝、铸造、水泥和平板玻璃等产能，严格执行钢铁、水泥、平板玻璃等行业产能置换实施办法，严控污染物排放总量。严格控制涉工业炉窑建设项目，原则上禁止新建燃料类煤气发生炉（园区现有企业统一建设的清洁煤制气中心除外）</w:t>
                  </w:r>
                  <w:r>
                    <w:rPr>
                      <w:rFonts w:hint="default" w:ascii="Times New Roman" w:hAnsi="Times New Roman" w:eastAsia="宋体" w:cs="Times New Roman"/>
                      <w:b w:val="0"/>
                      <w:bCs w:val="0"/>
                      <w:color w:val="auto"/>
                      <w:sz w:val="21"/>
                      <w:szCs w:val="21"/>
                      <w:highlight w:val="none"/>
                      <w:vertAlign w:val="baseline"/>
                      <w:lang w:val="en-US" w:eastAsia="zh-CN"/>
                    </w:rPr>
                    <w:t>。严格限制高VOCs排放化工类建设项目，禁止建设生产VOCs含量限值不符合国家标准的涂料、油墨、胶粘剂、清洗剂等项目。</w:t>
                  </w:r>
                </w:p>
              </w:tc>
              <w:tc>
                <w:tcPr>
                  <w:tcW w:w="1255" w:type="pct"/>
                  <w:noWrap w:val="0"/>
                  <w:vAlign w:val="center"/>
                </w:tcPr>
                <w:p w14:paraId="5B65F04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本项目</w:t>
                  </w:r>
                  <w:r>
                    <w:rPr>
                      <w:rFonts w:hint="eastAsia" w:ascii="Times New Roman" w:hAnsi="Times New Roman" w:cs="Times New Roman"/>
                      <w:b w:val="0"/>
                      <w:bCs w:val="0"/>
                      <w:color w:val="auto"/>
                      <w:sz w:val="21"/>
                      <w:szCs w:val="21"/>
                      <w:highlight w:val="none"/>
                      <w:vertAlign w:val="baseline"/>
                      <w:lang w:val="en-US" w:eastAsia="zh-CN"/>
                    </w:rPr>
                    <w:t>属于</w:t>
                  </w:r>
                  <w:r>
                    <w:rPr>
                      <w:rFonts w:hint="eastAsia" w:ascii="Times New Roman" w:hAnsi="Times New Roman" w:eastAsia="宋体" w:cs="Times New Roman"/>
                      <w:color w:val="auto"/>
                      <w:sz w:val="21"/>
                      <w:szCs w:val="21"/>
                      <w:highlight w:val="none"/>
                      <w:vertAlign w:val="baseline"/>
                      <w:lang w:val="en-US" w:eastAsia="zh-CN"/>
                    </w:rPr>
                    <w:t>黑色</w:t>
                  </w:r>
                  <w:r>
                    <w:rPr>
                      <w:rFonts w:hint="default" w:ascii="Times New Roman" w:hAnsi="Times New Roman" w:eastAsia="宋体" w:cs="Times New Roman"/>
                      <w:color w:val="auto"/>
                      <w:sz w:val="21"/>
                      <w:szCs w:val="21"/>
                      <w:highlight w:val="none"/>
                      <w:vertAlign w:val="baseline"/>
                      <w:lang w:val="en-US" w:eastAsia="zh-CN"/>
                    </w:rPr>
                    <w:t>金属铸造</w:t>
                  </w:r>
                  <w:r>
                    <w:rPr>
                      <w:rFonts w:hint="eastAsia" w:ascii="Times New Roman" w:hAnsi="Times New Roman" w:eastAsia="宋体" w:cs="Times New Roman"/>
                      <w:color w:val="auto"/>
                      <w:sz w:val="21"/>
                      <w:szCs w:val="21"/>
                      <w:highlight w:val="none"/>
                      <w:vertAlign w:val="baseline"/>
                      <w:lang w:val="en-US" w:eastAsia="zh-CN"/>
                    </w:rPr>
                    <w:t>[C3391]</w:t>
                  </w:r>
                  <w:r>
                    <w:rPr>
                      <w:rFonts w:hint="eastAsia" w:ascii="Times New Roman" w:hAnsi="Times New Roman" w:cs="Times New Roman"/>
                      <w:b w:val="0"/>
                      <w:bCs w:val="0"/>
                      <w:color w:val="auto"/>
                      <w:sz w:val="21"/>
                      <w:szCs w:val="21"/>
                      <w:highlight w:val="none"/>
                      <w:vertAlign w:val="baseline"/>
                      <w:lang w:val="en-US" w:eastAsia="zh-CN"/>
                    </w:rPr>
                    <w:t>，不涉及两高产业。项目主要能源为电能</w:t>
                  </w:r>
                </w:p>
              </w:tc>
              <w:tc>
                <w:tcPr>
                  <w:tcW w:w="271" w:type="pct"/>
                  <w:noWrap w:val="0"/>
                  <w:vAlign w:val="center"/>
                </w:tcPr>
                <w:p w14:paraId="468DD4A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符合</w:t>
                  </w:r>
                </w:p>
              </w:tc>
            </w:tr>
            <w:tr w14:paraId="67E3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pct"/>
                  <w:noWrap w:val="0"/>
                  <w:vAlign w:val="center"/>
                </w:tcPr>
                <w:p w14:paraId="488D889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产业布局优化调整。皖北地区以建材、煤炭、砖瓦等行业为重点，合肥、芜湖、滁州、铜陵、池州等市以水泥、装备制造等行业为重点，优化产业布局。加强汽车及零部件、新能源汽车、基础装备及关键基础件、农业装备、物流设备及工程机械、节能环保装备、航空修理及配套设备、造船及船舶配套设备等产业集群建设，引导园区合理分工、突出优势、错位发展。</w:t>
                  </w:r>
                </w:p>
              </w:tc>
              <w:tc>
                <w:tcPr>
                  <w:tcW w:w="1255" w:type="pct"/>
                  <w:noWrap w:val="0"/>
                  <w:vAlign w:val="center"/>
                </w:tcPr>
                <w:p w14:paraId="426C6088">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本项目主要为</w:t>
                  </w:r>
                  <w:r>
                    <w:rPr>
                      <w:rFonts w:hint="eastAsia" w:ascii="Times New Roman" w:hAnsi="Times New Roman" w:eastAsia="宋体" w:cs="Times New Roman"/>
                      <w:color w:val="auto"/>
                      <w:sz w:val="21"/>
                      <w:szCs w:val="21"/>
                      <w:highlight w:val="none"/>
                      <w:vertAlign w:val="baseline"/>
                      <w:lang w:val="en-US" w:eastAsia="zh-CN"/>
                    </w:rPr>
                    <w:t>黑色金属铸造[C3391]</w:t>
                  </w:r>
                  <w:r>
                    <w:rPr>
                      <w:rFonts w:hint="eastAsia" w:ascii="Times New Roman" w:hAnsi="Times New Roman" w:cs="Times New Roman"/>
                      <w:b w:val="0"/>
                      <w:bCs w:val="0"/>
                      <w:color w:val="auto"/>
                      <w:sz w:val="21"/>
                      <w:szCs w:val="21"/>
                      <w:highlight w:val="none"/>
                      <w:vertAlign w:val="baseline"/>
                      <w:lang w:val="en-US" w:eastAsia="zh-CN"/>
                    </w:rPr>
                    <w:t>，主要产品为“精密阀门、工程机械配件、汽车零部件等铸件”，符合</w:t>
                  </w:r>
                  <w:r>
                    <w:rPr>
                      <w:rFonts w:hint="eastAsia" w:cs="Times New Roman"/>
                      <w:b w:val="0"/>
                      <w:bCs w:val="0"/>
                      <w:color w:val="auto"/>
                      <w:sz w:val="21"/>
                      <w:szCs w:val="21"/>
                      <w:highlight w:val="none"/>
                      <w:vertAlign w:val="baseline"/>
                      <w:lang w:val="en-US" w:eastAsia="zh-CN"/>
                    </w:rPr>
                    <w:t>青阳县新河镇镁铝及机电装备制造产业集聚区</w:t>
                  </w:r>
                  <w:r>
                    <w:rPr>
                      <w:rFonts w:hint="eastAsia" w:ascii="Times New Roman" w:hAnsi="Times New Roman" w:cs="Times New Roman"/>
                      <w:b w:val="0"/>
                      <w:bCs w:val="0"/>
                      <w:color w:val="auto"/>
                      <w:sz w:val="21"/>
                      <w:szCs w:val="21"/>
                      <w:highlight w:val="none"/>
                      <w:vertAlign w:val="baseline"/>
                      <w:lang w:val="en-US" w:eastAsia="zh-CN"/>
                    </w:rPr>
                    <w:t>主导产业规划。</w:t>
                  </w:r>
                </w:p>
              </w:tc>
              <w:tc>
                <w:tcPr>
                  <w:tcW w:w="271" w:type="pct"/>
                  <w:noWrap w:val="0"/>
                  <w:vAlign w:val="center"/>
                </w:tcPr>
                <w:p w14:paraId="4F34F8A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符合</w:t>
                  </w:r>
                </w:p>
              </w:tc>
            </w:tr>
            <w:tr w14:paraId="6D3B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pct"/>
                  <w:noWrap w:val="0"/>
                  <w:vAlign w:val="center"/>
                </w:tcPr>
                <w:p w14:paraId="3C7B22D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强化末端治理。加强挥发性有机物污染防治精细化管理，针对石化、化工、包装印刷、工业涂装等重点行业建立完善源头削减、过程控制和末端治理的VOCs全过程控制体系，实施VOCs排放总量控制。推动皖北地区胶合板、家具制造等产业集群升级改造，鼓励有机溶剂、涂料、油墨等行业生产低挥发性的有机原料，逐步实现原辅材料替代升级，减少原料中VOCs含量；推进开发区、企业集群因地制宜推广建设涉VOCs</w:t>
                  </w:r>
                  <w:r>
                    <w:rPr>
                      <w:rFonts w:hint="eastAsia" w:ascii="宋体" w:hAnsi="宋体" w:eastAsia="宋体" w:cs="宋体"/>
                      <w:b w:val="0"/>
                      <w:bCs w:val="0"/>
                      <w:color w:val="auto"/>
                      <w:sz w:val="21"/>
                      <w:szCs w:val="21"/>
                      <w:highlight w:val="none"/>
                      <w:vertAlign w:val="baseline"/>
                      <w:lang w:val="en-US" w:eastAsia="zh-CN"/>
                    </w:rPr>
                    <w:t>“绿岛”项目</w:t>
                  </w:r>
                  <w:r>
                    <w:rPr>
                      <w:rFonts w:hint="default" w:ascii="Times New Roman" w:hAnsi="Times New Roman" w:eastAsia="宋体" w:cs="Times New Roman"/>
                      <w:b w:val="0"/>
                      <w:bCs w:val="0"/>
                      <w:color w:val="auto"/>
                      <w:sz w:val="21"/>
                      <w:szCs w:val="21"/>
                      <w:highlight w:val="none"/>
                      <w:vertAlign w:val="baseline"/>
                      <w:lang w:val="en-US" w:eastAsia="zh-CN"/>
                    </w:rPr>
                    <w:t>，推动涂装类统筹规划建设集中涂装中心，活性炭使用量大的统筹建设活性炭集中处理中心，有机溶剂使用量大的建设溶剂回收中心。</w:t>
                  </w:r>
                </w:p>
              </w:tc>
              <w:tc>
                <w:tcPr>
                  <w:tcW w:w="1255" w:type="pct"/>
                  <w:noWrap w:val="0"/>
                  <w:vAlign w:val="center"/>
                </w:tcPr>
                <w:p w14:paraId="3E8FAA3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本项目挥发性有机物主要为射芯、浇铸工序产生，经布袋除尘+二级活性炭装置处理达标后有组织排放。</w:t>
                  </w:r>
                </w:p>
              </w:tc>
              <w:tc>
                <w:tcPr>
                  <w:tcW w:w="271" w:type="pct"/>
                  <w:noWrap w:val="0"/>
                  <w:vAlign w:val="center"/>
                </w:tcPr>
                <w:p w14:paraId="1E4F3AE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符合</w:t>
                  </w:r>
                </w:p>
              </w:tc>
            </w:tr>
            <w:tr w14:paraId="26D4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pct"/>
                  <w:noWrap w:val="0"/>
                  <w:vAlign w:val="center"/>
                </w:tcPr>
                <w:p w14:paraId="2B2F3450">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提升大气环境监测能力。建立固定源、移动源、面源精细化排放清单动态更新管理制度；加强PM</w:t>
                  </w:r>
                  <w:r>
                    <w:rPr>
                      <w:rFonts w:hint="default" w:ascii="Times New Roman" w:hAnsi="Times New Roman" w:eastAsia="宋体" w:cs="Times New Roman"/>
                      <w:b w:val="0"/>
                      <w:bCs w:val="0"/>
                      <w:color w:val="auto"/>
                      <w:sz w:val="21"/>
                      <w:szCs w:val="21"/>
                      <w:highlight w:val="none"/>
                      <w:vertAlign w:val="subscript"/>
                      <w:lang w:val="en-US" w:eastAsia="zh-CN"/>
                    </w:rPr>
                    <w:t>2.5</w:t>
                  </w:r>
                  <w:r>
                    <w:rPr>
                      <w:rFonts w:hint="default" w:ascii="Times New Roman" w:hAnsi="Times New Roman" w:eastAsia="宋体" w:cs="Times New Roman"/>
                      <w:b w:val="0"/>
                      <w:bCs w:val="0"/>
                      <w:color w:val="auto"/>
                      <w:sz w:val="21"/>
                      <w:szCs w:val="21"/>
                      <w:highlight w:val="none"/>
                      <w:vertAlign w:val="baseline"/>
                      <w:lang w:val="en-US" w:eastAsia="zh-CN"/>
                    </w:rPr>
                    <w:t>与O</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协同控制研究，加快推进光化学监测网建设，开展VOCs例行监测，加强开发区、重点污染源VOCs排放监督性监测，构建全省重点地区O</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污染类型（VOCs控制型/NOx控制型）区域划分；推进PM</w:t>
                  </w:r>
                  <w:r>
                    <w:rPr>
                      <w:rFonts w:hint="default" w:ascii="Times New Roman" w:hAnsi="Times New Roman" w:eastAsia="宋体" w:cs="Times New Roman"/>
                      <w:b w:val="0"/>
                      <w:bCs w:val="0"/>
                      <w:color w:val="auto"/>
                      <w:sz w:val="21"/>
                      <w:szCs w:val="21"/>
                      <w:highlight w:val="none"/>
                      <w:vertAlign w:val="subscript"/>
                      <w:lang w:val="en-US" w:eastAsia="zh-CN"/>
                    </w:rPr>
                    <w:t>2.5</w:t>
                  </w:r>
                  <w:r>
                    <w:rPr>
                      <w:rFonts w:hint="default" w:ascii="Times New Roman" w:hAnsi="Times New Roman" w:eastAsia="宋体" w:cs="Times New Roman"/>
                      <w:b w:val="0"/>
                      <w:bCs w:val="0"/>
                      <w:color w:val="auto"/>
                      <w:sz w:val="21"/>
                      <w:szCs w:val="21"/>
                      <w:highlight w:val="none"/>
                      <w:vertAlign w:val="baseline"/>
                      <w:lang w:val="en-US" w:eastAsia="zh-CN"/>
                    </w:rPr>
                    <w:t>和O</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污染协同治理；强化NOx和VOCs排放重点行业、领域治理</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255" w:type="pct"/>
                  <w:noWrap w:val="0"/>
                  <w:vAlign w:val="center"/>
                </w:tcPr>
                <w:p w14:paraId="5DD07CE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项目建成后根据《排污单位自行监测技术指南总则</w:t>
                  </w:r>
                  <w:r>
                    <w:rPr>
                      <w:rFonts w:hint="eastAsia" w:cs="Times New Roman"/>
                      <w:b w:val="0"/>
                      <w:bCs w:val="0"/>
                      <w:color w:val="auto"/>
                      <w:sz w:val="21"/>
                      <w:szCs w:val="21"/>
                      <w:highlight w:val="none"/>
                      <w:vertAlign w:val="baseline"/>
                      <w:lang w:val="en-US" w:eastAsia="zh-CN"/>
                    </w:rPr>
                    <w:t>》《</w:t>
                  </w:r>
                  <w:r>
                    <w:rPr>
                      <w:rFonts w:hint="eastAsia" w:ascii="Times New Roman" w:hAnsi="Times New Roman" w:cs="Times New Roman"/>
                      <w:b w:val="0"/>
                      <w:bCs w:val="0"/>
                      <w:color w:val="auto"/>
                      <w:sz w:val="21"/>
                      <w:szCs w:val="21"/>
                      <w:highlight w:val="none"/>
                      <w:vertAlign w:val="baseline"/>
                      <w:lang w:val="en-US" w:eastAsia="zh-CN"/>
                    </w:rPr>
                    <w:t>排污许可证申请与核发技术规范 金属铸造工业》中自行监测要求完善监测方案的编制和跟踪监测。</w:t>
                  </w:r>
                </w:p>
              </w:tc>
              <w:tc>
                <w:tcPr>
                  <w:tcW w:w="271" w:type="pct"/>
                  <w:noWrap w:val="0"/>
                  <w:vAlign w:val="center"/>
                </w:tcPr>
                <w:p w14:paraId="29C6A12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符合</w:t>
                  </w:r>
                </w:p>
              </w:tc>
            </w:tr>
          </w:tbl>
          <w:p w14:paraId="3178F2E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b w:val="0"/>
                <w:bCs w:val="0"/>
                <w:color w:val="auto"/>
                <w:sz w:val="21"/>
                <w:szCs w:val="21"/>
                <w:highlight w:val="none"/>
                <w:vertAlign w:val="baseline"/>
                <w:lang w:val="en-US" w:eastAsia="zh-CN"/>
              </w:rPr>
            </w:pPr>
          </w:p>
          <w:p w14:paraId="13CB4CB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kern w:val="0"/>
                <w:sz w:val="24"/>
                <w:szCs w:val="24"/>
                <w:highlight w:val="none"/>
                <w:lang w:val="en-US" w:eastAsia="zh-CN"/>
              </w:rPr>
            </w:pPr>
            <w:r>
              <w:rPr>
                <w:rFonts w:hint="eastAsia" w:ascii="Times New Roman" w:hAnsi="Times New Roman" w:eastAsia="宋体" w:cs="Times New Roman"/>
                <w:b w:val="0"/>
                <w:bCs w:val="0"/>
                <w:color w:val="auto"/>
                <w:kern w:val="0"/>
                <w:sz w:val="24"/>
                <w:szCs w:val="24"/>
                <w:highlight w:val="none"/>
                <w:lang w:val="en-US" w:eastAsia="zh-CN"/>
              </w:rPr>
              <w:t>综上，本项目的建设符合《</w:t>
            </w:r>
            <w:r>
              <w:rPr>
                <w:rFonts w:hint="eastAsia" w:cs="Times New Roman"/>
                <w:b w:val="0"/>
                <w:bCs w:val="0"/>
                <w:color w:val="auto"/>
                <w:kern w:val="0"/>
                <w:sz w:val="24"/>
                <w:szCs w:val="24"/>
                <w:highlight w:val="none"/>
                <w:lang w:val="en-US" w:eastAsia="zh-CN"/>
              </w:rPr>
              <w:t>安徽省</w:t>
            </w:r>
            <w:r>
              <w:rPr>
                <w:rFonts w:hint="eastAsia" w:ascii="Times New Roman" w:hAnsi="Times New Roman" w:eastAsia="宋体" w:cs="Times New Roman"/>
                <w:b w:val="0"/>
                <w:bCs w:val="0"/>
                <w:color w:val="auto"/>
                <w:kern w:val="0"/>
                <w:sz w:val="24"/>
                <w:szCs w:val="24"/>
                <w:highlight w:val="none"/>
                <w:lang w:val="en-US" w:eastAsia="zh-CN"/>
              </w:rPr>
              <w:t>“十四五”生态环境保护规划》（皖环发</w:t>
            </w:r>
            <w:r>
              <w:rPr>
                <w:rFonts w:hint="eastAsia" w:cs="Times New Roman"/>
                <w:b w:val="0"/>
                <w:bCs w:val="0"/>
                <w:color w:val="auto"/>
                <w:kern w:val="0"/>
                <w:sz w:val="24"/>
                <w:szCs w:val="24"/>
                <w:highlight w:val="none"/>
                <w:lang w:val="en-US" w:eastAsia="zh-CN"/>
              </w:rPr>
              <w:t>〔2022〕12号</w:t>
            </w:r>
            <w:r>
              <w:rPr>
                <w:rFonts w:hint="eastAsia" w:ascii="Times New Roman" w:hAnsi="Times New Roman" w:eastAsia="宋体" w:cs="Times New Roman"/>
                <w:b w:val="0"/>
                <w:bCs w:val="0"/>
                <w:color w:val="auto"/>
                <w:kern w:val="0"/>
                <w:sz w:val="24"/>
                <w:szCs w:val="24"/>
                <w:highlight w:val="none"/>
                <w:lang w:val="en-US" w:eastAsia="zh-CN"/>
              </w:rPr>
              <w:t>）政策要求。</w:t>
            </w:r>
          </w:p>
          <w:p w14:paraId="7FE384F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8.</w:t>
            </w:r>
            <w:r>
              <w:rPr>
                <w:rFonts w:hint="eastAsia" w:ascii="Times New Roman" w:hAnsi="Times New Roman" w:eastAsia="宋体" w:cs="Times New Roman"/>
                <w:b/>
                <w:bCs/>
                <w:color w:val="auto"/>
                <w:kern w:val="2"/>
                <w:sz w:val="24"/>
                <w:szCs w:val="24"/>
                <w:lang w:val="en-US" w:eastAsia="zh-CN"/>
              </w:rPr>
              <w:t>与</w:t>
            </w:r>
            <w:r>
              <w:rPr>
                <w:rFonts w:hint="default" w:ascii="Times New Roman" w:hAnsi="Times New Roman" w:eastAsia="宋体" w:cs="Times New Roman"/>
                <w:b/>
                <w:bCs/>
                <w:color w:val="auto"/>
                <w:kern w:val="2"/>
                <w:sz w:val="24"/>
                <w:szCs w:val="24"/>
                <w:lang w:val="en-US" w:eastAsia="zh-CN"/>
              </w:rPr>
              <w:t>《铸造企业规范条件》</w:t>
            </w:r>
            <w:r>
              <w:rPr>
                <w:rFonts w:hint="eastAsia" w:ascii="Times New Roman" w:hAnsi="Times New Roman" w:eastAsia="宋体" w:cs="Times New Roman"/>
                <w:b/>
                <w:bCs/>
                <w:color w:val="auto"/>
                <w:kern w:val="2"/>
                <w:sz w:val="24"/>
                <w:szCs w:val="24"/>
                <w:lang w:val="en-US" w:eastAsia="zh-CN"/>
              </w:rPr>
              <w:t>的符合性</w:t>
            </w:r>
            <w:r>
              <w:rPr>
                <w:rFonts w:hint="default" w:ascii="Times New Roman" w:hAnsi="Times New Roman" w:eastAsia="宋体" w:cs="Times New Roman"/>
                <w:b/>
                <w:bCs/>
                <w:color w:val="auto"/>
                <w:kern w:val="2"/>
                <w:sz w:val="24"/>
                <w:szCs w:val="24"/>
                <w:lang w:val="en-US" w:eastAsia="zh-CN"/>
              </w:rPr>
              <w:t>分析</w:t>
            </w:r>
          </w:p>
          <w:p w14:paraId="74B052D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本次技改项目建成后</w:t>
            </w:r>
            <w:r>
              <w:rPr>
                <w:rFonts w:hint="eastAsia" w:cs="Times New Roman"/>
                <w:color w:val="auto"/>
                <w:highlight w:val="none"/>
                <w:lang w:val="en-US" w:eastAsia="zh-CN"/>
              </w:rPr>
              <w:t>产能不变</w:t>
            </w:r>
            <w:r>
              <w:rPr>
                <w:rFonts w:hint="eastAsia" w:ascii="Times New Roman" w:hAnsi="Times New Roman" w:cs="Times New Roman"/>
                <w:color w:val="auto"/>
                <w:highlight w:val="none"/>
                <w:lang w:val="en-US" w:eastAsia="zh-CN"/>
              </w:rPr>
              <w:t>，全厂实际总产能为：年产10000吨铸造件，其中精密阀门1500t，工程机械配件3500t，汽车零部件5000t，预估总产值可达7250万元/年，全厂综合</w:t>
            </w:r>
            <w:r>
              <w:rPr>
                <w:rFonts w:hint="default" w:ascii="Times New Roman" w:hAnsi="Times New Roman" w:cs="Times New Roman"/>
                <w:color w:val="auto"/>
                <w:highlight w:val="none"/>
                <w:lang w:val="en-US"/>
              </w:rPr>
              <w:t>产值大于7000万元</w:t>
            </w:r>
            <w:r>
              <w:rPr>
                <w:rFonts w:hint="eastAsia" w:ascii="Times New Roman" w:hAnsi="Times New Roman" w:cs="Times New Roman"/>
                <w:color w:val="auto"/>
                <w:highlight w:val="none"/>
                <w:lang w:val="en-US" w:eastAsia="zh-CN"/>
              </w:rPr>
              <w:t>。</w:t>
            </w:r>
          </w:p>
          <w:p w14:paraId="2ECD207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t>对照《铸造</w:t>
            </w:r>
            <w:r>
              <w:rPr>
                <w:rFonts w:hint="default" w:ascii="Times New Roman" w:hAnsi="Times New Roman" w:cs="Times New Roman"/>
                <w:color w:val="auto"/>
                <w:highlight w:val="none"/>
                <w:lang w:val="en-US" w:eastAsia="zh-CN"/>
              </w:rPr>
              <w:t>企</w:t>
            </w:r>
            <w:r>
              <w:rPr>
                <w:rFonts w:hint="default" w:ascii="Times New Roman" w:hAnsi="Times New Roman" w:cs="Times New Roman"/>
                <w:color w:val="auto"/>
                <w:highlight w:val="none"/>
                <w:lang w:val="en-US"/>
              </w:rPr>
              <w:t>业规范条件》</w:t>
            </w:r>
            <w:r>
              <w:rPr>
                <w:rFonts w:hint="default" w:ascii="Times New Roman" w:hAnsi="Times New Roman" w:cs="Times New Roman"/>
                <w:color w:val="auto"/>
                <w:highlight w:val="none"/>
                <w:lang w:val="en-US" w:eastAsia="zh-CN"/>
              </w:rPr>
              <w:t>（T/CFA 0310021-20</w:t>
            </w:r>
            <w:r>
              <w:rPr>
                <w:rFonts w:hint="eastAsia" w:ascii="Times New Roman" w:hAnsi="Times New Roman" w:cs="Times New Roman"/>
                <w:color w:val="auto"/>
                <w:highlight w:val="none"/>
                <w:lang w:val="en-US" w:eastAsia="zh-CN"/>
              </w:rPr>
              <w:t>23</w:t>
            </w:r>
            <w:r>
              <w:rPr>
                <w:rFonts w:hint="default"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rPr>
              <w:t>，本项目采用</w:t>
            </w:r>
            <w:r>
              <w:rPr>
                <w:rFonts w:hint="eastAsia" w:ascii="Times New Roman" w:hAnsi="Times New Roman" w:cs="Times New Roman"/>
                <w:color w:val="auto"/>
                <w:highlight w:val="none"/>
                <w:lang w:val="en-US" w:eastAsia="zh-CN"/>
              </w:rPr>
              <w:t>0.5t有轭中频</w:t>
            </w:r>
            <w:r>
              <w:rPr>
                <w:rFonts w:hint="default" w:ascii="Times New Roman" w:hAnsi="Times New Roman" w:cs="Times New Roman"/>
                <w:color w:val="auto"/>
                <w:highlight w:val="none"/>
                <w:lang w:val="en-US"/>
              </w:rPr>
              <w:t>感应电炉，不采用粘土砂干型/芯的、油砂制芯、七〇砂制型/芯等落后铸造工艺</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val="en-US"/>
              </w:rPr>
              <w:t>对照情况详见</w:t>
            </w:r>
            <w:r>
              <w:rPr>
                <w:rFonts w:hint="default" w:ascii="Times New Roman" w:hAnsi="Times New Roman" w:cs="Times New Roman"/>
                <w:color w:val="auto"/>
                <w:highlight w:val="none"/>
                <w:lang w:val="en-US" w:eastAsia="zh-CN"/>
              </w:rPr>
              <w:t>下</w:t>
            </w:r>
            <w:r>
              <w:rPr>
                <w:rFonts w:hint="default" w:ascii="Times New Roman" w:hAnsi="Times New Roman" w:cs="Times New Roman"/>
                <w:color w:val="auto"/>
                <w:highlight w:val="none"/>
                <w:lang w:val="en-US"/>
              </w:rPr>
              <w:t>表。</w:t>
            </w:r>
          </w:p>
          <w:p w14:paraId="21C8D17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表1-</w:t>
            </w:r>
            <w:r>
              <w:rPr>
                <w:rFonts w:hint="eastAsia" w:ascii="Times New Roman" w:hAnsi="Times New Roman" w:eastAsia="宋体" w:cs="Times New Roman"/>
                <w:b/>
                <w:bCs/>
                <w:color w:val="auto"/>
                <w:kern w:val="2"/>
                <w:sz w:val="24"/>
                <w:szCs w:val="24"/>
                <w:lang w:val="en-US" w:eastAsia="zh-CN"/>
              </w:rPr>
              <w:t>6</w:t>
            </w:r>
            <w:r>
              <w:rPr>
                <w:rFonts w:hint="default" w:ascii="Times New Roman" w:hAnsi="Times New Roman" w:eastAsia="宋体" w:cs="Times New Roman"/>
                <w:b/>
                <w:bCs/>
                <w:color w:val="auto"/>
                <w:kern w:val="2"/>
                <w:sz w:val="24"/>
                <w:szCs w:val="24"/>
                <w:lang w:val="en-US" w:eastAsia="zh-CN"/>
              </w:rPr>
              <w:t xml:space="preserve">  与《铸造企业规范条件》符合性分析</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3776"/>
              <w:gridCol w:w="2821"/>
            </w:tblGrid>
            <w:tr w14:paraId="01B8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noWrap w:val="0"/>
                  <w:vAlign w:val="center"/>
                </w:tcPr>
                <w:p w14:paraId="76C0AE19">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项目</w:t>
                  </w:r>
                </w:p>
              </w:tc>
              <w:tc>
                <w:tcPr>
                  <w:tcW w:w="2672" w:type="pct"/>
                  <w:noWrap w:val="0"/>
                  <w:vAlign w:val="center"/>
                </w:tcPr>
                <w:p w14:paraId="3CAC2ED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铸造行业准入条件</w:t>
                  </w:r>
                </w:p>
              </w:tc>
              <w:tc>
                <w:tcPr>
                  <w:tcW w:w="1995" w:type="pct"/>
                  <w:noWrap w:val="0"/>
                  <w:vAlign w:val="center"/>
                </w:tcPr>
                <w:p w14:paraId="33EFC089">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本项目情况</w:t>
                  </w:r>
                </w:p>
              </w:tc>
            </w:tr>
            <w:tr w14:paraId="5AFD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restart"/>
                  <w:noWrap w:val="0"/>
                  <w:vAlign w:val="center"/>
                </w:tcPr>
                <w:p w14:paraId="146709D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建设条件和布局</w:t>
                  </w:r>
                </w:p>
              </w:tc>
              <w:tc>
                <w:tcPr>
                  <w:tcW w:w="2672" w:type="pct"/>
                  <w:noWrap w:val="0"/>
                  <w:vAlign w:val="center"/>
                </w:tcPr>
                <w:p w14:paraId="7CCF44F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企业的布局及厂址的确定应符合国家相关法律法规、产业政策以及各地方政府装备制造业和铸造行业的总体规划要求</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noWrap w:val="0"/>
                  <w:vAlign w:val="center"/>
                </w:tcPr>
                <w:p w14:paraId="51718FE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项目符合国家法律法规、产业政策、规划要求</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4067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1D401791">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2672" w:type="pct"/>
                  <w:noWrap w:val="0"/>
                  <w:vAlign w:val="center"/>
                </w:tcPr>
                <w:p w14:paraId="5B9383D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企业生产场所应依法取得土地使用权并符合土地使用性质</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noWrap w:val="0"/>
                  <w:vAlign w:val="center"/>
                </w:tcPr>
                <w:p w14:paraId="1BFF874F">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项目依托</w:t>
                  </w:r>
                  <w:r>
                    <w:rPr>
                      <w:rFonts w:hint="default" w:ascii="Times New Roman" w:hAnsi="Times New Roman" w:eastAsia="宋体" w:cs="Times New Roman"/>
                      <w:b w:val="0"/>
                      <w:bCs w:val="0"/>
                      <w:color w:val="auto"/>
                      <w:sz w:val="21"/>
                      <w:szCs w:val="21"/>
                      <w:highlight w:val="none"/>
                      <w:vertAlign w:val="baseline"/>
                      <w:lang w:val="en-US" w:eastAsia="zh-CN"/>
                    </w:rPr>
                    <w:t>企业</w:t>
                  </w:r>
                  <w:r>
                    <w:rPr>
                      <w:rFonts w:hint="eastAsia" w:ascii="Times New Roman" w:hAnsi="Times New Roman" w:eastAsia="宋体" w:cs="Times New Roman"/>
                      <w:b w:val="0"/>
                      <w:bCs w:val="0"/>
                      <w:color w:val="auto"/>
                      <w:sz w:val="21"/>
                      <w:szCs w:val="21"/>
                      <w:highlight w:val="none"/>
                      <w:vertAlign w:val="baseline"/>
                      <w:lang w:val="en-US" w:eastAsia="zh-CN"/>
                    </w:rPr>
                    <w:t>现有厂房实施生产</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eastAsia"/>
                      <w:color w:val="auto"/>
                      <w:sz w:val="21"/>
                      <w:szCs w:val="21"/>
                      <w:highlight w:val="none"/>
                      <w:lang w:val="en-US" w:eastAsia="zh-CN"/>
                    </w:rPr>
                    <w:t>地块属于</w:t>
                  </w:r>
                  <w:r>
                    <w:rPr>
                      <w:rFonts w:hint="default" w:ascii="Times New Roman" w:hAnsi="Times New Roman" w:eastAsia="宋体" w:cs="Times New Roman"/>
                      <w:b w:val="0"/>
                      <w:bCs w:val="0"/>
                      <w:color w:val="auto"/>
                      <w:sz w:val="21"/>
                      <w:szCs w:val="21"/>
                      <w:highlight w:val="none"/>
                      <w:vertAlign w:val="baseline"/>
                      <w:lang w:val="en-US" w:eastAsia="zh-CN"/>
                    </w:rPr>
                    <w:t>工业用地，符合当地土地使用性质</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1D9C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noWrap w:val="0"/>
                  <w:vAlign w:val="center"/>
                </w:tcPr>
                <w:p w14:paraId="315640CB">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企业规模</w:t>
                  </w:r>
                </w:p>
              </w:tc>
              <w:tc>
                <w:tcPr>
                  <w:tcW w:w="2672" w:type="pct"/>
                  <w:noWrap w:val="0"/>
                  <w:vAlign w:val="center"/>
                </w:tcPr>
                <w:p w14:paraId="655444A1">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铸铁、铸钢：新（扩）建</w:t>
                  </w:r>
                  <w:r>
                    <w:rPr>
                      <w:rFonts w:hint="eastAsia" w:ascii="Times New Roman" w:hAnsi="Times New Roman" w:eastAsia="宋体" w:cs="Times New Roman"/>
                      <w:b w:val="0"/>
                      <w:bCs w:val="0"/>
                      <w:color w:val="auto"/>
                      <w:sz w:val="21"/>
                      <w:szCs w:val="21"/>
                      <w:highlight w:val="none"/>
                      <w:vertAlign w:val="baseline"/>
                      <w:lang w:val="en-US" w:eastAsia="zh-CN"/>
                    </w:rPr>
                    <w:t>企业</w:t>
                  </w:r>
                  <w:r>
                    <w:rPr>
                      <w:rFonts w:hint="default" w:ascii="Times New Roman" w:hAnsi="Times New Roman" w:eastAsia="宋体" w:cs="Times New Roman"/>
                      <w:b w:val="0"/>
                      <w:bCs w:val="0"/>
                      <w:color w:val="auto"/>
                      <w:sz w:val="21"/>
                      <w:szCs w:val="21"/>
                      <w:highlight w:val="none"/>
                      <w:vertAlign w:val="baseline"/>
                      <w:lang w:val="en-US" w:eastAsia="zh-CN"/>
                    </w:rPr>
                    <w:t>产值应大于等于7000万元；现有</w:t>
                  </w:r>
                  <w:r>
                    <w:rPr>
                      <w:rFonts w:hint="eastAsia" w:ascii="Times New Roman" w:hAnsi="Times New Roman" w:eastAsia="宋体" w:cs="Times New Roman"/>
                      <w:b w:val="0"/>
                      <w:bCs w:val="0"/>
                      <w:color w:val="auto"/>
                      <w:sz w:val="21"/>
                      <w:szCs w:val="21"/>
                      <w:highlight w:val="none"/>
                      <w:vertAlign w:val="baseline"/>
                      <w:lang w:val="en-US" w:eastAsia="zh-CN"/>
                    </w:rPr>
                    <w:t>企业</w:t>
                  </w:r>
                  <w:r>
                    <w:rPr>
                      <w:rFonts w:hint="default" w:ascii="Times New Roman" w:hAnsi="Times New Roman" w:eastAsia="宋体" w:cs="Times New Roman"/>
                      <w:b w:val="0"/>
                      <w:bCs w:val="0"/>
                      <w:color w:val="auto"/>
                      <w:sz w:val="21"/>
                      <w:szCs w:val="21"/>
                      <w:highlight w:val="none"/>
                      <w:vertAlign w:val="baseline"/>
                      <w:lang w:val="en-US" w:eastAsia="zh-CN"/>
                    </w:rPr>
                    <w:t>产值应大于等于3000万元</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noWrap w:val="0"/>
                  <w:vAlign w:val="center"/>
                </w:tcPr>
                <w:p w14:paraId="78E9F02F">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本项目</w:t>
                  </w:r>
                  <w:r>
                    <w:rPr>
                      <w:rFonts w:hint="eastAsia" w:ascii="Times New Roman" w:hAnsi="Times New Roman" w:eastAsia="宋体" w:cs="Times New Roman"/>
                      <w:b w:val="0"/>
                      <w:bCs w:val="0"/>
                      <w:color w:val="auto"/>
                      <w:sz w:val="21"/>
                      <w:szCs w:val="21"/>
                      <w:highlight w:val="none"/>
                      <w:vertAlign w:val="baseline"/>
                      <w:lang w:val="en-US" w:eastAsia="zh-CN"/>
                    </w:rPr>
                    <w:t>主要产品</w:t>
                  </w:r>
                  <w:r>
                    <w:rPr>
                      <w:rFonts w:hint="default" w:ascii="Times New Roman" w:hAnsi="Times New Roman" w:eastAsia="宋体" w:cs="Times New Roman"/>
                      <w:b w:val="0"/>
                      <w:bCs w:val="0"/>
                      <w:color w:val="auto"/>
                      <w:sz w:val="21"/>
                      <w:szCs w:val="21"/>
                      <w:highlight w:val="none"/>
                      <w:vertAlign w:val="baseline"/>
                      <w:lang w:val="en-US" w:eastAsia="zh-CN"/>
                    </w:rPr>
                    <w:t>为“精密阀门、工程机械配件、汽车零部件等铸件”，</w:t>
                  </w:r>
                  <w:r>
                    <w:rPr>
                      <w:rFonts w:hint="eastAsia" w:ascii="Times New Roman" w:hAnsi="Times New Roman" w:eastAsia="宋体" w:cs="Times New Roman"/>
                      <w:b w:val="0"/>
                      <w:bCs w:val="0"/>
                      <w:color w:val="auto"/>
                      <w:sz w:val="21"/>
                      <w:szCs w:val="21"/>
                      <w:highlight w:val="none"/>
                      <w:vertAlign w:val="baseline"/>
                      <w:lang w:val="en-US" w:eastAsia="zh-CN"/>
                    </w:rPr>
                    <w:t>项目建成后预计总</w:t>
                  </w:r>
                  <w:r>
                    <w:rPr>
                      <w:rFonts w:hint="default" w:ascii="Times New Roman" w:hAnsi="Times New Roman" w:eastAsia="宋体" w:cs="Times New Roman"/>
                      <w:b w:val="0"/>
                      <w:bCs w:val="0"/>
                      <w:color w:val="auto"/>
                      <w:sz w:val="21"/>
                      <w:szCs w:val="21"/>
                      <w:highlight w:val="none"/>
                      <w:vertAlign w:val="baseline"/>
                      <w:lang w:val="en-US" w:eastAsia="zh-CN"/>
                    </w:rPr>
                    <w:t>产值</w:t>
                  </w:r>
                  <w:r>
                    <w:rPr>
                      <w:rFonts w:hint="eastAsia" w:ascii="Times New Roman" w:hAnsi="Times New Roman" w:eastAsia="宋体" w:cs="Times New Roman"/>
                      <w:b w:val="0"/>
                      <w:bCs w:val="0"/>
                      <w:color w:val="auto"/>
                      <w:sz w:val="21"/>
                      <w:szCs w:val="21"/>
                      <w:highlight w:val="none"/>
                      <w:vertAlign w:val="baseline"/>
                      <w:lang w:val="en-US" w:eastAsia="zh-CN"/>
                    </w:rPr>
                    <w:t>7250万元，</w:t>
                  </w:r>
                  <w:r>
                    <w:rPr>
                      <w:rFonts w:hint="default" w:ascii="Times New Roman" w:hAnsi="Times New Roman" w:eastAsia="宋体" w:cs="Times New Roman"/>
                      <w:b w:val="0"/>
                      <w:bCs w:val="0"/>
                      <w:color w:val="auto"/>
                      <w:sz w:val="21"/>
                      <w:szCs w:val="21"/>
                      <w:highlight w:val="none"/>
                      <w:vertAlign w:val="baseline"/>
                      <w:lang w:val="en-US" w:eastAsia="zh-CN"/>
                    </w:rPr>
                    <w:t>大于7000万元</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14E83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restart"/>
                  <w:noWrap w:val="0"/>
                  <w:vAlign w:val="center"/>
                </w:tcPr>
                <w:p w14:paraId="61917BB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生产工艺</w:t>
                  </w:r>
                </w:p>
              </w:tc>
              <w:tc>
                <w:tcPr>
                  <w:tcW w:w="2672" w:type="pct"/>
                  <w:noWrap w:val="0"/>
                  <w:vAlign w:val="center"/>
                </w:tcPr>
                <w:p w14:paraId="66E4E6F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企业应根据生产铸件的材质、品种、批量，合理选择低污染、低排放、低能耗、经济高效的铸造工艺</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vMerge w:val="restart"/>
                  <w:noWrap w:val="0"/>
                  <w:vAlign w:val="center"/>
                </w:tcPr>
                <w:p w14:paraId="2A2CE2C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本项目选用</w:t>
                  </w:r>
                  <w:r>
                    <w:rPr>
                      <w:rFonts w:hint="eastAsia" w:ascii="Times New Roman" w:hAnsi="Times New Roman" w:eastAsia="宋体" w:cs="Times New Roman"/>
                      <w:b w:val="0"/>
                      <w:bCs w:val="0"/>
                      <w:color w:val="auto"/>
                      <w:sz w:val="21"/>
                      <w:szCs w:val="21"/>
                      <w:highlight w:val="none"/>
                      <w:vertAlign w:val="baseline"/>
                      <w:lang w:val="en-US" w:eastAsia="zh-CN"/>
                    </w:rPr>
                    <w:t>高</w:t>
                  </w:r>
                  <w:r>
                    <w:rPr>
                      <w:rFonts w:hint="default" w:ascii="Times New Roman" w:hAnsi="Times New Roman" w:eastAsia="宋体" w:cs="Times New Roman"/>
                      <w:b w:val="0"/>
                      <w:bCs w:val="0"/>
                      <w:color w:val="auto"/>
                      <w:sz w:val="21"/>
                      <w:szCs w:val="21"/>
                      <w:highlight w:val="none"/>
                      <w:vertAlign w:val="baseline"/>
                      <w:lang w:val="en-US" w:eastAsia="zh-CN"/>
                    </w:rPr>
                    <w:t>频感应电炉，能耗较小，采用</w:t>
                  </w:r>
                  <w:r>
                    <w:rPr>
                      <w:rFonts w:hint="eastAsia" w:cs="Times New Roman"/>
                      <w:b w:val="0"/>
                      <w:bCs w:val="0"/>
                      <w:color w:val="auto"/>
                      <w:sz w:val="21"/>
                      <w:szCs w:val="21"/>
                      <w:highlight w:val="none"/>
                      <w:vertAlign w:val="baseline"/>
                      <w:lang w:val="en-US" w:eastAsia="zh-CN"/>
                    </w:rPr>
                    <w:t>覆膜砂</w:t>
                  </w:r>
                  <w:r>
                    <w:rPr>
                      <w:rFonts w:hint="eastAsia" w:ascii="Times New Roman" w:hAnsi="Times New Roman" w:eastAsia="宋体" w:cs="Times New Roman"/>
                      <w:b w:val="0"/>
                      <w:bCs w:val="0"/>
                      <w:color w:val="auto"/>
                      <w:sz w:val="21"/>
                      <w:szCs w:val="21"/>
                      <w:highlight w:val="none"/>
                      <w:vertAlign w:val="baseline"/>
                      <w:lang w:val="en-US" w:eastAsia="zh-CN"/>
                    </w:rPr>
                    <w:t>一次射芯</w:t>
                  </w:r>
                  <w:r>
                    <w:rPr>
                      <w:rFonts w:hint="default" w:ascii="Times New Roman" w:hAnsi="Times New Roman" w:eastAsia="宋体" w:cs="Times New Roman"/>
                      <w:b w:val="0"/>
                      <w:bCs w:val="0"/>
                      <w:color w:val="auto"/>
                      <w:sz w:val="21"/>
                      <w:szCs w:val="21"/>
                      <w:highlight w:val="none"/>
                      <w:vertAlign w:val="baseline"/>
                      <w:lang w:val="en-US" w:eastAsia="zh-CN"/>
                    </w:rPr>
                    <w:t>生产工艺，不属于落后的铸造工艺</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7C548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5D4E3129">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2672" w:type="pct"/>
                  <w:noWrap w:val="0"/>
                  <w:vAlign w:val="center"/>
                </w:tcPr>
                <w:p w14:paraId="3B1C1039">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不应使用国家明令淘汰的生产工艺。不应采用粘土砂干型/芯、油砂制芯、七〇砂制型/芯等落后铸造工艺；粘土砂工艺批量生产铸件不应采用手工造型；水玻璃熔模精密铸造模壳硬化不应采用氯化铵硬化工艺；铝合金精炼不应采用六氯乙烷等有毒有害的精炼剂</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vMerge w:val="continue"/>
                  <w:noWrap w:val="0"/>
                  <w:vAlign w:val="center"/>
                </w:tcPr>
                <w:p w14:paraId="47CED574">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r>
            <w:tr w14:paraId="2D0D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3E54436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2672" w:type="pct"/>
                  <w:noWrap w:val="0"/>
                  <w:vAlign w:val="center"/>
                </w:tcPr>
                <w:p w14:paraId="6023DDE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新（改、扩）建</w:t>
                  </w:r>
                  <w:r>
                    <w:rPr>
                      <w:rFonts w:hint="default" w:ascii="Times New Roman" w:hAnsi="Times New Roman" w:eastAsia="宋体" w:cs="Times New Roman"/>
                      <w:b w:val="0"/>
                      <w:bCs w:val="0"/>
                      <w:color w:val="auto"/>
                      <w:sz w:val="21"/>
                      <w:szCs w:val="21"/>
                      <w:highlight w:val="none"/>
                      <w:vertAlign w:val="baseline"/>
                      <w:lang w:val="en-US" w:eastAsia="zh-CN"/>
                    </w:rPr>
                    <w:t>采用粘土砂型铸造项目应采用自动化造型；新（改、扩）建熔模精密铸造项目不应采用水玻璃熔模精密铸造工艺</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vMerge w:val="continue"/>
                  <w:noWrap w:val="0"/>
                  <w:vAlign w:val="center"/>
                </w:tcPr>
                <w:p w14:paraId="373CB70C">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r>
            <w:tr w14:paraId="050F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restart"/>
                  <w:noWrap w:val="0"/>
                  <w:vAlign w:val="center"/>
                </w:tcPr>
                <w:p w14:paraId="3D4BE45C">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生产装备</w:t>
                  </w:r>
                </w:p>
              </w:tc>
              <w:tc>
                <w:tcPr>
                  <w:tcW w:w="2672" w:type="pct"/>
                  <w:noWrap w:val="0"/>
                  <w:vAlign w:val="center"/>
                </w:tcPr>
                <w:p w14:paraId="19AE2BFB">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企业不应使用国家明令淘汰的生产装备，如：无芯工频感应电炉、0.25吨及以上无磁轭的铝壳中频感应电炉等</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vMerge w:val="restart"/>
                  <w:noWrap w:val="0"/>
                  <w:vAlign w:val="center"/>
                </w:tcPr>
                <w:p w14:paraId="67B7D28B">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本项目采用</w:t>
                  </w:r>
                  <w:r>
                    <w:rPr>
                      <w:rFonts w:hint="eastAsia" w:cs="Times New Roman"/>
                      <w:b w:val="0"/>
                      <w:bCs w:val="0"/>
                      <w:color w:val="auto"/>
                      <w:sz w:val="21"/>
                      <w:szCs w:val="21"/>
                      <w:highlight w:val="none"/>
                      <w:vertAlign w:val="baseline"/>
                      <w:lang w:val="en-US" w:eastAsia="zh-CN"/>
                    </w:rPr>
                    <w:t>有轭中频</w:t>
                  </w:r>
                  <w:r>
                    <w:rPr>
                      <w:rFonts w:hint="default" w:ascii="Times New Roman" w:hAnsi="Times New Roman" w:eastAsia="宋体" w:cs="Times New Roman"/>
                      <w:b w:val="0"/>
                      <w:bCs w:val="0"/>
                      <w:color w:val="auto"/>
                      <w:sz w:val="21"/>
                      <w:szCs w:val="21"/>
                      <w:highlight w:val="none"/>
                      <w:vertAlign w:val="baseline"/>
                      <w:lang w:val="en-US" w:eastAsia="zh-CN"/>
                    </w:rPr>
                    <w:t>感应电炉进行熔化，不属于淘汰设备，根据工程设施运行时间进行控制，满足项目产能需求。</w:t>
                  </w:r>
                </w:p>
                <w:p w14:paraId="42147D8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项目不涉及冲天炉。</w:t>
                  </w:r>
                </w:p>
                <w:p w14:paraId="0D52914F">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企业内部设置检测室，配备必要检测设备。</w:t>
                  </w:r>
                </w:p>
              </w:tc>
            </w:tr>
            <w:tr w14:paraId="6835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1BEA4B9C">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color w:val="auto"/>
                      <w:highlight w:val="none"/>
                    </w:rPr>
                  </w:pPr>
                </w:p>
              </w:tc>
              <w:tc>
                <w:tcPr>
                  <w:tcW w:w="2672" w:type="pct"/>
                  <w:noWrap w:val="0"/>
                  <w:vAlign w:val="center"/>
                </w:tcPr>
                <w:p w14:paraId="151EB56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铸件生产企业采用冲天炉熔炼，其设备熔化率宜大于10吨/小时</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vMerge w:val="continue"/>
                  <w:noWrap w:val="0"/>
                  <w:vAlign w:val="center"/>
                </w:tcPr>
                <w:p w14:paraId="7CB0C99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r>
            <w:tr w14:paraId="37AB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7B5C3FC1">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2672" w:type="pct"/>
                  <w:noWrap w:val="0"/>
                  <w:vAlign w:val="center"/>
                </w:tcPr>
                <w:p w14:paraId="18CCA807">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企业应配备与生产能力相匹配的熔炼（化）设备，如冲天炉、中频感应电炉、电弧炉、精炼炉（AOD、VOD、LF等）、电阻炉、燃气炉、保温炉等</w:t>
                  </w:r>
                  <w:r>
                    <w:rPr>
                      <w:rFonts w:hint="eastAsia" w:ascii="Times New Roman" w:hAnsi="Times New Roman" w:eastAsia="宋体" w:cs="Times New Roman"/>
                      <w:b w:val="0"/>
                      <w:bCs w:val="0"/>
                      <w:color w:val="auto"/>
                      <w:sz w:val="21"/>
                      <w:szCs w:val="21"/>
                      <w:highlight w:val="none"/>
                      <w:vertAlign w:val="baseline"/>
                      <w:lang w:val="en-US" w:eastAsia="zh-CN"/>
                    </w:rPr>
                    <w:t>。</w:t>
                  </w:r>
                </w:p>
                <w:p w14:paraId="5214CB0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企业熔炼（化）设备炉前应配置必要的化学成分分析、金属液温度</w:t>
                  </w:r>
                  <w:r>
                    <w:rPr>
                      <w:rFonts w:hint="eastAsia" w:ascii="Times New Roman" w:hAnsi="Times New Roman" w:eastAsia="宋体" w:cs="Times New Roman"/>
                      <w:b w:val="0"/>
                      <w:bCs w:val="0"/>
                      <w:color w:val="auto"/>
                      <w:sz w:val="21"/>
                      <w:szCs w:val="21"/>
                      <w:highlight w:val="none"/>
                      <w:vertAlign w:val="baseline"/>
                      <w:lang w:val="en-US" w:eastAsia="zh-CN"/>
                    </w:rPr>
                    <w:t>测量等检测仪器</w:t>
                  </w:r>
                  <w:r>
                    <w:rPr>
                      <w:rFonts w:hint="default" w:ascii="Times New Roman" w:hAnsi="Times New Roman" w:eastAsia="宋体" w:cs="Times New Roman"/>
                      <w:b w:val="0"/>
                      <w:bCs w:val="0"/>
                      <w:color w:val="auto"/>
                      <w:sz w:val="21"/>
                      <w:szCs w:val="21"/>
                      <w:highlight w:val="none"/>
                      <w:vertAlign w:val="baseline"/>
                      <w:lang w:val="en-US" w:eastAsia="zh-CN"/>
                    </w:rPr>
                    <w:t>。</w:t>
                  </w:r>
                </w:p>
              </w:tc>
              <w:tc>
                <w:tcPr>
                  <w:tcW w:w="1995" w:type="pct"/>
                  <w:vMerge w:val="continue"/>
                  <w:noWrap w:val="0"/>
                  <w:vAlign w:val="center"/>
                </w:tcPr>
                <w:p w14:paraId="56A95A30">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r>
            <w:tr w14:paraId="102C7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7142EE83">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2672" w:type="pct"/>
                  <w:noWrap w:val="0"/>
                  <w:vAlign w:val="center"/>
                </w:tcPr>
                <w:p w14:paraId="515CC7F4">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企业应配备与产品及生产能力相匹配的造型、制芯及其它成型设备（线），如粘土砂造型机（线）、</w:t>
                  </w:r>
                  <w:r>
                    <w:rPr>
                      <w:rFonts w:hint="eastAsia" w:cs="Times New Roman"/>
                      <w:b w:val="0"/>
                      <w:bCs w:val="0"/>
                      <w:color w:val="auto"/>
                      <w:sz w:val="21"/>
                      <w:szCs w:val="21"/>
                      <w:highlight w:val="none"/>
                      <w:vertAlign w:val="baseline"/>
                      <w:lang w:val="en-US" w:eastAsia="zh-CN"/>
                    </w:rPr>
                    <w:t>覆膜砂</w:t>
                  </w:r>
                  <w:r>
                    <w:rPr>
                      <w:rFonts w:hint="default" w:ascii="Times New Roman" w:hAnsi="Times New Roman" w:eastAsia="宋体" w:cs="Times New Roman"/>
                      <w:b w:val="0"/>
                      <w:bCs w:val="0"/>
                      <w:color w:val="auto"/>
                      <w:sz w:val="21"/>
                      <w:szCs w:val="21"/>
                      <w:highlight w:val="none"/>
                      <w:vertAlign w:val="baseline"/>
                      <w:lang w:val="en-US" w:eastAsia="zh-CN"/>
                    </w:rPr>
                    <w:t>混砂机、壳型（芯）机、铁模覆砂生产线、水玻璃砂生产线、消失模/V法/实型铸造设备、离心铸造设备、压铸设备、低压铸造设备、重力铸造设备、挤压铸造设备、差压铸造设备、熔模铸造设备（线）、制芯设备、快速成型设备等</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noWrap w:val="0"/>
                  <w:vAlign w:val="center"/>
                </w:tcPr>
                <w:p w14:paraId="7D6162E1">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企业配备有相应的</w:t>
                  </w:r>
                  <w:r>
                    <w:rPr>
                      <w:rFonts w:hint="default" w:ascii="Times New Roman" w:hAnsi="Times New Roman" w:eastAsia="宋体" w:cs="Times New Roman"/>
                      <w:b w:val="0"/>
                      <w:bCs w:val="0"/>
                      <w:color w:val="auto"/>
                      <w:sz w:val="21"/>
                      <w:szCs w:val="21"/>
                      <w:highlight w:val="none"/>
                      <w:vertAlign w:val="baseline"/>
                      <w:lang w:val="en-US" w:eastAsia="zh-CN"/>
                    </w:rPr>
                    <w:t>与产品及生产能力相匹配的</w:t>
                  </w:r>
                  <w:r>
                    <w:rPr>
                      <w:rFonts w:hint="eastAsia" w:ascii="Times New Roman" w:hAnsi="Times New Roman" w:eastAsia="宋体" w:cs="Times New Roman"/>
                      <w:b w:val="0"/>
                      <w:bCs w:val="0"/>
                      <w:color w:val="auto"/>
                      <w:sz w:val="21"/>
                      <w:szCs w:val="21"/>
                      <w:highlight w:val="none"/>
                      <w:vertAlign w:val="baseline"/>
                      <w:lang w:val="en-US" w:eastAsia="zh-CN"/>
                    </w:rPr>
                    <w:t>射芯</w:t>
                  </w:r>
                  <w:r>
                    <w:rPr>
                      <w:rFonts w:hint="default" w:ascii="Times New Roman" w:hAnsi="Times New Roman" w:eastAsia="宋体" w:cs="Times New Roman"/>
                      <w:b w:val="0"/>
                      <w:bCs w:val="0"/>
                      <w:color w:val="auto"/>
                      <w:sz w:val="21"/>
                      <w:szCs w:val="21"/>
                      <w:highlight w:val="none"/>
                      <w:vertAlign w:val="baseline"/>
                      <w:lang w:val="en-US" w:eastAsia="zh-CN"/>
                    </w:rPr>
                    <w:t>及其它成型设备（线）</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0F9F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vMerge w:val="continue"/>
                  <w:noWrap w:val="0"/>
                  <w:vAlign w:val="center"/>
                </w:tcPr>
                <w:p w14:paraId="421478F8">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2672" w:type="pct"/>
                  <w:noWrap w:val="0"/>
                  <w:vAlign w:val="center"/>
                </w:tcPr>
                <w:p w14:paraId="452C831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采用粘土砂、树脂自硬砂、酯硬化水玻璃砂铸造工艺的企业应配备完善的砂处理及砂再生设备，各种旧砂的回用率应达到表2的要求</w:t>
                  </w:r>
                  <w:r>
                    <w:rPr>
                      <w:rFonts w:hint="eastAsia" w:ascii="Times New Roman" w:hAnsi="Times New Roman" w:eastAsia="宋体" w:cs="Times New Roman"/>
                      <w:b w:val="0"/>
                      <w:bCs w:val="0"/>
                      <w:color w:val="auto"/>
                      <w:sz w:val="21"/>
                      <w:szCs w:val="21"/>
                      <w:highlight w:val="none"/>
                      <w:vertAlign w:val="baseline"/>
                      <w:lang w:val="en-US" w:eastAsia="zh-CN"/>
                    </w:rPr>
                    <w:t>（粘土砂（处理）</w:t>
                  </w:r>
                  <w:r>
                    <w:rPr>
                      <w:rFonts w:hint="eastAsia" w:cs="Times New Roman"/>
                      <w:b w:val="0"/>
                      <w:bCs w:val="0"/>
                      <w:color w:val="auto"/>
                      <w:sz w:val="21"/>
                      <w:szCs w:val="21"/>
                      <w:highlight w:val="none"/>
                      <w:vertAlign w:val="baseline"/>
                      <w:lang w:val="en-US" w:eastAsia="zh-CN"/>
                    </w:rPr>
                    <w:t>－</w:t>
                  </w:r>
                  <w:r>
                    <w:rPr>
                      <w:rFonts w:hint="eastAsia" w:ascii="Times New Roman" w:hAnsi="Times New Roman" w:eastAsia="宋体" w:cs="Times New Roman"/>
                      <w:b w:val="0"/>
                      <w:bCs w:val="0"/>
                      <w:color w:val="auto"/>
                      <w:sz w:val="21"/>
                      <w:szCs w:val="21"/>
                      <w:highlight w:val="none"/>
                      <w:vertAlign w:val="baseline"/>
                      <w:lang w:val="en-US" w:eastAsia="zh-CN"/>
                    </w:rPr>
                    <w:t>旧砂回用率≥95%）。</w:t>
                  </w:r>
                </w:p>
                <w:p w14:paraId="17B6FFF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采用普通水玻璃砂型铸造工艺的企业宜合理配置再生设备。</w:t>
                  </w:r>
                </w:p>
              </w:tc>
              <w:tc>
                <w:tcPr>
                  <w:tcW w:w="1995" w:type="pct"/>
                  <w:noWrap w:val="0"/>
                  <w:vAlign w:val="center"/>
                </w:tcPr>
                <w:p w14:paraId="57805FC6">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本项目</w:t>
                  </w:r>
                  <w:r>
                    <w:rPr>
                      <w:rFonts w:hint="default" w:ascii="Times New Roman" w:hAnsi="Times New Roman" w:eastAsia="宋体" w:cs="Times New Roman"/>
                      <w:b w:val="0"/>
                      <w:bCs w:val="0"/>
                      <w:color w:val="auto"/>
                      <w:sz w:val="21"/>
                      <w:szCs w:val="21"/>
                      <w:highlight w:val="none"/>
                      <w:vertAlign w:val="baseline"/>
                      <w:lang w:val="en-US" w:eastAsia="zh-CN"/>
                    </w:rPr>
                    <w:t>采用</w:t>
                  </w:r>
                  <w:r>
                    <w:rPr>
                      <w:rFonts w:hint="eastAsia" w:cs="Times New Roman"/>
                      <w:b w:val="0"/>
                      <w:bCs w:val="0"/>
                      <w:color w:val="auto"/>
                      <w:sz w:val="21"/>
                      <w:szCs w:val="21"/>
                      <w:highlight w:val="none"/>
                      <w:vertAlign w:val="baseline"/>
                      <w:lang w:val="en-US" w:eastAsia="zh-CN"/>
                    </w:rPr>
                    <w:t>覆膜砂</w:t>
                  </w:r>
                  <w:r>
                    <w:rPr>
                      <w:rFonts w:hint="eastAsia" w:ascii="Times New Roman" w:hAnsi="Times New Roman" w:eastAsia="宋体" w:cs="Times New Roman"/>
                      <w:b w:val="0"/>
                      <w:bCs w:val="0"/>
                      <w:color w:val="auto"/>
                      <w:sz w:val="21"/>
                      <w:szCs w:val="21"/>
                      <w:highlight w:val="none"/>
                      <w:vertAlign w:val="baseline"/>
                      <w:lang w:val="en-US" w:eastAsia="zh-CN"/>
                    </w:rPr>
                    <w:t>一次射芯</w:t>
                  </w:r>
                  <w:r>
                    <w:rPr>
                      <w:rFonts w:hint="default" w:ascii="Times New Roman" w:hAnsi="Times New Roman" w:eastAsia="宋体" w:cs="Times New Roman"/>
                      <w:b w:val="0"/>
                      <w:bCs w:val="0"/>
                      <w:color w:val="auto"/>
                      <w:sz w:val="21"/>
                      <w:szCs w:val="21"/>
                      <w:highlight w:val="none"/>
                      <w:vertAlign w:val="baseline"/>
                      <w:lang w:val="en-US" w:eastAsia="zh-CN"/>
                    </w:rPr>
                    <w:t>生产工艺</w:t>
                  </w:r>
                  <w:r>
                    <w:rPr>
                      <w:rFonts w:hint="eastAsia" w:ascii="Times New Roman" w:hAnsi="Times New Roman" w:eastAsia="宋体" w:cs="Times New Roman"/>
                      <w:b w:val="0"/>
                      <w:bCs w:val="0"/>
                      <w:color w:val="auto"/>
                      <w:sz w:val="21"/>
                      <w:szCs w:val="21"/>
                      <w:highlight w:val="none"/>
                      <w:vertAlign w:val="baseline"/>
                      <w:lang w:val="en-US" w:eastAsia="zh-CN"/>
                    </w:rPr>
                    <w:t>，不采用粘土砂</w:t>
                  </w:r>
                  <w:r>
                    <w:rPr>
                      <w:rFonts w:hint="eastAsia" w:cs="Times New Roman"/>
                      <w:b w:val="0"/>
                      <w:bCs w:val="0"/>
                      <w:color w:val="auto"/>
                      <w:sz w:val="21"/>
                      <w:szCs w:val="21"/>
                      <w:highlight w:val="none"/>
                      <w:vertAlign w:val="baseline"/>
                      <w:lang w:val="en-US" w:eastAsia="zh-CN"/>
                    </w:rPr>
                    <w:t>等</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39B2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noWrap w:val="0"/>
                  <w:vAlign w:val="center"/>
                </w:tcPr>
                <w:p w14:paraId="285C7F8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质量控制</w:t>
                  </w:r>
                </w:p>
              </w:tc>
              <w:tc>
                <w:tcPr>
                  <w:tcW w:w="2672" w:type="pct"/>
                  <w:noWrap w:val="0"/>
                  <w:vAlign w:val="center"/>
                </w:tcPr>
                <w:p w14:paraId="7486848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企业应按照GB/T19001（或IATF16949、GJB9001C、RB/T048等）标准要求建立质量管理体系，通过认证并持续有效运行</w:t>
                  </w:r>
                  <w:r>
                    <w:rPr>
                      <w:rFonts w:hint="eastAsia" w:ascii="Times New Roman" w:hAnsi="Times New Roman" w:eastAsia="宋体" w:cs="Times New Roman"/>
                      <w:b w:val="0"/>
                      <w:bCs w:val="0"/>
                      <w:color w:val="auto"/>
                      <w:sz w:val="21"/>
                      <w:szCs w:val="21"/>
                      <w:highlight w:val="none"/>
                      <w:vertAlign w:val="baseline"/>
                      <w:lang w:val="en-US" w:eastAsia="zh-CN"/>
                    </w:rPr>
                    <w:t>。</w:t>
                  </w:r>
                </w:p>
                <w:p w14:paraId="1D641700">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企业应设置质量管理部门，并配备专职质量检测人员；应配置与原辅材料、生产过程以及铸件质量相关的理化、计量、无损、型砂检测等检验检测设备。</w:t>
                  </w:r>
                </w:p>
                <w:p w14:paraId="7C3BE8F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铸件的外观质量（尺寸精度、表面粗糙度等）、内在质量（化学成分、金相组织等）及力学性能等指标应符合规定的技术要求。</w:t>
                  </w:r>
                </w:p>
              </w:tc>
              <w:tc>
                <w:tcPr>
                  <w:tcW w:w="1995" w:type="pct"/>
                  <w:noWrap w:val="0"/>
                  <w:vAlign w:val="center"/>
                </w:tcPr>
                <w:p w14:paraId="06318E4B">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企业</w:t>
                  </w:r>
                  <w:r>
                    <w:rPr>
                      <w:rFonts w:hint="default" w:ascii="Times New Roman" w:hAnsi="Times New Roman" w:eastAsia="宋体" w:cs="Times New Roman"/>
                      <w:b w:val="0"/>
                      <w:bCs w:val="0"/>
                      <w:color w:val="auto"/>
                      <w:sz w:val="21"/>
                      <w:szCs w:val="21"/>
                      <w:highlight w:val="none"/>
                      <w:vertAlign w:val="baseline"/>
                      <w:lang w:val="en-US" w:eastAsia="zh-CN"/>
                    </w:rPr>
                    <w:t>配有专职质量检测人员，有健全的质量管理制度。铸件的外观质量（尺寸精度、表面粗糙度等）及铸件的内在质量（成分、金相组织、性能等）符合产品规定的技术要求</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6E0E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noWrap w:val="0"/>
                  <w:vAlign w:val="center"/>
                </w:tcPr>
                <w:p w14:paraId="21B0DEB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能源消耗</w:t>
                  </w:r>
                </w:p>
              </w:tc>
              <w:tc>
                <w:tcPr>
                  <w:tcW w:w="2672" w:type="pct"/>
                  <w:noWrap w:val="0"/>
                  <w:vAlign w:val="center"/>
                </w:tcPr>
                <w:p w14:paraId="00A6D86E">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企业应建立能源管理制度</w:t>
                  </w:r>
                  <w:r>
                    <w:rPr>
                      <w:rFonts w:hint="default" w:ascii="Times New Roman" w:hAnsi="Times New Roman" w:eastAsia="宋体" w:cs="Times New Roman"/>
                      <w:b w:val="0"/>
                      <w:bCs w:val="0"/>
                      <w:color w:val="auto"/>
                      <w:sz w:val="21"/>
                      <w:szCs w:val="21"/>
                      <w:highlight w:val="none"/>
                      <w:vertAlign w:val="baseline"/>
                      <w:lang w:val="en-US" w:eastAsia="zh-CN"/>
                    </w:rPr>
                    <w:t>，可按照GB/T23331要求建立能源管理体系，通过认证并持续有效运行。</w:t>
                  </w:r>
                </w:p>
                <w:p w14:paraId="1E546A03">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新（改、扩）建铸造项目应开展节能评估和节能审查。</w:t>
                  </w:r>
                </w:p>
                <w:p w14:paraId="373550B5">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企业主要熔炼（化）设备的能耗指标应满足</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1995" w:type="pct"/>
                  <w:noWrap w:val="0"/>
                  <w:vAlign w:val="center"/>
                </w:tcPr>
                <w:p w14:paraId="0A86AE9F">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企业</w:t>
                  </w:r>
                  <w:r>
                    <w:rPr>
                      <w:rFonts w:hint="eastAsia" w:cs="Times New Roman"/>
                      <w:b w:val="0"/>
                      <w:bCs w:val="0"/>
                      <w:color w:val="auto"/>
                      <w:sz w:val="21"/>
                      <w:szCs w:val="21"/>
                      <w:highlight w:val="none"/>
                      <w:vertAlign w:val="baseline"/>
                      <w:lang w:val="en-US" w:eastAsia="zh-CN"/>
                    </w:rPr>
                    <w:t>建有</w:t>
                  </w:r>
                  <w:r>
                    <w:rPr>
                      <w:rFonts w:hint="eastAsia" w:ascii="Times New Roman" w:hAnsi="Times New Roman" w:eastAsia="宋体" w:cs="Times New Roman"/>
                      <w:b w:val="0"/>
                      <w:bCs w:val="0"/>
                      <w:color w:val="auto"/>
                      <w:sz w:val="21"/>
                      <w:szCs w:val="21"/>
                      <w:highlight w:val="none"/>
                      <w:vertAlign w:val="baseline"/>
                      <w:lang w:val="en-US" w:eastAsia="zh-CN"/>
                    </w:rPr>
                    <w:t>符合要求的能源管理制度，项目</w:t>
                  </w:r>
                  <w:r>
                    <w:rPr>
                      <w:rFonts w:hint="default" w:ascii="Times New Roman" w:hAnsi="Times New Roman" w:eastAsia="宋体" w:cs="Times New Roman"/>
                      <w:b w:val="0"/>
                      <w:bCs w:val="0"/>
                      <w:color w:val="auto"/>
                      <w:sz w:val="21"/>
                      <w:szCs w:val="21"/>
                      <w:highlight w:val="none"/>
                      <w:vertAlign w:val="baseline"/>
                      <w:lang w:val="en-US" w:eastAsia="zh-CN"/>
                    </w:rPr>
                    <w:t>能源消耗满足要求</w:t>
                  </w:r>
                  <w:r>
                    <w:rPr>
                      <w:rFonts w:hint="eastAsia" w:ascii="Times New Roman" w:hAnsi="Times New Roman" w:eastAsia="宋体" w:cs="Times New Roman"/>
                      <w:b w:val="0"/>
                      <w:bCs w:val="0"/>
                      <w:color w:val="auto"/>
                      <w:sz w:val="21"/>
                      <w:szCs w:val="21"/>
                      <w:highlight w:val="none"/>
                      <w:vertAlign w:val="baseline"/>
                      <w:lang w:val="en-US" w:eastAsia="zh-CN"/>
                    </w:rPr>
                    <w:t>。</w:t>
                  </w:r>
                </w:p>
              </w:tc>
            </w:tr>
            <w:tr w14:paraId="3687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2" w:type="pct"/>
                  <w:noWrap w:val="0"/>
                  <w:vAlign w:val="center"/>
                </w:tcPr>
                <w:p w14:paraId="59A36339">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环境保护</w:t>
                  </w:r>
                </w:p>
              </w:tc>
              <w:tc>
                <w:tcPr>
                  <w:tcW w:w="2672" w:type="pct"/>
                  <w:noWrap w:val="0"/>
                  <w:vAlign w:val="center"/>
                </w:tcPr>
                <w:p w14:paraId="4B17CB6F">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企业应按HJ</w:t>
                  </w:r>
                  <w:r>
                    <w:rPr>
                      <w:rFonts w:hint="eastAsia" w:ascii="Times New Roman" w:hAnsi="Times New Roman" w:eastAsia="宋体" w:cs="Times New Roman"/>
                      <w:b w:val="0"/>
                      <w:bCs w:val="0"/>
                      <w:color w:val="auto"/>
                      <w:sz w:val="21"/>
                      <w:szCs w:val="21"/>
                      <w:highlight w:val="none"/>
                      <w:vertAlign w:val="baseline"/>
                      <w:lang w:val="en-US" w:eastAsia="zh-CN"/>
                    </w:rPr>
                    <w:t xml:space="preserve"> </w:t>
                  </w:r>
                  <w:r>
                    <w:rPr>
                      <w:rFonts w:hint="default" w:ascii="Times New Roman" w:hAnsi="Times New Roman" w:eastAsia="宋体" w:cs="Times New Roman"/>
                      <w:b w:val="0"/>
                      <w:bCs w:val="0"/>
                      <w:color w:val="auto"/>
                      <w:sz w:val="21"/>
                      <w:szCs w:val="21"/>
                      <w:highlight w:val="none"/>
                      <w:vertAlign w:val="baseline"/>
                      <w:lang w:val="en-US" w:eastAsia="zh-CN"/>
                    </w:rPr>
                    <w:t>1115、HJ1</w:t>
                  </w:r>
                  <w:r>
                    <w:rPr>
                      <w:rFonts w:hint="eastAsia" w:ascii="Times New Roman" w:hAnsi="Times New Roman" w:eastAsia="宋体" w:cs="Times New Roman"/>
                      <w:b w:val="0"/>
                      <w:bCs w:val="0"/>
                      <w:color w:val="auto"/>
                      <w:sz w:val="21"/>
                      <w:szCs w:val="21"/>
                      <w:highlight w:val="none"/>
                      <w:vertAlign w:val="baseline"/>
                      <w:lang w:val="en-US" w:eastAsia="zh-CN"/>
                    </w:rPr>
                    <w:t xml:space="preserve"> </w:t>
                  </w:r>
                  <w:r>
                    <w:rPr>
                      <w:rFonts w:hint="default" w:ascii="Times New Roman" w:hAnsi="Times New Roman" w:eastAsia="宋体" w:cs="Times New Roman"/>
                      <w:b w:val="0"/>
                      <w:bCs w:val="0"/>
                      <w:color w:val="auto"/>
                      <w:sz w:val="21"/>
                      <w:szCs w:val="21"/>
                      <w:highlight w:val="none"/>
                      <w:vertAlign w:val="baseline"/>
                      <w:lang w:val="en-US" w:eastAsia="zh-CN"/>
                    </w:rPr>
                    <w:t>200的要求，取得排污许可证；宜按照HJ</w:t>
                  </w:r>
                  <w:r>
                    <w:rPr>
                      <w:rFonts w:hint="eastAsia" w:ascii="Times New Roman" w:hAnsi="Times New Roman" w:eastAsia="宋体" w:cs="Times New Roman"/>
                      <w:b w:val="0"/>
                      <w:bCs w:val="0"/>
                      <w:color w:val="auto"/>
                      <w:sz w:val="21"/>
                      <w:szCs w:val="21"/>
                      <w:highlight w:val="none"/>
                      <w:vertAlign w:val="baseline"/>
                      <w:lang w:val="en-US" w:eastAsia="zh-CN"/>
                    </w:rPr>
                    <w:t xml:space="preserve"> </w:t>
                  </w:r>
                  <w:r>
                    <w:rPr>
                      <w:rFonts w:hint="default" w:ascii="Times New Roman" w:hAnsi="Times New Roman" w:eastAsia="宋体" w:cs="Times New Roman"/>
                      <w:b w:val="0"/>
                      <w:bCs w:val="0"/>
                      <w:color w:val="auto"/>
                      <w:sz w:val="21"/>
                      <w:szCs w:val="21"/>
                      <w:highlight w:val="none"/>
                      <w:vertAlign w:val="baseline"/>
                      <w:lang w:val="en-US" w:eastAsia="zh-CN"/>
                    </w:rPr>
                    <w:t>1251的要求制定自行监测方案。</w:t>
                  </w:r>
                </w:p>
                <w:p w14:paraId="77997F47">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企业大气污染物排放应符合GB</w:t>
                  </w:r>
                  <w:r>
                    <w:rPr>
                      <w:rFonts w:hint="eastAsia" w:ascii="Times New Roman" w:hAnsi="Times New Roman" w:eastAsia="宋体" w:cs="Times New Roman"/>
                      <w:b w:val="0"/>
                      <w:bCs w:val="0"/>
                      <w:color w:val="auto"/>
                      <w:sz w:val="21"/>
                      <w:szCs w:val="21"/>
                      <w:highlight w:val="none"/>
                      <w:vertAlign w:val="baseline"/>
                      <w:lang w:val="en-US" w:eastAsia="zh-CN"/>
                    </w:rPr>
                    <w:t xml:space="preserve"> </w:t>
                  </w:r>
                  <w:r>
                    <w:rPr>
                      <w:rFonts w:hint="default" w:ascii="Times New Roman" w:hAnsi="Times New Roman" w:eastAsia="宋体" w:cs="Times New Roman"/>
                      <w:b w:val="0"/>
                      <w:bCs w:val="0"/>
                      <w:color w:val="auto"/>
                      <w:sz w:val="21"/>
                      <w:szCs w:val="21"/>
                      <w:highlight w:val="none"/>
                      <w:vertAlign w:val="baseline"/>
                      <w:lang w:val="en-US" w:eastAsia="zh-CN"/>
                    </w:rPr>
                    <w:t>39726的要求。应配置完善的环保处理装置，废气、废水、噪声、工业固体废物等排放与处置措施应符合国家及地方环保法规和标准的规定。</w:t>
                  </w:r>
                </w:p>
                <w:p w14:paraId="32EC5E12">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企业宜参照《重污染天气重点行业应急减排措施制定技术指南》的要求开展绩效分级管理，制定重污染天气应急减排措施。</w:t>
                  </w:r>
                </w:p>
                <w:p w14:paraId="68B4AE98">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企业可按照GB/T</w:t>
                  </w:r>
                  <w:r>
                    <w:rPr>
                      <w:rFonts w:hint="eastAsia" w:ascii="Times New Roman" w:hAnsi="Times New Roman" w:eastAsia="宋体" w:cs="Times New Roman"/>
                      <w:b w:val="0"/>
                      <w:bCs w:val="0"/>
                      <w:color w:val="auto"/>
                      <w:sz w:val="21"/>
                      <w:szCs w:val="21"/>
                      <w:highlight w:val="none"/>
                      <w:vertAlign w:val="baseline"/>
                      <w:lang w:val="en-US" w:eastAsia="zh-CN"/>
                    </w:rPr>
                    <w:t xml:space="preserve"> </w:t>
                  </w:r>
                  <w:r>
                    <w:rPr>
                      <w:rFonts w:hint="default" w:ascii="Times New Roman" w:hAnsi="Times New Roman" w:eastAsia="宋体" w:cs="Times New Roman"/>
                      <w:b w:val="0"/>
                      <w:bCs w:val="0"/>
                      <w:color w:val="auto"/>
                      <w:sz w:val="21"/>
                      <w:szCs w:val="21"/>
                      <w:highlight w:val="none"/>
                      <w:vertAlign w:val="baseline"/>
                      <w:lang w:val="en-US" w:eastAsia="zh-CN"/>
                    </w:rPr>
                    <w:t>24001要求建立环境管理体系，通过认证并</w:t>
                  </w:r>
                  <w:r>
                    <w:rPr>
                      <w:rFonts w:hint="eastAsia" w:ascii="Times New Roman" w:hAnsi="Times New Roman" w:eastAsia="宋体" w:cs="Times New Roman"/>
                      <w:b w:val="0"/>
                      <w:bCs w:val="0"/>
                      <w:color w:val="auto"/>
                      <w:sz w:val="21"/>
                      <w:szCs w:val="21"/>
                      <w:highlight w:val="none"/>
                      <w:vertAlign w:val="baseline"/>
                      <w:lang w:val="en-US" w:eastAsia="zh-CN"/>
                    </w:rPr>
                    <w:t>持续有效运行。</w:t>
                  </w:r>
                </w:p>
              </w:tc>
              <w:tc>
                <w:tcPr>
                  <w:tcW w:w="1995" w:type="pct"/>
                  <w:noWrap w:val="0"/>
                  <w:vAlign w:val="center"/>
                </w:tcPr>
                <w:p w14:paraId="093885A8">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企业严格执行排污许可制度，已于2020年7月办理了排污许可证，2023年8月重新申请了排污许可证。</w:t>
                  </w:r>
                </w:p>
                <w:p w14:paraId="65D58900">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废气：</w:t>
                  </w:r>
                  <w:r>
                    <w:rPr>
                      <w:rFonts w:hint="eastAsia" w:ascii="Times New Roman" w:hAnsi="Times New Roman" w:eastAsia="宋体" w:cs="Times New Roman"/>
                      <w:b w:val="0"/>
                      <w:bCs w:val="0"/>
                      <w:color w:val="auto"/>
                      <w:sz w:val="21"/>
                      <w:szCs w:val="21"/>
                      <w:highlight w:val="none"/>
                      <w:vertAlign w:val="baseline"/>
                      <w:lang w:val="en-US" w:eastAsia="zh-CN"/>
                    </w:rPr>
                    <w:t>全厂</w:t>
                  </w:r>
                  <w:r>
                    <w:rPr>
                      <w:rFonts w:hint="default" w:ascii="Times New Roman" w:hAnsi="Times New Roman" w:eastAsia="宋体" w:cs="Times New Roman"/>
                      <w:b w:val="0"/>
                      <w:bCs w:val="0"/>
                      <w:color w:val="auto"/>
                      <w:sz w:val="21"/>
                      <w:szCs w:val="21"/>
                      <w:highlight w:val="none"/>
                      <w:vertAlign w:val="baseline"/>
                      <w:lang w:val="en-US" w:eastAsia="zh-CN"/>
                    </w:rPr>
                    <w:t>砂处理废气经吸风收集后经“布袋除尘装置”处理达标后通过1根15m高的排气筒（DA002）排放；熔化废气经集气罩收集后，经现有“布袋除尘装置”处理达标后通过1根15m高的排气筒（DA001）排放；造型</w:t>
                  </w:r>
                  <w:r>
                    <w:rPr>
                      <w:rFonts w:hint="eastAsia" w:cs="Times New Roman"/>
                      <w:b w:val="0"/>
                      <w:bCs w:val="0"/>
                      <w:color w:val="auto"/>
                      <w:sz w:val="21"/>
                      <w:szCs w:val="21"/>
                      <w:highlight w:val="none"/>
                      <w:vertAlign w:val="baseline"/>
                      <w:lang w:val="en-US" w:eastAsia="zh-CN"/>
                    </w:rPr>
                    <w:t>/浇铸</w:t>
                  </w:r>
                  <w:r>
                    <w:rPr>
                      <w:rFonts w:hint="default" w:ascii="Times New Roman" w:hAnsi="Times New Roman" w:eastAsia="宋体" w:cs="Times New Roman"/>
                      <w:b w:val="0"/>
                      <w:bCs w:val="0"/>
                      <w:color w:val="auto"/>
                      <w:sz w:val="21"/>
                      <w:szCs w:val="21"/>
                      <w:highlight w:val="none"/>
                      <w:vertAlign w:val="baseline"/>
                      <w:lang w:val="en-US" w:eastAsia="zh-CN"/>
                    </w:rPr>
                    <w:t>废气经</w:t>
                  </w:r>
                  <w:r>
                    <w:rPr>
                      <w:rFonts w:hint="eastAsia" w:cs="Times New Roman"/>
                      <w:b w:val="0"/>
                      <w:bCs w:val="0"/>
                      <w:color w:val="auto"/>
                      <w:sz w:val="21"/>
                      <w:szCs w:val="21"/>
                      <w:highlight w:val="none"/>
                      <w:vertAlign w:val="baseline"/>
                      <w:lang w:val="en-US" w:eastAsia="zh-CN"/>
                    </w:rPr>
                    <w:t>侧吸装置</w:t>
                  </w:r>
                  <w:r>
                    <w:rPr>
                      <w:rFonts w:hint="default" w:ascii="Times New Roman" w:hAnsi="Times New Roman" w:eastAsia="宋体" w:cs="Times New Roman"/>
                      <w:b w:val="0"/>
                      <w:bCs w:val="0"/>
                      <w:color w:val="auto"/>
                      <w:sz w:val="21"/>
                      <w:szCs w:val="21"/>
                      <w:highlight w:val="none"/>
                      <w:vertAlign w:val="baseline"/>
                      <w:lang w:val="en-US" w:eastAsia="zh-CN"/>
                    </w:rPr>
                    <w:t>收集</w:t>
                  </w:r>
                  <w:r>
                    <w:rPr>
                      <w:rFonts w:hint="eastAsia" w:ascii="Times New Roman" w:hAnsi="Times New Roman" w:eastAsia="宋体" w:cs="Times New Roman"/>
                      <w:b w:val="0"/>
                      <w:bCs w:val="0"/>
                      <w:color w:val="auto"/>
                      <w:sz w:val="21"/>
                      <w:szCs w:val="21"/>
                      <w:highlight w:val="none"/>
                      <w:vertAlign w:val="baseline"/>
                      <w:lang w:val="en-US" w:eastAsia="zh-CN"/>
                    </w:rPr>
                    <w:t>后</w:t>
                  </w:r>
                  <w:r>
                    <w:rPr>
                      <w:rFonts w:hint="default" w:ascii="Times New Roman" w:hAnsi="Times New Roman" w:eastAsia="宋体" w:cs="Times New Roman"/>
                      <w:b w:val="0"/>
                      <w:bCs w:val="0"/>
                      <w:color w:val="auto"/>
                      <w:sz w:val="21"/>
                      <w:szCs w:val="21"/>
                      <w:highlight w:val="none"/>
                      <w:vertAlign w:val="baseline"/>
                      <w:lang w:val="en-US" w:eastAsia="zh-CN"/>
                    </w:rPr>
                    <w:t>集中引至车间外“布袋除尘装置+活性炭吸附装置”处理达标后通过1根15m高的排气筒（DA00</w:t>
                  </w:r>
                  <w:r>
                    <w:rPr>
                      <w:rFonts w:hint="eastAsia" w:cs="Times New Roman"/>
                      <w:b w:val="0"/>
                      <w:bCs w:val="0"/>
                      <w:color w:val="auto"/>
                      <w:sz w:val="21"/>
                      <w:szCs w:val="21"/>
                      <w:highlight w:val="none"/>
                      <w:vertAlign w:val="baseline"/>
                      <w:lang w:val="en-US" w:eastAsia="zh-CN"/>
                    </w:rPr>
                    <w:t>4</w:t>
                  </w:r>
                  <w:r>
                    <w:rPr>
                      <w:rFonts w:hint="default" w:ascii="Times New Roman" w:hAnsi="Times New Roman" w:eastAsia="宋体" w:cs="Times New Roman"/>
                      <w:b w:val="0"/>
                      <w:bCs w:val="0"/>
                      <w:color w:val="auto"/>
                      <w:sz w:val="21"/>
                      <w:szCs w:val="21"/>
                      <w:highlight w:val="none"/>
                      <w:vertAlign w:val="baseline"/>
                      <w:lang w:val="en-US" w:eastAsia="zh-CN"/>
                    </w:rPr>
                    <w:t>）排放；制芯</w:t>
                  </w:r>
                  <w:r>
                    <w:rPr>
                      <w:rFonts w:hint="eastAsia" w:ascii="Times New Roman" w:hAnsi="Times New Roman" w:eastAsia="宋体" w:cs="Times New Roman"/>
                      <w:b w:val="0"/>
                      <w:bCs w:val="0"/>
                      <w:color w:val="auto"/>
                      <w:sz w:val="21"/>
                      <w:szCs w:val="21"/>
                      <w:highlight w:val="none"/>
                      <w:vertAlign w:val="baseline"/>
                      <w:lang w:val="en-US" w:eastAsia="zh-CN"/>
                    </w:rPr>
                    <w:t>废气分别</w:t>
                  </w:r>
                  <w:r>
                    <w:rPr>
                      <w:rFonts w:hint="default" w:ascii="Times New Roman" w:hAnsi="Times New Roman" w:eastAsia="宋体" w:cs="Times New Roman"/>
                      <w:b w:val="0"/>
                      <w:bCs w:val="0"/>
                      <w:color w:val="auto"/>
                      <w:sz w:val="21"/>
                      <w:szCs w:val="21"/>
                      <w:highlight w:val="none"/>
                      <w:vertAlign w:val="baseline"/>
                      <w:lang w:val="en-US" w:eastAsia="zh-CN"/>
                    </w:rPr>
                    <w:t>经集气罩收集+布袋除尘装置处理后通过15米高排气筒（DA00</w:t>
                  </w:r>
                  <w:r>
                    <w:rPr>
                      <w:rFonts w:hint="eastAsia" w:cs="Times New Roman"/>
                      <w:b w:val="0"/>
                      <w:bCs w:val="0"/>
                      <w:color w:val="auto"/>
                      <w:sz w:val="21"/>
                      <w:szCs w:val="21"/>
                      <w:highlight w:val="none"/>
                      <w:vertAlign w:val="baseline"/>
                      <w:lang w:val="en-US" w:eastAsia="zh-CN"/>
                    </w:rPr>
                    <w:t>4</w:t>
                  </w:r>
                  <w:r>
                    <w:rPr>
                      <w:rFonts w:hint="default" w:ascii="Times New Roman" w:hAnsi="Times New Roman" w:eastAsia="宋体" w:cs="Times New Roman"/>
                      <w:b w:val="0"/>
                      <w:bCs w:val="0"/>
                      <w:color w:val="auto"/>
                      <w:sz w:val="21"/>
                      <w:szCs w:val="21"/>
                      <w:highlight w:val="none"/>
                      <w:vertAlign w:val="baseline"/>
                      <w:lang w:val="en-US" w:eastAsia="zh-CN"/>
                    </w:rPr>
                    <w:t>）排放</w:t>
                  </w:r>
                  <w:r>
                    <w:rPr>
                      <w:rFonts w:hint="eastAsia" w:cs="Times New Roman"/>
                      <w:b w:val="0"/>
                      <w:bCs w:val="0"/>
                      <w:color w:val="auto"/>
                      <w:sz w:val="21"/>
                      <w:szCs w:val="21"/>
                      <w:highlight w:val="none"/>
                      <w:vertAlign w:val="baseline"/>
                      <w:lang w:val="en-US" w:eastAsia="zh-CN"/>
                    </w:rPr>
                    <w:t>，</w:t>
                  </w:r>
                  <w:r>
                    <w:rPr>
                      <w:rFonts w:hint="default" w:ascii="Times New Roman" w:hAnsi="Times New Roman" w:eastAsia="宋体" w:cs="Times New Roman"/>
                      <w:b w:val="0"/>
                      <w:bCs w:val="0"/>
                      <w:color w:val="auto"/>
                      <w:sz w:val="21"/>
                      <w:szCs w:val="21"/>
                      <w:highlight w:val="none"/>
                      <w:vertAlign w:val="baseline"/>
                      <w:lang w:val="en-US" w:eastAsia="zh-CN"/>
                    </w:rPr>
                    <w:t>打磨粉尘经吸风收集+布袋除尘装置处理</w:t>
                  </w:r>
                  <w:r>
                    <w:rPr>
                      <w:rFonts w:hint="eastAsia" w:ascii="Times New Roman" w:hAnsi="Times New Roman" w:eastAsia="宋体" w:cs="Times New Roman"/>
                      <w:b w:val="0"/>
                      <w:bCs w:val="0"/>
                      <w:color w:val="auto"/>
                      <w:sz w:val="21"/>
                      <w:szCs w:val="21"/>
                      <w:highlight w:val="none"/>
                      <w:vertAlign w:val="baseline"/>
                      <w:lang w:val="en-US" w:eastAsia="zh-CN"/>
                    </w:rPr>
                    <w:t>后</w:t>
                  </w:r>
                  <w:r>
                    <w:rPr>
                      <w:rFonts w:hint="default" w:ascii="Times New Roman" w:hAnsi="Times New Roman" w:eastAsia="宋体" w:cs="Times New Roman"/>
                      <w:b w:val="0"/>
                      <w:bCs w:val="0"/>
                      <w:color w:val="auto"/>
                      <w:sz w:val="21"/>
                      <w:szCs w:val="21"/>
                      <w:highlight w:val="none"/>
                      <w:vertAlign w:val="baseline"/>
                      <w:lang w:val="en-US" w:eastAsia="zh-CN"/>
                    </w:rPr>
                    <w:t>通过15米高排气筒（DA003）排放</w:t>
                  </w:r>
                  <w:r>
                    <w:rPr>
                      <w:rFonts w:hint="eastAsia"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eastAsia="宋体" w:cs="Times New Roman"/>
                      <w:b w:val="0"/>
                      <w:bCs w:val="0"/>
                      <w:color w:val="auto"/>
                      <w:sz w:val="21"/>
                      <w:szCs w:val="21"/>
                      <w:highlight w:val="none"/>
                      <w:vertAlign w:val="baseline"/>
                      <w:lang w:val="en-US" w:eastAsia="zh-CN"/>
                    </w:rPr>
                    <w:t>抛丸粉尘经吸风收集+自带布袋除尘器处理后通过15米高排气筒（DA00</w:t>
                  </w:r>
                  <w:r>
                    <w:rPr>
                      <w:rFonts w:hint="eastAsia" w:cs="Times New Roman"/>
                      <w:b w:val="0"/>
                      <w:bCs w:val="0"/>
                      <w:color w:val="auto"/>
                      <w:sz w:val="21"/>
                      <w:szCs w:val="21"/>
                      <w:highlight w:val="none"/>
                      <w:vertAlign w:val="baseline"/>
                      <w:lang w:val="en-US" w:eastAsia="zh-CN"/>
                    </w:rPr>
                    <w:t>5、DA006</w:t>
                  </w:r>
                  <w:r>
                    <w:rPr>
                      <w:rFonts w:hint="default" w:ascii="Times New Roman" w:hAnsi="Times New Roman" w:eastAsia="宋体" w:cs="Times New Roman"/>
                      <w:b w:val="0"/>
                      <w:bCs w:val="0"/>
                      <w:color w:val="auto"/>
                      <w:sz w:val="21"/>
                      <w:szCs w:val="21"/>
                      <w:highlight w:val="none"/>
                      <w:vertAlign w:val="baseline"/>
                      <w:lang w:val="en-US" w:eastAsia="zh-CN"/>
                    </w:rPr>
                    <w:t>）排放、</w:t>
                  </w:r>
                  <w:r>
                    <w:rPr>
                      <w:rFonts w:hint="eastAsia" w:ascii="Times New Roman" w:hAnsi="Times New Roman" w:eastAsia="宋体" w:cs="Times New Roman"/>
                      <w:b w:val="0"/>
                      <w:bCs w:val="0"/>
                      <w:color w:val="auto"/>
                      <w:sz w:val="21"/>
                      <w:szCs w:val="21"/>
                      <w:highlight w:val="none"/>
                      <w:vertAlign w:val="baseline"/>
                      <w:lang w:val="en-US" w:eastAsia="zh-CN"/>
                    </w:rPr>
                    <w:t>其他</w:t>
                  </w:r>
                  <w:r>
                    <w:rPr>
                      <w:rFonts w:hint="default" w:ascii="Times New Roman" w:hAnsi="Times New Roman" w:eastAsia="宋体" w:cs="Times New Roman"/>
                      <w:b w:val="0"/>
                      <w:bCs w:val="0"/>
                      <w:color w:val="auto"/>
                      <w:sz w:val="21"/>
                      <w:szCs w:val="21"/>
                      <w:highlight w:val="none"/>
                      <w:vertAlign w:val="baseline"/>
                      <w:lang w:val="en-US" w:eastAsia="zh-CN"/>
                    </w:rPr>
                    <w:t>未收集的废气在车间内无组织排放。项目排放的挥发性有机物（以非甲烷总烃计）有组织排放满足《大气污染物综合排放标准》（GB16297-1996）表2中限值，颗粒物有组织排放满足《铸造工业大气污染物排放标准》</w:t>
                  </w:r>
                  <w:r>
                    <w:rPr>
                      <w:rFonts w:hint="eastAsia"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eastAsia="宋体" w:cs="Times New Roman"/>
                      <w:b w:val="0"/>
                      <w:bCs w:val="0"/>
                      <w:color w:val="auto"/>
                      <w:sz w:val="21"/>
                      <w:szCs w:val="21"/>
                      <w:highlight w:val="none"/>
                      <w:vertAlign w:val="baseline"/>
                      <w:lang w:val="en-US" w:eastAsia="zh-CN"/>
                    </w:rPr>
                    <w:t>GB 39726-2020）表1大气污染物排放限值。</w:t>
                  </w:r>
                </w:p>
                <w:p w14:paraId="75C1BE0D">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废水：项目</w:t>
                  </w:r>
                  <w:r>
                    <w:rPr>
                      <w:rFonts w:hint="eastAsia" w:ascii="Times New Roman" w:hAnsi="Times New Roman" w:eastAsia="宋体" w:cs="Times New Roman"/>
                      <w:b w:val="0"/>
                      <w:bCs w:val="0"/>
                      <w:color w:val="auto"/>
                      <w:sz w:val="21"/>
                      <w:szCs w:val="21"/>
                      <w:highlight w:val="none"/>
                      <w:vertAlign w:val="baseline"/>
                      <w:lang w:val="en-US" w:eastAsia="zh-CN"/>
                    </w:rPr>
                    <w:t>不新增外排</w:t>
                  </w:r>
                  <w:r>
                    <w:rPr>
                      <w:rFonts w:hint="default" w:ascii="Times New Roman" w:hAnsi="Times New Roman" w:eastAsia="宋体" w:cs="Times New Roman"/>
                      <w:b w:val="0"/>
                      <w:bCs w:val="0"/>
                      <w:color w:val="auto"/>
                      <w:sz w:val="21"/>
                      <w:szCs w:val="21"/>
                      <w:highlight w:val="none"/>
                      <w:vertAlign w:val="baseline"/>
                      <w:lang w:val="en-US" w:eastAsia="zh-CN"/>
                    </w:rPr>
                    <w:t>废水，</w:t>
                  </w:r>
                  <w:r>
                    <w:rPr>
                      <w:rFonts w:hint="eastAsia" w:ascii="Times New Roman" w:hAnsi="Times New Roman" w:eastAsia="宋体" w:cs="Times New Roman"/>
                      <w:b w:val="0"/>
                      <w:bCs w:val="0"/>
                      <w:color w:val="auto"/>
                      <w:sz w:val="21"/>
                      <w:szCs w:val="21"/>
                      <w:highlight w:val="none"/>
                      <w:vertAlign w:val="baseline"/>
                      <w:lang w:val="en-US" w:eastAsia="zh-CN"/>
                    </w:rPr>
                    <w:t>现有项目</w:t>
                  </w:r>
                  <w:r>
                    <w:rPr>
                      <w:rFonts w:hint="default" w:ascii="Times New Roman" w:hAnsi="Times New Roman" w:eastAsia="宋体" w:cs="Times New Roman"/>
                      <w:b w:val="0"/>
                      <w:bCs w:val="0"/>
                      <w:color w:val="auto"/>
                      <w:sz w:val="21"/>
                      <w:szCs w:val="21"/>
                      <w:highlight w:val="none"/>
                      <w:vertAlign w:val="baseline"/>
                      <w:lang w:val="en-US" w:eastAsia="zh-CN"/>
                    </w:rPr>
                    <w:t>生活污水经化粪池处理后排入</w:t>
                  </w:r>
                  <w:r>
                    <w:rPr>
                      <w:rFonts w:hint="eastAsia" w:ascii="Times New Roman" w:hAnsi="Times New Roman" w:eastAsia="宋体" w:cs="Times New Roman"/>
                      <w:b w:val="0"/>
                      <w:bCs w:val="0"/>
                      <w:color w:val="auto"/>
                      <w:sz w:val="21"/>
                      <w:szCs w:val="21"/>
                      <w:highlight w:val="none"/>
                      <w:vertAlign w:val="baseline"/>
                      <w:lang w:val="en-US" w:eastAsia="zh-CN"/>
                    </w:rPr>
                    <w:t>新河镇污水处理厂</w:t>
                  </w:r>
                  <w:r>
                    <w:rPr>
                      <w:rFonts w:hint="default" w:ascii="Times New Roman" w:hAnsi="Times New Roman" w:eastAsia="宋体" w:cs="Times New Roman"/>
                      <w:b w:val="0"/>
                      <w:bCs w:val="0"/>
                      <w:color w:val="auto"/>
                      <w:sz w:val="21"/>
                      <w:szCs w:val="21"/>
                      <w:highlight w:val="none"/>
                      <w:vertAlign w:val="baseline"/>
                      <w:lang w:val="en-US" w:eastAsia="zh-CN"/>
                    </w:rPr>
                    <w:t>处理</w:t>
                  </w:r>
                  <w:r>
                    <w:rPr>
                      <w:rFonts w:hint="eastAsia" w:ascii="Times New Roman" w:hAnsi="Times New Roman" w:eastAsia="宋体" w:cs="Times New Roman"/>
                      <w:b w:val="0"/>
                      <w:bCs w:val="0"/>
                      <w:color w:val="auto"/>
                      <w:sz w:val="21"/>
                      <w:szCs w:val="21"/>
                      <w:highlight w:val="none"/>
                      <w:vertAlign w:val="baseline"/>
                      <w:lang w:val="en-US" w:eastAsia="zh-CN"/>
                    </w:rPr>
                    <w:t>。</w:t>
                  </w:r>
                </w:p>
                <w:p w14:paraId="29379C21">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固废：项目固体废物执行《一般工业固体废物贮存和填埋污染控制标准》（GB18599-202</w:t>
                  </w:r>
                  <w:r>
                    <w:rPr>
                      <w:rFonts w:hint="eastAsia" w:ascii="Times New Roman" w:hAnsi="Times New Roman" w:eastAsia="宋体" w:cs="Times New Roman"/>
                      <w:b w:val="0"/>
                      <w:bCs w:val="0"/>
                      <w:color w:val="auto"/>
                      <w:sz w:val="21"/>
                      <w:szCs w:val="21"/>
                      <w:highlight w:val="none"/>
                      <w:vertAlign w:val="baseline"/>
                      <w:lang w:val="en-US" w:eastAsia="zh-CN"/>
                    </w:rPr>
                    <w:t>0</w:t>
                  </w:r>
                  <w:r>
                    <w:rPr>
                      <w:rFonts w:hint="default" w:ascii="Times New Roman" w:hAnsi="Times New Roman" w:eastAsia="宋体" w:cs="Times New Roman"/>
                      <w:b w:val="0"/>
                      <w:bCs w:val="0"/>
                      <w:color w:val="auto"/>
                      <w:sz w:val="21"/>
                      <w:szCs w:val="21"/>
                      <w:highlight w:val="none"/>
                      <w:vertAlign w:val="baseline"/>
                      <w:lang w:val="en-US" w:eastAsia="zh-CN"/>
                    </w:rPr>
                    <w:t>），危险固废交由有资质的单位处理。</w:t>
                  </w:r>
                </w:p>
                <w:p w14:paraId="1FBFF161">
                  <w:pPr>
                    <w:pStyle w:val="3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噪声：厂界噪声符合《</w:t>
                  </w:r>
                  <w:r>
                    <w:rPr>
                      <w:rFonts w:hint="eastAsia" w:cs="Times New Roman"/>
                      <w:b w:val="0"/>
                      <w:bCs w:val="0"/>
                      <w:color w:val="auto"/>
                      <w:sz w:val="21"/>
                      <w:szCs w:val="21"/>
                      <w:highlight w:val="none"/>
                      <w:vertAlign w:val="baseline"/>
                      <w:lang w:val="en-US" w:eastAsia="zh-CN"/>
                    </w:rPr>
                    <w:t>工业企业厂界环境噪声排放标准</w:t>
                  </w:r>
                  <w:r>
                    <w:rPr>
                      <w:rFonts w:hint="default" w:ascii="Times New Roman" w:hAnsi="Times New Roman" w:eastAsia="宋体" w:cs="Times New Roman"/>
                      <w:b w:val="0"/>
                      <w:bCs w:val="0"/>
                      <w:color w:val="auto"/>
                      <w:sz w:val="21"/>
                      <w:szCs w:val="21"/>
                      <w:highlight w:val="none"/>
                      <w:vertAlign w:val="baseline"/>
                      <w:lang w:val="en-US" w:eastAsia="zh-CN"/>
                    </w:rPr>
                    <w:t>》（GB12348-2008）3类标准。</w:t>
                  </w:r>
                </w:p>
              </w:tc>
            </w:tr>
          </w:tbl>
          <w:p w14:paraId="036604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p w14:paraId="23CF8D79">
            <w:pPr>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jc w:val="both"/>
              <w:textAlignment w:val="auto"/>
              <w:rPr>
                <w:rFonts w:hint="default"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8.与</w:t>
            </w:r>
            <w:r>
              <w:rPr>
                <w:rFonts w:hint="default" w:ascii="Times New Roman" w:hAnsi="Times New Roman" w:eastAsia="宋体" w:cs="Times New Roman"/>
                <w:b/>
                <w:bCs/>
                <w:color w:val="auto"/>
                <w:kern w:val="2"/>
                <w:sz w:val="24"/>
                <w:szCs w:val="24"/>
                <w:lang w:val="en-US" w:eastAsia="zh-CN" w:bidi="ar-SA"/>
              </w:rPr>
              <w:t>《工业和信息化部 国家发展和改革委员会生态环境部关于推动铸造和锻压行业高质量发展的指导意见》</w:t>
            </w:r>
            <w:r>
              <w:rPr>
                <w:rFonts w:hint="eastAsia" w:ascii="Times New Roman" w:hAnsi="Times New Roman" w:eastAsia="宋体" w:cs="Times New Roman"/>
                <w:b/>
                <w:bCs/>
                <w:color w:val="auto"/>
                <w:kern w:val="2"/>
                <w:sz w:val="24"/>
                <w:szCs w:val="24"/>
                <w:lang w:val="en-US" w:eastAsia="zh-CN" w:bidi="ar-SA"/>
              </w:rPr>
              <w:t>（工信部联通装〔2023〕40号）的符合性</w:t>
            </w:r>
            <w:r>
              <w:rPr>
                <w:rFonts w:hint="default" w:ascii="Times New Roman" w:hAnsi="Times New Roman" w:eastAsia="宋体" w:cs="Times New Roman"/>
                <w:b/>
                <w:bCs/>
                <w:color w:val="auto"/>
                <w:kern w:val="2"/>
                <w:sz w:val="24"/>
                <w:szCs w:val="24"/>
                <w:lang w:val="en-US" w:eastAsia="zh-CN" w:bidi="ar-SA"/>
              </w:rPr>
              <w:t>分析</w:t>
            </w:r>
          </w:p>
          <w:p w14:paraId="60C3C54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表1-</w:t>
            </w:r>
            <w:r>
              <w:rPr>
                <w:rFonts w:hint="eastAsia" w:ascii="Times New Roman" w:hAnsi="Times New Roman" w:eastAsia="宋体" w:cs="Times New Roman"/>
                <w:b/>
                <w:bCs/>
                <w:color w:val="auto"/>
                <w:kern w:val="2"/>
                <w:sz w:val="24"/>
                <w:szCs w:val="24"/>
                <w:lang w:val="en-US" w:eastAsia="zh-CN"/>
              </w:rPr>
              <w:t>7</w:t>
            </w:r>
            <w:r>
              <w:rPr>
                <w:rFonts w:hint="default" w:ascii="Times New Roman" w:hAnsi="Times New Roman" w:eastAsia="宋体" w:cs="Times New Roman"/>
                <w:b/>
                <w:bCs/>
                <w:color w:val="auto"/>
                <w:kern w:val="2"/>
                <w:sz w:val="24"/>
                <w:szCs w:val="24"/>
                <w:lang w:val="en-US" w:eastAsia="zh-CN"/>
              </w:rPr>
              <w:t xml:space="preserve">  与</w:t>
            </w:r>
            <w:r>
              <w:rPr>
                <w:rFonts w:hint="eastAsia" w:ascii="Times New Roman" w:hAnsi="Times New Roman" w:eastAsia="宋体" w:cs="Times New Roman"/>
                <w:b/>
                <w:bCs/>
                <w:color w:val="auto"/>
                <w:kern w:val="2"/>
                <w:sz w:val="24"/>
                <w:szCs w:val="24"/>
                <w:lang w:val="en-US" w:eastAsia="zh-CN"/>
              </w:rPr>
              <w:t>（</w:t>
            </w:r>
            <w:r>
              <w:rPr>
                <w:rFonts w:hint="default" w:ascii="Times New Roman" w:hAnsi="Times New Roman" w:eastAsia="宋体" w:cs="Times New Roman"/>
                <w:b/>
                <w:bCs/>
                <w:color w:val="auto"/>
                <w:kern w:val="2"/>
                <w:sz w:val="24"/>
                <w:szCs w:val="24"/>
                <w:lang w:val="en-US" w:eastAsia="zh-CN"/>
              </w:rPr>
              <w:t>工信部联通装〔2023〕40号）符合性分析</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4172"/>
              <w:gridCol w:w="2425"/>
            </w:tblGrid>
            <w:tr w14:paraId="1CBD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1" w:type="pct"/>
                  <w:noWrap w:val="0"/>
                  <w:vAlign w:val="center"/>
                </w:tcPr>
                <w:p w14:paraId="27F615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项目</w:t>
                  </w:r>
                </w:p>
              </w:tc>
              <w:tc>
                <w:tcPr>
                  <w:tcW w:w="2952" w:type="pct"/>
                  <w:noWrap w:val="0"/>
                  <w:vAlign w:val="center"/>
                </w:tcPr>
                <w:p w14:paraId="76B2E3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铸造行业准入条件</w:t>
                  </w:r>
                </w:p>
              </w:tc>
              <w:tc>
                <w:tcPr>
                  <w:tcW w:w="1715" w:type="pct"/>
                  <w:noWrap w:val="0"/>
                  <w:vAlign w:val="center"/>
                </w:tcPr>
                <w:p w14:paraId="60F13D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本项目情况</w:t>
                  </w:r>
                </w:p>
              </w:tc>
            </w:tr>
            <w:tr w14:paraId="10BD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1" w:type="pct"/>
                  <w:vMerge w:val="restart"/>
                  <w:noWrap w:val="0"/>
                  <w:vAlign w:val="center"/>
                </w:tcPr>
                <w:p w14:paraId="1219D4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（二）推进行业规范发展</w:t>
                  </w:r>
                </w:p>
                <w:p w14:paraId="7C338C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p>
              </w:tc>
              <w:tc>
                <w:tcPr>
                  <w:tcW w:w="2952" w:type="pct"/>
                  <w:noWrap w:val="0"/>
                  <w:vAlign w:val="center"/>
                </w:tcPr>
                <w:p w14:paraId="4D6FE8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1.推进产业结构优化。严格执行节能、环保、质量、安全技术等相关法律法规标准和《产业结构调整指导目录》等政策，依法依规淘汰工艺装备落后、污染物排放不达标、生产安全无保障的落后产能。鼓励大气污染防治重点区域加大淘汰落后力度。铸造企业不得采用无芯工频感应电炉、无磁轭（≥0.25吨）铝壳中频感应电炉、水玻璃熔模精密铸造氯化铵硬化模壳、铝合金六氯乙烷精炼等淘汰类工艺和装备。加快存量项目升级改造，推进企业合理选择低污染、低能耗、经济高效的先进工艺技术，提升行业竞争能力。强化铸造和锻压与装备制造业协同布局，引导具备条件的企业入园集聚发展，提升产业链供应链协同配套能力，构建布局合理、错位互补、供需联动、协同发展的产业格局。</w:t>
                  </w:r>
                </w:p>
              </w:tc>
              <w:tc>
                <w:tcPr>
                  <w:tcW w:w="1715" w:type="pct"/>
                  <w:noWrap w:val="0"/>
                  <w:vAlign w:val="center"/>
                </w:tcPr>
                <w:p w14:paraId="1B5A83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eastAsia="宋体" w:cs="Times New Roman"/>
                      <w:b w:val="0"/>
                      <w:bCs w:val="0"/>
                      <w:color w:val="auto"/>
                      <w:kern w:val="2"/>
                      <w:sz w:val="21"/>
                      <w:szCs w:val="21"/>
                      <w:highlight w:val="none"/>
                      <w:vertAlign w:val="baseline"/>
                      <w:lang w:val="en-US" w:eastAsia="zh-CN" w:bidi="ar-SA"/>
                    </w:rPr>
                    <w:t>本项目不属于《产业结构调整指导目录》中落后产能项目，企业未采用无芯工频感应电炉、无磁轭（≥0.25吨）铝壳中频感应电炉等淘汰类工艺和装备。</w:t>
                  </w:r>
                </w:p>
              </w:tc>
            </w:tr>
            <w:tr w14:paraId="4099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1" w:type="pct"/>
                  <w:vMerge w:val="continue"/>
                  <w:noWrap w:val="0"/>
                  <w:vAlign w:val="center"/>
                </w:tcPr>
                <w:p w14:paraId="4E166B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p>
              </w:tc>
              <w:tc>
                <w:tcPr>
                  <w:tcW w:w="2952" w:type="pct"/>
                  <w:noWrap w:val="0"/>
                  <w:vAlign w:val="center"/>
                </w:tcPr>
                <w:p w14:paraId="65E5EE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2.支持高端项目建设。推动落实全国统一大市场建设，打通制约行业发展的关键堵点。引导各地结合实际谋划新建或改造升级的高端建设项目落地实施，支持企业围绕主机厂或重大项目配套生产，保障装备制造业产业链供应链安全稳定。严格审批新建、改扩建项目，确保项目备案、环评、排污许可、安评、节能审查等手续清晰、完备，项目建设符合国家相关法律法规标准要求。严格落实主要污染物排放总量控制、能源消耗总量和强度调控制度，坚决遏制不符合要求的项目盲目发展和低水平重复建设，防止产能盲目扩张，切实推进产业结构优化升级。</w:t>
                  </w:r>
                </w:p>
              </w:tc>
              <w:tc>
                <w:tcPr>
                  <w:tcW w:w="1715" w:type="pct"/>
                  <w:noWrap w:val="0"/>
                  <w:vAlign w:val="center"/>
                </w:tcPr>
                <w:p w14:paraId="0D70CA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eastAsia="宋体" w:cs="Times New Roman"/>
                      <w:b w:val="0"/>
                      <w:bCs w:val="0"/>
                      <w:color w:val="auto"/>
                      <w:kern w:val="2"/>
                      <w:sz w:val="21"/>
                      <w:szCs w:val="21"/>
                      <w:highlight w:val="none"/>
                      <w:vertAlign w:val="baseline"/>
                      <w:lang w:val="en-US" w:eastAsia="zh-CN" w:bidi="ar-SA"/>
                    </w:rPr>
                    <w:t>本项目严格执行总量控制指标，本项目属于未新增产能的生产线技术优化、污染物治理措施升级的减量化技改项目。</w:t>
                  </w:r>
                </w:p>
              </w:tc>
            </w:tr>
            <w:tr w14:paraId="5EC6A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1" w:type="pct"/>
                  <w:vMerge w:val="restart"/>
                  <w:noWrap w:val="0"/>
                  <w:vAlign w:val="center"/>
                </w:tcPr>
                <w:p w14:paraId="0D5FBF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（三）加快行业绿色发展</w:t>
                  </w:r>
                </w:p>
              </w:tc>
              <w:tc>
                <w:tcPr>
                  <w:tcW w:w="2952" w:type="pct"/>
                  <w:noWrap w:val="0"/>
                  <w:vAlign w:val="center"/>
                </w:tcPr>
                <w:p w14:paraId="6FA6B8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1.加快绿色低碳转型。推进绿色方式贯穿铸造和锻压生产全流程，开发绿色原辅材料、推广绿色工艺、建设绿色工厂、发展绿色园区，深入推进园区循环化改造。推动企业依法披露环境信息，接受社会监督。积极开展清洁生产，做好节能监察执法、节能诊断服务工作，深入挖掘节能潜力。鼓励企业采用高效节能熔炼、热处理等设备，提高余热利用水平。推广短流程铸造，鼓励铸造行业冲天炉（10吨/小时及以下）改为电炉。推进铸造废砂再生处理技术应用、废旧金属循环再生与利用。推广整体化大型化短流程低成本锻压技术，推广环保润滑介质应用，加大非调质钢使用比例等。</w:t>
                  </w:r>
                </w:p>
              </w:tc>
              <w:tc>
                <w:tcPr>
                  <w:tcW w:w="1715" w:type="pct"/>
                  <w:noWrap w:val="0"/>
                  <w:vAlign w:val="center"/>
                </w:tcPr>
                <w:p w14:paraId="155A87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eastAsia="宋体" w:cs="Times New Roman"/>
                      <w:b w:val="0"/>
                      <w:bCs w:val="0"/>
                      <w:color w:val="auto"/>
                      <w:kern w:val="2"/>
                      <w:sz w:val="21"/>
                      <w:szCs w:val="21"/>
                      <w:highlight w:val="none"/>
                      <w:vertAlign w:val="baseline"/>
                      <w:lang w:val="en-US" w:eastAsia="zh-CN" w:bidi="ar-SA"/>
                    </w:rPr>
                    <w:t>本项目不涉及冲天炉</w:t>
                  </w:r>
                </w:p>
              </w:tc>
            </w:tr>
            <w:tr w14:paraId="208F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1" w:type="pct"/>
                  <w:vMerge w:val="continue"/>
                  <w:noWrap w:val="0"/>
                  <w:vAlign w:val="center"/>
                </w:tcPr>
                <w:p w14:paraId="1DFBCB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ascii="Times New Roman" w:hAnsi="Times New Roman" w:eastAsia="宋体" w:cs="Times New Roman"/>
                      <w:color w:val="auto"/>
                      <w:kern w:val="2"/>
                      <w:sz w:val="24"/>
                      <w:szCs w:val="24"/>
                      <w:highlight w:val="none"/>
                      <w:lang w:val="en-US" w:eastAsia="zh-CN" w:bidi="ar-SA"/>
                    </w:rPr>
                  </w:pPr>
                </w:p>
              </w:tc>
              <w:tc>
                <w:tcPr>
                  <w:tcW w:w="2952" w:type="pct"/>
                  <w:noWrap w:val="0"/>
                  <w:vAlign w:val="center"/>
                </w:tcPr>
                <w:p w14:paraId="7BCDA6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2.提升环保治理水平。依法申领排污许可证，严格持证排污、按证排污并按排污许可证规定落实自行监测、台账记录、执行报告、信息公开等要求。综合考虑生产工艺、原辅材料使用、无组织排放控制、污染治理设施运行效果等，建设一批达到重污染天气应对绩效分级A级水平的环保标杆企业，带动行业环保水平提升。铸造企业严格执行《铸造工业大气污染物排放标准》（GB 39726）及地方排放标准，加强无组织排放控制，不能稳定达标排放的，限期完成设施升级改造，不具备改造条件及改造后仍不能达标的，依法依规进行淘汰。鼓励铸造用生铁企业参照钢铁行业超低排放改造要求开展有组织、无组织和清洁运输超低排放改造，支持行业协会公示进展情况。</w:t>
                  </w:r>
                </w:p>
              </w:tc>
              <w:tc>
                <w:tcPr>
                  <w:tcW w:w="1715" w:type="pct"/>
                  <w:noWrap w:val="0"/>
                  <w:vAlign w:val="center"/>
                </w:tcPr>
                <w:p w14:paraId="395DCC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eastAsia="宋体" w:cs="Times New Roman"/>
                      <w:b w:val="0"/>
                      <w:bCs w:val="0"/>
                      <w:color w:val="auto"/>
                      <w:kern w:val="2"/>
                      <w:sz w:val="21"/>
                      <w:szCs w:val="21"/>
                      <w:highlight w:val="none"/>
                      <w:vertAlign w:val="baseline"/>
                      <w:lang w:val="en-US" w:eastAsia="zh-CN" w:bidi="ar-SA"/>
                    </w:rPr>
                    <w:t>本项目</w:t>
                  </w:r>
                  <w:r>
                    <w:rPr>
                      <w:rFonts w:hint="default" w:ascii="Times New Roman" w:hAnsi="Times New Roman" w:eastAsia="宋体" w:cs="Times New Roman"/>
                      <w:b w:val="0"/>
                      <w:bCs w:val="0"/>
                      <w:color w:val="auto"/>
                      <w:kern w:val="2"/>
                      <w:sz w:val="21"/>
                      <w:szCs w:val="21"/>
                      <w:highlight w:val="none"/>
                      <w:vertAlign w:val="baseline"/>
                      <w:lang w:val="en-US" w:eastAsia="zh-CN" w:bidi="ar-SA"/>
                    </w:rPr>
                    <w:t>严格执行《铸造工业大气污染物排放标准》（GB 39726）及地方排放标准</w:t>
                  </w:r>
                  <w:r>
                    <w:rPr>
                      <w:rFonts w:hint="eastAsia" w:ascii="Times New Roman" w:hAnsi="Times New Roman" w:eastAsia="宋体" w:cs="Times New Roman"/>
                      <w:b w:val="0"/>
                      <w:bCs w:val="0"/>
                      <w:color w:val="auto"/>
                      <w:kern w:val="2"/>
                      <w:sz w:val="21"/>
                      <w:szCs w:val="21"/>
                      <w:highlight w:val="none"/>
                      <w:vertAlign w:val="baseline"/>
                      <w:lang w:val="en-US" w:eastAsia="zh-CN" w:bidi="ar-SA"/>
                    </w:rPr>
                    <w:t>。</w:t>
                  </w:r>
                </w:p>
              </w:tc>
            </w:tr>
          </w:tbl>
          <w:p w14:paraId="797D2D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宋体" w:cs="Times New Roman"/>
                <w:color w:val="auto"/>
                <w:kern w:val="0"/>
                <w:sz w:val="24"/>
                <w:szCs w:val="24"/>
                <w:highlight w:val="none"/>
              </w:rPr>
            </w:pPr>
          </w:p>
        </w:tc>
      </w:tr>
    </w:tbl>
    <w:p w14:paraId="5A7B3BCE">
      <w:pPr>
        <w:spacing w:line="360" w:lineRule="auto"/>
        <w:outlineLvl w:val="0"/>
        <w:rPr>
          <w:rFonts w:eastAsia="黑体"/>
          <w:color w:val="FF0000"/>
          <w:sz w:val="30"/>
          <w:highlight w:val="none"/>
        </w:rPr>
        <w:sectPr>
          <w:footerReference r:id="rId7" w:type="default"/>
          <w:pgSz w:w="11906" w:h="16838"/>
          <w:pgMar w:top="1417" w:right="1417" w:bottom="1417" w:left="1417" w:header="851" w:footer="1077" w:gutter="0"/>
          <w:pgBorders>
            <w:top w:val="none" w:sz="0" w:space="0"/>
            <w:left w:val="none" w:sz="0" w:space="0"/>
            <w:bottom w:val="none" w:sz="0" w:space="0"/>
            <w:right w:val="none" w:sz="0" w:space="0"/>
          </w:pgBorders>
          <w:pgNumType w:start="1"/>
          <w:cols w:space="720" w:num="1"/>
          <w:docGrid w:linePitch="312" w:charSpace="0"/>
        </w:sectPr>
      </w:pPr>
    </w:p>
    <w:p w14:paraId="14F4A28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0" w:firstLineChars="0"/>
        <w:jc w:val="center"/>
        <w:textAlignment w:val="auto"/>
        <w:outlineLvl w:val="0"/>
        <w:rPr>
          <w:rFonts w:hint="eastAsia" w:ascii="Times New Roman" w:hAnsi="Times New Roman" w:eastAsia="宋体" w:cs="Times New Roman"/>
          <w:b/>
          <w:bCs/>
          <w:color w:val="auto"/>
          <w:kern w:val="2"/>
          <w:sz w:val="30"/>
          <w:szCs w:val="30"/>
          <w:lang w:val="en-US" w:eastAsia="zh-CN"/>
        </w:rPr>
      </w:pPr>
      <w:bookmarkStart w:id="5" w:name="_Toc27924"/>
      <w:r>
        <w:rPr>
          <w:rFonts w:hint="eastAsia" w:ascii="Times New Roman" w:hAnsi="Times New Roman" w:eastAsia="宋体" w:cs="Times New Roman"/>
          <w:b/>
          <w:bCs/>
          <w:color w:val="auto"/>
          <w:kern w:val="2"/>
          <w:sz w:val="30"/>
          <w:szCs w:val="30"/>
          <w:lang w:val="en-US" w:eastAsia="zh-CN"/>
        </w:rPr>
        <w:t>二、建设项目工程分析</w:t>
      </w:r>
      <w:bookmarkEnd w:id="5"/>
    </w:p>
    <w:tbl>
      <w:tblPr>
        <w:tblStyle w:val="3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4"/>
        <w:gridCol w:w="8844"/>
      </w:tblGrid>
      <w:tr w14:paraId="2A1C9D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44" w:type="dxa"/>
            <w:noWrap w:val="0"/>
            <w:vAlign w:val="center"/>
          </w:tcPr>
          <w:p w14:paraId="4EDBACD7">
            <w:pPr>
              <w:pStyle w:val="31"/>
              <w:adjustRightInd w:val="0"/>
              <w:snapToGrid w:val="0"/>
              <w:spacing w:before="0" w:beforeAutospacing="0" w:after="0" w:afterAutospacing="0"/>
              <w:ind w:left="-63" w:leftChars="-30" w:right="-63" w:rightChars="-3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建设内容</w:t>
            </w:r>
          </w:p>
        </w:tc>
        <w:tc>
          <w:tcPr>
            <w:tcW w:w="8844" w:type="dxa"/>
            <w:noWrap w:val="0"/>
            <w:vAlign w:val="top"/>
          </w:tcPr>
          <w:p w14:paraId="3FC93D1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1.项目由来</w:t>
            </w:r>
          </w:p>
          <w:p w14:paraId="1BA568C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（1）项目背景</w:t>
            </w:r>
          </w:p>
          <w:p w14:paraId="36E8C22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池州市锋达金属铸造有限公司</w:t>
            </w:r>
            <w:r>
              <w:rPr>
                <w:rFonts w:hint="default" w:ascii="Times New Roman" w:hAnsi="Times New Roman" w:eastAsia="宋体" w:cs="Times New Roman"/>
                <w:color w:val="auto"/>
                <w:kern w:val="2"/>
                <w:sz w:val="24"/>
                <w:szCs w:val="24"/>
                <w:highlight w:val="none"/>
                <w:lang w:val="en-US" w:eastAsia="zh-CN"/>
              </w:rPr>
              <w:t>成立于20</w:t>
            </w:r>
            <w:r>
              <w:rPr>
                <w:rFonts w:hint="eastAsia" w:ascii="Times New Roman" w:hAnsi="Times New Roman" w:eastAsia="宋体" w:cs="Times New Roman"/>
                <w:color w:val="auto"/>
                <w:kern w:val="2"/>
                <w:sz w:val="24"/>
                <w:szCs w:val="24"/>
                <w:highlight w:val="none"/>
                <w:lang w:val="en-US" w:eastAsia="zh-CN"/>
              </w:rPr>
              <w:t>16</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于青阳县新河工业园投资建设了《</w:t>
            </w:r>
            <w:r>
              <w:rPr>
                <w:rFonts w:hint="default" w:ascii="Times New Roman" w:hAnsi="Times New Roman" w:eastAsia="宋体" w:cs="Times New Roman"/>
                <w:color w:val="auto"/>
                <w:kern w:val="2"/>
                <w:sz w:val="24"/>
                <w:szCs w:val="24"/>
                <w:highlight w:val="none"/>
                <w:lang w:val="en-US" w:eastAsia="zh-CN"/>
              </w:rPr>
              <w:t>年产1</w:t>
            </w:r>
            <w:r>
              <w:rPr>
                <w:rFonts w:hint="eastAsia" w:ascii="Times New Roman" w:hAnsi="Times New Roman" w:eastAsia="宋体" w:cs="Times New Roman"/>
                <w:color w:val="auto"/>
                <w:kern w:val="2"/>
                <w:sz w:val="24"/>
                <w:szCs w:val="24"/>
                <w:highlight w:val="none"/>
                <w:lang w:val="en-US" w:eastAsia="zh-CN"/>
              </w:rPr>
              <w:t>万</w:t>
            </w:r>
            <w:r>
              <w:rPr>
                <w:rFonts w:hint="default" w:ascii="Times New Roman" w:hAnsi="Times New Roman" w:eastAsia="宋体" w:cs="Times New Roman"/>
                <w:color w:val="auto"/>
                <w:kern w:val="2"/>
                <w:sz w:val="24"/>
                <w:szCs w:val="24"/>
                <w:highlight w:val="none"/>
                <w:lang w:val="en-US" w:eastAsia="zh-CN"/>
              </w:rPr>
              <w:t>吨</w:t>
            </w:r>
            <w:r>
              <w:rPr>
                <w:rFonts w:hint="eastAsia" w:ascii="Times New Roman" w:hAnsi="Times New Roman" w:eastAsia="宋体" w:cs="Times New Roman"/>
                <w:color w:val="auto"/>
                <w:kern w:val="2"/>
                <w:sz w:val="24"/>
                <w:szCs w:val="24"/>
                <w:highlight w:val="none"/>
                <w:lang w:val="en-US" w:eastAsia="zh-CN"/>
              </w:rPr>
              <w:t>铸铁配件</w:t>
            </w:r>
            <w:r>
              <w:rPr>
                <w:rFonts w:hint="default" w:ascii="Times New Roman" w:hAnsi="Times New Roman" w:eastAsia="宋体" w:cs="Times New Roman"/>
                <w:color w:val="auto"/>
                <w:kern w:val="2"/>
                <w:sz w:val="24"/>
                <w:szCs w:val="24"/>
                <w:highlight w:val="none"/>
                <w:lang w:val="en-US" w:eastAsia="zh-CN"/>
              </w:rPr>
              <w:t>项目</w:t>
            </w:r>
            <w:r>
              <w:rPr>
                <w:rFonts w:hint="eastAsia" w:ascii="Times New Roman" w:hAnsi="Times New Roman" w:eastAsia="宋体" w:cs="Times New Roman"/>
                <w:color w:val="auto"/>
                <w:kern w:val="2"/>
                <w:sz w:val="24"/>
                <w:szCs w:val="24"/>
                <w:highlight w:val="none"/>
                <w:lang w:val="en-US" w:eastAsia="zh-CN"/>
              </w:rPr>
              <w:t>》，现有</w:t>
            </w:r>
            <w:r>
              <w:rPr>
                <w:rFonts w:hint="default" w:ascii="Times New Roman" w:hAnsi="Times New Roman" w:eastAsia="宋体" w:cs="Times New Roman"/>
                <w:color w:val="auto"/>
                <w:kern w:val="2"/>
                <w:sz w:val="24"/>
                <w:szCs w:val="24"/>
                <w:highlight w:val="none"/>
                <w:lang w:val="en-US" w:eastAsia="zh-CN"/>
              </w:rPr>
              <w:t>项目已于201</w:t>
            </w:r>
            <w:r>
              <w:rPr>
                <w:rFonts w:hint="eastAsia" w:ascii="Times New Roman" w:hAnsi="Times New Roman" w:eastAsia="宋体" w:cs="Times New Roman"/>
                <w:color w:val="auto"/>
                <w:kern w:val="2"/>
                <w:sz w:val="24"/>
                <w:szCs w:val="24"/>
                <w:highlight w:val="none"/>
                <w:lang w:val="en-US" w:eastAsia="zh-CN"/>
              </w:rPr>
              <w:t>6</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lang w:val="en-US" w:eastAsia="zh-CN"/>
              </w:rPr>
              <w:t>月</w:t>
            </w:r>
            <w:r>
              <w:rPr>
                <w:rFonts w:hint="eastAsia" w:ascii="Times New Roman" w:hAnsi="Times New Roman" w:eastAsia="宋体" w:cs="Times New Roman"/>
                <w:color w:val="auto"/>
                <w:kern w:val="2"/>
                <w:sz w:val="24"/>
                <w:szCs w:val="24"/>
                <w:highlight w:val="none"/>
                <w:lang w:val="en-US" w:eastAsia="zh-CN"/>
              </w:rPr>
              <w:t>18</w:t>
            </w:r>
            <w:r>
              <w:rPr>
                <w:rFonts w:hint="default" w:ascii="Times New Roman" w:hAnsi="Times New Roman" w:eastAsia="宋体" w:cs="Times New Roman"/>
                <w:color w:val="auto"/>
                <w:kern w:val="2"/>
                <w:sz w:val="24"/>
                <w:szCs w:val="24"/>
                <w:highlight w:val="none"/>
                <w:lang w:val="en-US" w:eastAsia="zh-CN"/>
              </w:rPr>
              <w:t>日取得</w:t>
            </w:r>
            <w:r>
              <w:rPr>
                <w:rFonts w:hint="eastAsia" w:ascii="Times New Roman" w:hAnsi="Times New Roman" w:eastAsia="宋体" w:cs="Times New Roman"/>
                <w:color w:val="auto"/>
                <w:kern w:val="2"/>
                <w:sz w:val="24"/>
                <w:szCs w:val="24"/>
                <w:highlight w:val="none"/>
                <w:lang w:val="en-US" w:eastAsia="zh-CN"/>
              </w:rPr>
              <w:t>青阳县发展和改革委员会</w:t>
            </w:r>
            <w:r>
              <w:rPr>
                <w:rFonts w:hint="default" w:ascii="Times New Roman" w:hAnsi="Times New Roman" w:eastAsia="宋体" w:cs="Times New Roman"/>
                <w:color w:val="auto"/>
                <w:kern w:val="2"/>
                <w:sz w:val="24"/>
                <w:szCs w:val="24"/>
                <w:highlight w:val="none"/>
                <w:lang w:val="en-US" w:eastAsia="zh-CN"/>
              </w:rPr>
              <w:t>下发的关于该项目的备案通知（</w:t>
            </w:r>
            <w:r>
              <w:rPr>
                <w:rFonts w:hint="eastAsia" w:ascii="Times New Roman" w:hAnsi="Times New Roman" w:eastAsia="宋体" w:cs="Times New Roman"/>
                <w:color w:val="auto"/>
                <w:kern w:val="2"/>
                <w:sz w:val="24"/>
                <w:szCs w:val="24"/>
                <w:highlight w:val="none"/>
                <w:lang w:val="en-US" w:eastAsia="zh-CN"/>
              </w:rPr>
              <w:t>新政</w:t>
            </w:r>
            <w:r>
              <w:rPr>
                <w:rFonts w:hint="eastAsia" w:cs="Times New Roman"/>
                <w:color w:val="auto"/>
                <w:kern w:val="2"/>
                <w:sz w:val="24"/>
                <w:szCs w:val="24"/>
                <w:highlight w:val="none"/>
                <w:lang w:val="en-US" w:eastAsia="zh-CN"/>
              </w:rPr>
              <w:t>〔2016〕72号</w:t>
            </w:r>
            <w:r>
              <w:rPr>
                <w:rFonts w:hint="default" w:ascii="Times New Roman" w:hAnsi="Times New Roman" w:eastAsia="宋体"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池州市锋达金属铸造有限公司</w:t>
            </w:r>
            <w:r>
              <w:rPr>
                <w:rFonts w:hint="default" w:ascii="Times New Roman" w:hAnsi="Times New Roman" w:eastAsia="宋体" w:cs="Times New Roman"/>
                <w:color w:val="auto"/>
                <w:kern w:val="2"/>
                <w:sz w:val="24"/>
                <w:szCs w:val="24"/>
                <w:highlight w:val="none"/>
                <w:lang w:val="en-US" w:eastAsia="zh-CN"/>
              </w:rPr>
              <w:t>于201</w:t>
            </w:r>
            <w:r>
              <w:rPr>
                <w:rFonts w:hint="eastAsia" w:ascii="Times New Roman" w:hAnsi="Times New Roman" w:eastAsia="宋体" w:cs="Times New Roman"/>
                <w:color w:val="auto"/>
                <w:kern w:val="2"/>
                <w:sz w:val="24"/>
                <w:szCs w:val="24"/>
                <w:highlight w:val="none"/>
                <w:lang w:val="en-US" w:eastAsia="zh-CN"/>
              </w:rPr>
              <w:t>6</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lang w:val="en-US" w:eastAsia="zh-CN"/>
              </w:rPr>
              <w:t>2月</w:t>
            </w:r>
            <w:r>
              <w:rPr>
                <w:rFonts w:hint="eastAsia"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lang w:val="en-US" w:eastAsia="zh-CN"/>
              </w:rPr>
              <w:t>日委托</w:t>
            </w:r>
            <w:r>
              <w:rPr>
                <w:rFonts w:hint="eastAsia" w:ascii="Times New Roman" w:hAnsi="Times New Roman" w:eastAsia="宋体" w:cs="Times New Roman"/>
                <w:color w:val="auto"/>
                <w:kern w:val="2"/>
                <w:sz w:val="24"/>
                <w:szCs w:val="24"/>
                <w:highlight w:val="none"/>
                <w:lang w:val="en-US" w:eastAsia="zh-CN"/>
              </w:rPr>
              <w:t>安徽省四维环境工程有限公司</w:t>
            </w:r>
            <w:r>
              <w:rPr>
                <w:rFonts w:hint="default" w:ascii="Times New Roman" w:hAnsi="Times New Roman" w:eastAsia="宋体" w:cs="Times New Roman"/>
                <w:color w:val="auto"/>
                <w:kern w:val="2"/>
                <w:sz w:val="24"/>
                <w:szCs w:val="24"/>
                <w:highlight w:val="none"/>
                <w:lang w:val="en-US" w:eastAsia="zh-CN"/>
              </w:rPr>
              <w:t>对项目进行环境影响评价工作，2017年</w:t>
            </w:r>
            <w:r>
              <w:rPr>
                <w:rFonts w:hint="eastAsia"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lang w:val="en-US" w:eastAsia="zh-CN"/>
              </w:rPr>
              <w:t>月编制完成了《</w:t>
            </w:r>
            <w:r>
              <w:rPr>
                <w:rFonts w:hint="eastAsia" w:ascii="Times New Roman" w:hAnsi="Times New Roman" w:eastAsia="宋体" w:cs="Times New Roman"/>
                <w:color w:val="auto"/>
                <w:kern w:val="2"/>
                <w:sz w:val="24"/>
                <w:szCs w:val="24"/>
                <w:highlight w:val="none"/>
                <w:lang w:val="en-US" w:eastAsia="zh-CN"/>
              </w:rPr>
              <w:t>池州市锋达金属铸造有限公司年产1万吨铸铁配件项目</w:t>
            </w:r>
            <w:r>
              <w:rPr>
                <w:rFonts w:hint="default" w:ascii="Times New Roman" w:hAnsi="Times New Roman" w:eastAsia="宋体" w:cs="Times New Roman"/>
                <w:color w:val="auto"/>
                <w:kern w:val="2"/>
                <w:sz w:val="24"/>
                <w:szCs w:val="24"/>
                <w:highlight w:val="none"/>
                <w:lang w:val="en-US" w:eastAsia="zh-CN"/>
              </w:rPr>
              <w:t>环境影响报告表》。2017年</w:t>
            </w:r>
            <w:r>
              <w:rPr>
                <w:rFonts w:hint="eastAsia" w:ascii="Times New Roman" w:hAnsi="Times New Roman" w:eastAsia="宋体" w:cs="Times New Roman"/>
                <w:color w:val="auto"/>
                <w:kern w:val="2"/>
                <w:sz w:val="24"/>
                <w:szCs w:val="24"/>
                <w:highlight w:val="none"/>
                <w:lang w:val="en-US" w:eastAsia="zh-CN"/>
              </w:rPr>
              <w:t>9</w:t>
            </w:r>
            <w:r>
              <w:rPr>
                <w:rFonts w:hint="default" w:ascii="Times New Roman" w:hAnsi="Times New Roman" w:eastAsia="宋体" w:cs="Times New Roman"/>
                <w:color w:val="auto"/>
                <w:kern w:val="2"/>
                <w:sz w:val="24"/>
                <w:szCs w:val="24"/>
                <w:highlight w:val="none"/>
                <w:lang w:val="en-US" w:eastAsia="zh-CN"/>
              </w:rPr>
              <w:t>月</w:t>
            </w:r>
            <w:r>
              <w:rPr>
                <w:rFonts w:hint="eastAsia" w:ascii="Times New Roman" w:hAnsi="Times New Roman" w:eastAsia="宋体" w:cs="Times New Roman"/>
                <w:color w:val="auto"/>
                <w:kern w:val="2"/>
                <w:sz w:val="24"/>
                <w:szCs w:val="24"/>
                <w:highlight w:val="none"/>
                <w:lang w:val="en-US" w:eastAsia="zh-CN"/>
              </w:rPr>
              <w:t>20</w:t>
            </w:r>
            <w:r>
              <w:rPr>
                <w:rFonts w:hint="default" w:ascii="Times New Roman" w:hAnsi="Times New Roman" w:eastAsia="宋体" w:cs="Times New Roman"/>
                <w:color w:val="auto"/>
                <w:kern w:val="2"/>
                <w:sz w:val="24"/>
                <w:szCs w:val="24"/>
                <w:highlight w:val="none"/>
                <w:lang w:val="en-US" w:eastAsia="zh-CN"/>
              </w:rPr>
              <w:t>日，</w:t>
            </w:r>
            <w:r>
              <w:rPr>
                <w:rFonts w:hint="eastAsia" w:ascii="Times New Roman" w:hAnsi="Times New Roman" w:eastAsia="宋体" w:cs="Times New Roman"/>
                <w:color w:val="auto"/>
                <w:kern w:val="2"/>
                <w:sz w:val="24"/>
                <w:szCs w:val="24"/>
                <w:highlight w:val="none"/>
                <w:lang w:val="en-US" w:eastAsia="zh-CN"/>
              </w:rPr>
              <w:t>原青阳县</w:t>
            </w:r>
            <w:r>
              <w:rPr>
                <w:rFonts w:hint="default" w:ascii="Times New Roman" w:hAnsi="Times New Roman" w:eastAsia="宋体" w:cs="Times New Roman"/>
                <w:color w:val="auto"/>
                <w:kern w:val="2"/>
                <w:sz w:val="24"/>
                <w:szCs w:val="24"/>
                <w:highlight w:val="none"/>
                <w:lang w:val="en-US" w:eastAsia="zh-CN"/>
              </w:rPr>
              <w:t>环境保护局以</w:t>
            </w:r>
            <w:r>
              <w:rPr>
                <w:rFonts w:hint="eastAsia" w:ascii="Times New Roman" w:hAnsi="Times New Roman" w:eastAsia="宋体" w:cs="Times New Roman"/>
                <w:color w:val="auto"/>
                <w:kern w:val="2"/>
                <w:sz w:val="24"/>
                <w:szCs w:val="24"/>
                <w:highlight w:val="none"/>
                <w:lang w:val="en-US" w:eastAsia="zh-CN"/>
              </w:rPr>
              <w:t>青环管</w:t>
            </w:r>
            <w:r>
              <w:rPr>
                <w:rFonts w:hint="eastAsia" w:cs="Times New Roman"/>
                <w:color w:val="auto"/>
                <w:kern w:val="2"/>
                <w:sz w:val="24"/>
                <w:szCs w:val="24"/>
                <w:highlight w:val="none"/>
                <w:lang w:val="en-US" w:eastAsia="zh-CN"/>
              </w:rPr>
              <w:t>〔2017〕31号</w:t>
            </w:r>
            <w:r>
              <w:rPr>
                <w:rFonts w:hint="default" w:ascii="Times New Roman" w:hAnsi="Times New Roman" w:eastAsia="宋体" w:cs="Times New Roman"/>
                <w:color w:val="auto"/>
                <w:kern w:val="2"/>
                <w:sz w:val="24"/>
                <w:szCs w:val="24"/>
                <w:highlight w:val="none"/>
                <w:lang w:val="en-US" w:eastAsia="zh-CN"/>
              </w:rPr>
              <w:t>文对项目予以批复。20</w:t>
            </w:r>
            <w:r>
              <w:rPr>
                <w:rFonts w:hint="eastAsia" w:ascii="Times New Roman" w:hAnsi="Times New Roman" w:eastAsia="宋体" w:cs="Times New Roman"/>
                <w:color w:val="auto"/>
                <w:kern w:val="2"/>
                <w:sz w:val="24"/>
                <w:szCs w:val="24"/>
                <w:highlight w:val="none"/>
                <w:lang w:val="en-US" w:eastAsia="zh-CN"/>
              </w:rPr>
              <w:t>18</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10</w:t>
            </w:r>
            <w:r>
              <w:rPr>
                <w:rFonts w:hint="default" w:ascii="Times New Roman" w:hAnsi="Times New Roman" w:eastAsia="宋体" w:cs="Times New Roman"/>
                <w:color w:val="auto"/>
                <w:kern w:val="2"/>
                <w:sz w:val="24"/>
                <w:szCs w:val="24"/>
                <w:highlight w:val="none"/>
                <w:lang w:val="en-US" w:eastAsia="zh-CN"/>
              </w:rPr>
              <w:t>月</w:t>
            </w:r>
            <w:r>
              <w:rPr>
                <w:rFonts w:hint="eastAsia" w:ascii="Times New Roman" w:hAnsi="Times New Roman" w:eastAsia="宋体" w:cs="Times New Roman"/>
                <w:color w:val="auto"/>
                <w:kern w:val="2"/>
                <w:sz w:val="24"/>
                <w:szCs w:val="24"/>
                <w:highlight w:val="none"/>
                <w:lang w:val="en-US" w:eastAsia="zh-CN"/>
              </w:rPr>
              <w:t>25日</w:t>
            </w:r>
            <w:r>
              <w:rPr>
                <w:rFonts w:hint="default" w:ascii="Times New Roman" w:hAnsi="Times New Roman" w:eastAsia="宋体"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池州市锋达金属铸造有限公司年产1万</w:t>
            </w:r>
            <w:r>
              <w:rPr>
                <w:rFonts w:hint="eastAsia" w:cs="Times New Roman"/>
                <w:color w:val="auto"/>
                <w:kern w:val="2"/>
                <w:sz w:val="24"/>
                <w:szCs w:val="24"/>
                <w:highlight w:val="none"/>
                <w:lang w:val="en-US" w:eastAsia="zh-CN"/>
              </w:rPr>
              <w:t>吨</w:t>
            </w:r>
            <w:r>
              <w:rPr>
                <w:rFonts w:hint="eastAsia" w:ascii="Times New Roman" w:hAnsi="Times New Roman" w:eastAsia="宋体" w:cs="Times New Roman"/>
                <w:color w:val="auto"/>
                <w:kern w:val="2"/>
                <w:sz w:val="24"/>
                <w:szCs w:val="24"/>
                <w:highlight w:val="none"/>
                <w:lang w:val="en-US" w:eastAsia="zh-CN"/>
              </w:rPr>
              <w:t>铸铁配件项目</w:t>
            </w:r>
            <w:r>
              <w:rPr>
                <w:rFonts w:hint="default" w:ascii="Times New Roman" w:hAnsi="Times New Roman" w:eastAsia="宋体" w:cs="Times New Roman"/>
                <w:color w:val="auto"/>
                <w:kern w:val="2"/>
                <w:sz w:val="24"/>
                <w:szCs w:val="24"/>
                <w:highlight w:val="none"/>
                <w:lang w:val="en-US" w:eastAsia="zh-CN"/>
              </w:rPr>
              <w:t>已完成竣工环境保护自主验收。</w:t>
            </w:r>
          </w:p>
          <w:p w14:paraId="1D306C6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池州市锋达金属铸造有限公司于2020年7月31日首次申领了排污许可证，2023年12月5日进行了延续，排污许可证编号：91341723MA2MYLKY98001U，有效期为2023年7月31日至2028年7月30日</w:t>
            </w:r>
            <w:r>
              <w:rPr>
                <w:rFonts w:hint="default" w:ascii="Times New Roman" w:hAnsi="Times New Roman" w:eastAsia="宋体" w:cs="Times New Roman"/>
                <w:color w:val="auto"/>
                <w:kern w:val="2"/>
                <w:sz w:val="24"/>
                <w:szCs w:val="24"/>
                <w:highlight w:val="none"/>
                <w:lang w:val="en-US" w:eastAsia="zh-CN"/>
              </w:rPr>
              <w:t>。</w:t>
            </w:r>
          </w:p>
          <w:p w14:paraId="54FB142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为进一步满足市场需求，扩大企业市场竞争力，池州市锋达金属铸造有限公司拟利用现有厂房，投资7689.9，</w:t>
            </w:r>
            <w:r>
              <w:rPr>
                <w:rFonts w:hint="default" w:ascii="Times New Roman" w:hAnsi="Times New Roman" w:eastAsia="宋体" w:cs="Times New Roman"/>
                <w:color w:val="auto"/>
                <w:kern w:val="2"/>
                <w:sz w:val="24"/>
                <w:szCs w:val="24"/>
                <w:highlight w:val="none"/>
                <w:lang w:val="en-US" w:eastAsia="zh-CN"/>
              </w:rPr>
              <w:t>新增国内先进、高效生产设备，建设机械化铸造生产线、数字化生产线，并完善项目配套公用设施，改善环保水平，实现工艺的升级改造，保持10000吨铸造产能不变</w:t>
            </w:r>
            <w:r>
              <w:rPr>
                <w:rFonts w:hint="eastAsia" w:ascii="Times New Roman" w:hAnsi="Times New Roman" w:eastAsia="宋体" w:cs="Times New Roman"/>
                <w:color w:val="auto"/>
                <w:kern w:val="2"/>
                <w:sz w:val="24"/>
                <w:szCs w:val="24"/>
                <w:highlight w:val="none"/>
                <w:lang w:val="en-US" w:eastAsia="zh-CN"/>
              </w:rPr>
              <w:t>，建设“年产1万吨精密铸件及金属制品加工绿色发展技改提升项目”。</w:t>
            </w:r>
            <w:r>
              <w:rPr>
                <w:rFonts w:hint="default" w:ascii="Times New Roman" w:hAnsi="Times New Roman" w:eastAsia="宋体" w:cs="Times New Roman"/>
                <w:color w:val="auto"/>
                <w:kern w:val="2"/>
                <w:sz w:val="24"/>
                <w:szCs w:val="24"/>
                <w:highlight w:val="none"/>
                <w:lang w:val="en-US" w:eastAsia="zh-CN"/>
              </w:rPr>
              <w:t>项目已</w:t>
            </w:r>
            <w:r>
              <w:rPr>
                <w:rFonts w:hint="eastAsia" w:ascii="Times New Roman" w:hAnsi="Times New Roman" w:eastAsia="宋体" w:cs="Times New Roman"/>
                <w:color w:val="auto"/>
                <w:kern w:val="2"/>
                <w:sz w:val="24"/>
                <w:szCs w:val="24"/>
                <w:highlight w:val="none"/>
                <w:lang w:val="en-US" w:eastAsia="zh-CN"/>
              </w:rPr>
              <w:t>于2023年6月5日获得青阳县科技经济信息化局首次</w:t>
            </w:r>
            <w:r>
              <w:rPr>
                <w:rFonts w:hint="default" w:ascii="Times New Roman" w:hAnsi="Times New Roman" w:eastAsia="宋体" w:cs="Times New Roman"/>
                <w:color w:val="auto"/>
                <w:kern w:val="2"/>
                <w:sz w:val="24"/>
                <w:szCs w:val="24"/>
                <w:highlight w:val="none"/>
                <w:lang w:val="en-US" w:eastAsia="zh-CN"/>
              </w:rPr>
              <w:t>备案</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项目代码：</w:t>
            </w:r>
            <w:r>
              <w:rPr>
                <w:rFonts w:hint="eastAsia" w:ascii="Times New Roman" w:hAnsi="Times New Roman" w:eastAsia="宋体" w:cs="Times New Roman"/>
                <w:color w:val="auto"/>
                <w:kern w:val="2"/>
                <w:sz w:val="24"/>
                <w:szCs w:val="24"/>
                <w:highlight w:val="none"/>
                <w:lang w:val="en-US" w:eastAsia="zh-CN"/>
              </w:rPr>
              <w:t>2305-341723-07-02-685038</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2023年底，企业启动项目建设，因当年市场原因，未建设完全，仅建设一座厂房，未购置设备，厂房闲置，本次依托该已建厂房，购置数控车床、普通车床、立式打磨机等设备，作为金属制品车间。</w:t>
            </w:r>
          </w:p>
          <w:p w14:paraId="45121B1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根据</w:t>
            </w:r>
            <w:r>
              <w:rPr>
                <w:rFonts w:hint="eastAsia" w:ascii="Times New Roman" w:hAnsi="Times New Roman" w:eastAsia="宋体" w:cs="Times New Roman"/>
                <w:color w:val="auto"/>
                <w:kern w:val="2"/>
                <w:sz w:val="24"/>
                <w:szCs w:val="24"/>
                <w:highlight w:val="none"/>
                <w:lang w:val="en-US" w:eastAsia="zh-CN"/>
              </w:rPr>
              <w:t>《中华人民共和国环境影响评价法</w:t>
            </w:r>
            <w:r>
              <w:rPr>
                <w:rFonts w:hint="eastAsia"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建设项目环境影响评价分类管理名录（2021年版）》（中华人民共和国生态环境部令第16号，2021年1月1日起实施），本项目</w:t>
            </w:r>
            <w:r>
              <w:rPr>
                <w:rFonts w:hint="default" w:ascii="Times New Roman" w:hAnsi="Times New Roman" w:eastAsia="宋体" w:cs="Times New Roman"/>
                <w:color w:val="auto"/>
                <w:kern w:val="2"/>
                <w:sz w:val="24"/>
                <w:szCs w:val="24"/>
                <w:highlight w:val="none"/>
                <w:lang w:val="en-US" w:eastAsia="zh-CN"/>
              </w:rPr>
              <w:t>属于“三十、金属制品业 33</w:t>
            </w:r>
            <w:r>
              <w:rPr>
                <w:rFonts w:hint="eastAsia"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铸造及其他金属制品制造339</w:t>
            </w:r>
            <w:r>
              <w:rPr>
                <w:rFonts w:hint="eastAsia"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其他（仅分割、焊接、组装的除外）”，应编制环境影响报告表。根据《中华人民共和国环境影响评价法</w:t>
            </w:r>
            <w:r>
              <w:rPr>
                <w:rFonts w:hint="eastAsia"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建设项目环境保护管理条例》等有关规定，</w:t>
            </w:r>
            <w:r>
              <w:rPr>
                <w:rFonts w:hint="eastAsia" w:ascii="Times New Roman" w:hAnsi="Times New Roman" w:eastAsia="宋体" w:cs="Times New Roman"/>
                <w:color w:val="auto"/>
                <w:kern w:val="2"/>
                <w:sz w:val="24"/>
                <w:szCs w:val="24"/>
                <w:highlight w:val="none"/>
                <w:lang w:val="en-US" w:eastAsia="zh-CN"/>
              </w:rPr>
              <w:t>池州市锋达金属铸造有限公司</w:t>
            </w:r>
            <w:r>
              <w:rPr>
                <w:rFonts w:hint="default" w:ascii="Times New Roman" w:hAnsi="Times New Roman" w:eastAsia="宋体" w:cs="Times New Roman"/>
                <w:color w:val="auto"/>
                <w:kern w:val="2"/>
                <w:sz w:val="24"/>
                <w:szCs w:val="24"/>
                <w:highlight w:val="none"/>
                <w:lang w:val="en-US" w:eastAsia="zh-CN"/>
              </w:rPr>
              <w:t>委托</w:t>
            </w:r>
            <w:r>
              <w:rPr>
                <w:rFonts w:hint="eastAsia" w:ascii="Times New Roman" w:hAnsi="Times New Roman" w:eastAsia="宋体" w:cs="Times New Roman"/>
                <w:color w:val="auto"/>
                <w:kern w:val="2"/>
                <w:sz w:val="24"/>
                <w:szCs w:val="24"/>
                <w:highlight w:val="none"/>
                <w:lang w:val="en-US" w:eastAsia="zh-CN"/>
              </w:rPr>
              <w:t>安徽绿洲技术服务有限公司</w:t>
            </w:r>
            <w:r>
              <w:rPr>
                <w:rFonts w:hint="default" w:ascii="Times New Roman" w:hAnsi="Times New Roman" w:eastAsia="宋体" w:cs="Times New Roman"/>
                <w:color w:val="auto"/>
                <w:kern w:val="2"/>
                <w:sz w:val="24"/>
                <w:szCs w:val="24"/>
                <w:highlight w:val="none"/>
                <w:lang w:val="en-US" w:eastAsia="zh-CN"/>
              </w:rPr>
              <w:t>承担该项目环境影响评价工作</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接受委托后，我公司立即组织有关技术人员进行了现场踏勘、并收集资料，依据国家有关法规文件和环境影响评价技术导则，编制了</w:t>
            </w:r>
            <w:r>
              <w:rPr>
                <w:rFonts w:hint="eastAsia" w:cs="Times New Roman"/>
                <w:color w:val="auto"/>
                <w:kern w:val="2"/>
                <w:sz w:val="24"/>
                <w:szCs w:val="24"/>
                <w:highlight w:val="none"/>
                <w:lang w:val="en-US" w:eastAsia="zh-CN"/>
              </w:rPr>
              <w:t>本</w:t>
            </w:r>
            <w:r>
              <w:rPr>
                <w:rFonts w:hint="default" w:ascii="Times New Roman" w:hAnsi="Times New Roman" w:eastAsia="宋体" w:cs="Times New Roman"/>
                <w:color w:val="auto"/>
                <w:kern w:val="2"/>
                <w:sz w:val="24"/>
                <w:szCs w:val="24"/>
                <w:highlight w:val="none"/>
                <w:lang w:val="en-US" w:eastAsia="zh-CN"/>
              </w:rPr>
              <w:t>项目环境影响报告表。</w:t>
            </w:r>
          </w:p>
          <w:p w14:paraId="302FDD96">
            <w:pPr>
              <w:spacing w:line="360" w:lineRule="auto"/>
              <w:ind w:firstLine="482" w:firstLineChars="200"/>
              <w:jc w:val="left"/>
              <w:rPr>
                <w:rFonts w:eastAsia="宋体"/>
                <w:b/>
                <w:bCs/>
                <w:color w:val="auto"/>
                <w:sz w:val="24"/>
                <w:szCs w:val="24"/>
              </w:rPr>
            </w:pPr>
            <w:r>
              <w:rPr>
                <w:rFonts w:hint="eastAsia" w:eastAsia="宋体"/>
                <w:b/>
                <w:bCs/>
                <w:color w:val="auto"/>
                <w:sz w:val="24"/>
                <w:szCs w:val="24"/>
                <w:lang w:eastAsia="zh-CN"/>
              </w:rPr>
              <w:t>（</w:t>
            </w:r>
            <w:r>
              <w:rPr>
                <w:rFonts w:hint="eastAsia" w:eastAsia="宋体"/>
                <w:b/>
                <w:bCs/>
                <w:color w:val="auto"/>
                <w:sz w:val="24"/>
                <w:szCs w:val="24"/>
                <w:lang w:val="en-US" w:eastAsia="zh-CN"/>
              </w:rPr>
              <w:t>2</w:t>
            </w:r>
            <w:r>
              <w:rPr>
                <w:rFonts w:hint="eastAsia" w:eastAsia="宋体"/>
                <w:b/>
                <w:bCs/>
                <w:color w:val="auto"/>
                <w:sz w:val="24"/>
                <w:szCs w:val="24"/>
                <w:lang w:eastAsia="zh-CN"/>
              </w:rPr>
              <w:t>）</w:t>
            </w:r>
            <w:r>
              <w:rPr>
                <w:rFonts w:hint="eastAsia" w:eastAsia="宋体"/>
                <w:b/>
                <w:bCs/>
                <w:color w:val="auto"/>
                <w:sz w:val="24"/>
                <w:szCs w:val="24"/>
              </w:rPr>
              <w:t>行业判定</w:t>
            </w:r>
          </w:p>
          <w:p w14:paraId="7A575E50">
            <w:pPr>
              <w:widowControl/>
              <w:spacing w:line="360" w:lineRule="auto"/>
              <w:ind w:firstLine="480" w:firstLineChars="200"/>
              <w:jc w:val="left"/>
              <w:rPr>
                <w:color w:val="auto"/>
                <w:sz w:val="24"/>
                <w:szCs w:val="24"/>
              </w:rPr>
            </w:pPr>
            <w:r>
              <w:rPr>
                <w:rFonts w:hint="eastAsia"/>
                <w:color w:val="auto"/>
                <w:sz w:val="24"/>
                <w:szCs w:val="24"/>
                <w:lang w:eastAsia="zh-CN"/>
              </w:rPr>
              <w:t>本项目</w:t>
            </w:r>
            <w:r>
              <w:rPr>
                <w:rFonts w:hint="eastAsia"/>
                <w:color w:val="auto"/>
                <w:sz w:val="24"/>
                <w:szCs w:val="24"/>
              </w:rPr>
              <w:t>的主产品为“精密阀门</w:t>
            </w:r>
            <w:r>
              <w:rPr>
                <w:rFonts w:hint="eastAsia"/>
                <w:color w:val="auto"/>
                <w:sz w:val="24"/>
                <w:szCs w:val="24"/>
                <w:lang w:val="en-US" w:eastAsia="zh-CN"/>
              </w:rPr>
              <w:t>铸件</w:t>
            </w:r>
            <w:r>
              <w:rPr>
                <w:rFonts w:hint="eastAsia"/>
                <w:color w:val="auto"/>
                <w:sz w:val="24"/>
                <w:szCs w:val="24"/>
              </w:rPr>
              <w:t>、工程机械配件</w:t>
            </w:r>
            <w:r>
              <w:rPr>
                <w:rFonts w:hint="eastAsia"/>
                <w:color w:val="auto"/>
                <w:sz w:val="24"/>
                <w:szCs w:val="24"/>
                <w:lang w:val="en-US" w:eastAsia="zh-CN"/>
              </w:rPr>
              <w:t>铸件</w:t>
            </w:r>
            <w:r>
              <w:rPr>
                <w:rFonts w:hint="eastAsia"/>
                <w:color w:val="auto"/>
                <w:sz w:val="24"/>
                <w:szCs w:val="24"/>
              </w:rPr>
              <w:t>、汽车零部件</w:t>
            </w:r>
            <w:r>
              <w:rPr>
                <w:rFonts w:hint="eastAsia"/>
                <w:color w:val="auto"/>
                <w:sz w:val="24"/>
                <w:szCs w:val="24"/>
                <w:lang w:val="en-US" w:eastAsia="zh-CN"/>
              </w:rPr>
              <w:t>铸件</w:t>
            </w:r>
            <w:r>
              <w:rPr>
                <w:rFonts w:hint="eastAsia"/>
                <w:color w:val="auto"/>
                <w:sz w:val="24"/>
                <w:szCs w:val="24"/>
              </w:rPr>
              <w:t>等”，对照</w:t>
            </w:r>
            <w:r>
              <w:rPr>
                <w:color w:val="auto"/>
                <w:sz w:val="24"/>
                <w:szCs w:val="24"/>
              </w:rPr>
              <w:t>《国民经济行业分类》（GB/T4754-2017）</w:t>
            </w:r>
            <w:r>
              <w:rPr>
                <w:rFonts w:hint="eastAsia"/>
                <w:color w:val="auto"/>
                <w:sz w:val="24"/>
                <w:szCs w:val="24"/>
              </w:rPr>
              <w:t>，项目</w:t>
            </w:r>
            <w:r>
              <w:rPr>
                <w:rFonts w:hint="eastAsia"/>
                <w:color w:val="auto"/>
                <w:sz w:val="24"/>
                <w:szCs w:val="24"/>
                <w:lang w:eastAsia="zh-CN"/>
              </w:rPr>
              <w:t>属于</w:t>
            </w:r>
            <w:r>
              <w:rPr>
                <w:rFonts w:hint="eastAsia"/>
                <w:color w:val="auto"/>
                <w:sz w:val="24"/>
                <w:szCs w:val="24"/>
                <w:highlight w:val="none"/>
                <w:lang w:val="en-US" w:eastAsia="zh-CN"/>
              </w:rPr>
              <w:t>C3391</w:t>
            </w:r>
            <w:r>
              <w:rPr>
                <w:rFonts w:hint="eastAsia" w:cs="Times New Roman"/>
                <w:color w:val="auto"/>
                <w:sz w:val="24"/>
                <w:szCs w:val="24"/>
                <w:highlight w:val="none"/>
                <w:lang w:val="en-US" w:eastAsia="zh-CN"/>
              </w:rPr>
              <w:t>黑色金属铸造</w:t>
            </w:r>
            <w:r>
              <w:rPr>
                <w:rFonts w:hint="eastAsia"/>
                <w:color w:val="auto"/>
                <w:sz w:val="24"/>
                <w:szCs w:val="24"/>
                <w:highlight w:val="none"/>
              </w:rPr>
              <w:t>。</w:t>
            </w:r>
          </w:p>
          <w:p w14:paraId="15A60FB8">
            <w:pPr>
              <w:widowControl/>
              <w:spacing w:line="360" w:lineRule="auto"/>
              <w:ind w:firstLine="480" w:firstLineChars="200"/>
              <w:jc w:val="left"/>
              <w:rPr>
                <w:color w:val="auto"/>
              </w:rPr>
            </w:pPr>
            <w:r>
              <w:rPr>
                <w:color w:val="auto"/>
                <w:kern w:val="0"/>
                <w:sz w:val="24"/>
                <w:szCs w:val="24"/>
                <w:lang w:bidi="ar"/>
              </w:rPr>
              <w:t>根据《中华人民共和国环境影响评价法</w:t>
            </w:r>
            <w:r>
              <w:rPr>
                <w:rFonts w:hint="eastAsia"/>
                <w:color w:val="auto"/>
                <w:kern w:val="0"/>
                <w:sz w:val="24"/>
                <w:szCs w:val="24"/>
                <w:lang w:eastAsia="zh-CN" w:bidi="ar"/>
              </w:rPr>
              <w:t>》《</w:t>
            </w:r>
            <w:r>
              <w:rPr>
                <w:color w:val="auto"/>
                <w:kern w:val="0"/>
                <w:sz w:val="24"/>
                <w:szCs w:val="24"/>
                <w:lang w:bidi="ar"/>
              </w:rPr>
              <w:t>建设项目环境保护管理条例》[国务院682号令]的有关规定和要求，</w:t>
            </w:r>
            <w:r>
              <w:rPr>
                <w:rFonts w:hint="eastAsia"/>
                <w:color w:val="auto"/>
                <w:kern w:val="0"/>
                <w:sz w:val="24"/>
                <w:szCs w:val="24"/>
                <w:lang w:val="en-US" w:eastAsia="zh-CN" w:bidi="ar"/>
              </w:rPr>
              <w:t>本</w:t>
            </w:r>
            <w:r>
              <w:rPr>
                <w:color w:val="auto"/>
                <w:kern w:val="0"/>
                <w:sz w:val="24"/>
                <w:szCs w:val="24"/>
                <w:lang w:bidi="ar"/>
              </w:rPr>
              <w:t>项目需要进行环境影响评价</w:t>
            </w:r>
            <w:r>
              <w:rPr>
                <w:color w:val="auto"/>
                <w:sz w:val="24"/>
                <w:szCs w:val="24"/>
              </w:rPr>
              <w:t>。</w:t>
            </w:r>
            <w:r>
              <w:rPr>
                <w:rFonts w:hint="eastAsia"/>
                <w:color w:val="auto"/>
                <w:sz w:val="24"/>
                <w:szCs w:val="24"/>
                <w:lang w:eastAsia="zh-CN"/>
              </w:rPr>
              <w:t>根据</w:t>
            </w:r>
            <w:r>
              <w:rPr>
                <w:color w:val="auto"/>
                <w:sz w:val="24"/>
                <w:szCs w:val="24"/>
              </w:rPr>
              <w:t>《国民经济行业分类》（GB/T 4754-2017）</w:t>
            </w:r>
            <w:r>
              <w:rPr>
                <w:rFonts w:hint="eastAsia"/>
                <w:color w:val="auto"/>
                <w:sz w:val="24"/>
                <w:szCs w:val="24"/>
              </w:rPr>
              <w:t>和</w:t>
            </w:r>
            <w:r>
              <w:rPr>
                <w:color w:val="auto"/>
                <w:sz w:val="24"/>
                <w:szCs w:val="24"/>
              </w:rPr>
              <w:t>《建设项目环境影响评价分类管理名录》（2021年版）</w:t>
            </w:r>
            <w:r>
              <w:rPr>
                <w:rFonts w:hint="eastAsia"/>
                <w:color w:val="auto"/>
                <w:sz w:val="24"/>
                <w:szCs w:val="24"/>
              </w:rPr>
              <w:t>对照表</w:t>
            </w:r>
            <w:r>
              <w:rPr>
                <w:rFonts w:hint="eastAsia"/>
                <w:bCs/>
                <w:color w:val="auto"/>
                <w:sz w:val="24"/>
                <w:szCs w:val="24"/>
              </w:rPr>
              <w:t>如下表所示：</w:t>
            </w:r>
          </w:p>
          <w:p w14:paraId="253BF0A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表2-1  项目行业判定表</w:t>
            </w:r>
          </w:p>
          <w:tbl>
            <w:tblPr>
              <w:tblStyle w:val="36"/>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084"/>
              <w:gridCol w:w="1859"/>
              <w:gridCol w:w="1540"/>
              <w:gridCol w:w="1608"/>
              <w:gridCol w:w="1826"/>
            </w:tblGrid>
            <w:tr w14:paraId="312E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25" w:type="pct"/>
                  <w:gridSpan w:val="2"/>
                  <w:tcBorders>
                    <w:tl2br w:val="nil"/>
                    <w:tr2bl w:val="nil"/>
                  </w:tcBorders>
                  <w:noWrap w:val="0"/>
                  <w:vAlign w:val="center"/>
                </w:tcPr>
                <w:p w14:paraId="2A8A14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产品</w:t>
                  </w:r>
                  <w:r>
                    <w:rPr>
                      <w:rFonts w:hint="eastAsia" w:ascii="Times New Roman" w:hAnsi="Times New Roman" w:eastAsia="宋体" w:cs="Times New Roman"/>
                      <w:b/>
                      <w:bCs/>
                      <w:color w:val="auto"/>
                      <w:sz w:val="21"/>
                      <w:szCs w:val="21"/>
                      <w:lang w:val="en-US" w:eastAsia="zh-CN"/>
                    </w:rPr>
                    <w:t>类别</w:t>
                  </w:r>
                </w:p>
              </w:tc>
              <w:tc>
                <w:tcPr>
                  <w:tcW w:w="3974" w:type="pct"/>
                  <w:gridSpan w:val="4"/>
                  <w:tcBorders>
                    <w:tl2br w:val="nil"/>
                    <w:tr2bl w:val="nil"/>
                  </w:tcBorders>
                  <w:noWrap w:val="0"/>
                  <w:vAlign w:val="center"/>
                </w:tcPr>
                <w:p w14:paraId="620147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分类</w:t>
                  </w:r>
                </w:p>
              </w:tc>
            </w:tr>
            <w:tr w14:paraId="4F3A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5000" w:type="pct"/>
                  <w:gridSpan w:val="6"/>
                  <w:tcBorders>
                    <w:tl2br w:val="nil"/>
                    <w:tr2bl w:val="nil"/>
                  </w:tcBorders>
                  <w:noWrap w:val="0"/>
                  <w:vAlign w:val="center"/>
                </w:tcPr>
                <w:p w14:paraId="32A131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一、《国民经济行业分类》（GB/T 4754-2017）</w:t>
                  </w:r>
                </w:p>
              </w:tc>
            </w:tr>
            <w:tr w14:paraId="7C92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394" w:type="pct"/>
                  <w:tcBorders>
                    <w:tl2br w:val="nil"/>
                    <w:tr2bl w:val="nil"/>
                  </w:tcBorders>
                  <w:noWrap w:val="0"/>
                  <w:vAlign w:val="center"/>
                </w:tcPr>
                <w:p w14:paraId="64AE16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630" w:type="pct"/>
                  <w:tcBorders>
                    <w:tl2br w:val="nil"/>
                    <w:tr2bl w:val="nil"/>
                  </w:tcBorders>
                  <w:noWrap w:val="0"/>
                  <w:vAlign w:val="center"/>
                </w:tcPr>
                <w:p w14:paraId="353664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081" w:type="pct"/>
                  <w:tcBorders>
                    <w:tl2br w:val="nil"/>
                    <w:tr2bl w:val="nil"/>
                  </w:tcBorders>
                  <w:noWrap w:val="0"/>
                  <w:vAlign w:val="center"/>
                </w:tcPr>
                <w:p w14:paraId="1F9A3A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总类</w:t>
                  </w:r>
                </w:p>
              </w:tc>
              <w:tc>
                <w:tcPr>
                  <w:tcW w:w="895" w:type="pct"/>
                  <w:tcBorders>
                    <w:tl2br w:val="nil"/>
                    <w:tr2bl w:val="nil"/>
                  </w:tcBorders>
                  <w:noWrap w:val="0"/>
                  <w:vAlign w:val="center"/>
                </w:tcPr>
                <w:p w14:paraId="4E545A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大类</w:t>
                  </w:r>
                </w:p>
              </w:tc>
              <w:tc>
                <w:tcPr>
                  <w:tcW w:w="935" w:type="pct"/>
                  <w:tcBorders>
                    <w:tl2br w:val="nil"/>
                    <w:tr2bl w:val="nil"/>
                  </w:tcBorders>
                  <w:noWrap w:val="0"/>
                  <w:vAlign w:val="center"/>
                </w:tcPr>
                <w:p w14:paraId="41EC2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中类</w:t>
                  </w:r>
                </w:p>
              </w:tc>
              <w:tc>
                <w:tcPr>
                  <w:tcW w:w="1062" w:type="pct"/>
                  <w:tcBorders>
                    <w:tl2br w:val="nil"/>
                    <w:tr2bl w:val="nil"/>
                  </w:tcBorders>
                  <w:noWrap w:val="0"/>
                  <w:vAlign w:val="center"/>
                </w:tcPr>
                <w:p w14:paraId="5B09C7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小类</w:t>
                  </w:r>
                </w:p>
              </w:tc>
            </w:tr>
            <w:tr w14:paraId="381D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394" w:type="pct"/>
                  <w:tcBorders>
                    <w:tl2br w:val="nil"/>
                    <w:tr2bl w:val="nil"/>
                  </w:tcBorders>
                  <w:noWrap w:val="0"/>
                  <w:vAlign w:val="center"/>
                </w:tcPr>
                <w:p w14:paraId="7EAE10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产品</w:t>
                  </w:r>
                </w:p>
              </w:tc>
              <w:tc>
                <w:tcPr>
                  <w:tcW w:w="630" w:type="pct"/>
                  <w:tcBorders>
                    <w:tl2br w:val="nil"/>
                    <w:tr2bl w:val="nil"/>
                  </w:tcBorders>
                  <w:noWrap w:val="0"/>
                  <w:vAlign w:val="center"/>
                </w:tcPr>
                <w:p w14:paraId="4E7AA5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铸件</w:t>
                  </w:r>
                </w:p>
              </w:tc>
              <w:tc>
                <w:tcPr>
                  <w:tcW w:w="1081" w:type="pct"/>
                  <w:tcBorders>
                    <w:tl2br w:val="nil"/>
                    <w:tr2bl w:val="nil"/>
                  </w:tcBorders>
                  <w:noWrap w:val="0"/>
                  <w:vAlign w:val="center"/>
                </w:tcPr>
                <w:p w14:paraId="1E2DD7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C</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制造业</w:t>
                  </w:r>
                </w:p>
              </w:tc>
              <w:tc>
                <w:tcPr>
                  <w:tcW w:w="895" w:type="pct"/>
                  <w:tcBorders>
                    <w:tl2br w:val="nil"/>
                    <w:tr2bl w:val="nil"/>
                  </w:tcBorders>
                  <w:noWrap w:val="0"/>
                  <w:vAlign w:val="center"/>
                </w:tcPr>
                <w:p w14:paraId="21376D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 金属制品业</w:t>
                  </w:r>
                </w:p>
              </w:tc>
              <w:tc>
                <w:tcPr>
                  <w:tcW w:w="935" w:type="pct"/>
                  <w:tcBorders>
                    <w:tl2br w:val="nil"/>
                    <w:tr2bl w:val="nil"/>
                  </w:tcBorders>
                  <w:noWrap w:val="0"/>
                  <w:vAlign w:val="center"/>
                </w:tcPr>
                <w:p w14:paraId="14D094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339铸造及其他金属制品制造</w:t>
                  </w:r>
                </w:p>
              </w:tc>
              <w:tc>
                <w:tcPr>
                  <w:tcW w:w="1062" w:type="pct"/>
                  <w:tcBorders>
                    <w:tl2br w:val="nil"/>
                    <w:tr2bl w:val="nil"/>
                  </w:tcBorders>
                  <w:noWrap w:val="0"/>
                  <w:vAlign w:val="center"/>
                </w:tcPr>
                <w:p w14:paraId="795AC2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339</w:t>
                  </w:r>
                  <w:r>
                    <w:rPr>
                      <w:rFonts w:hint="eastAsia" w:ascii="Times New Roman" w:hAnsi="Times New Roman" w:eastAsia="宋体" w:cs="Times New Roman"/>
                      <w:color w:val="auto"/>
                      <w:sz w:val="21"/>
                      <w:szCs w:val="21"/>
                      <w:lang w:val="en-US" w:eastAsia="zh-CN"/>
                    </w:rPr>
                    <w:t>1黑</w:t>
                  </w:r>
                  <w:r>
                    <w:rPr>
                      <w:rFonts w:hint="default" w:ascii="Times New Roman" w:hAnsi="Times New Roman" w:eastAsia="宋体" w:cs="Times New Roman"/>
                      <w:color w:val="auto"/>
                      <w:sz w:val="21"/>
                      <w:szCs w:val="21"/>
                      <w:lang w:val="en-US" w:eastAsia="zh-CN"/>
                    </w:rPr>
                    <w:t>色金属铸造</w:t>
                  </w:r>
                </w:p>
              </w:tc>
            </w:tr>
            <w:tr w14:paraId="5A0B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5000" w:type="pct"/>
                  <w:gridSpan w:val="6"/>
                  <w:tcBorders>
                    <w:tl2br w:val="nil"/>
                    <w:tr2bl w:val="nil"/>
                  </w:tcBorders>
                  <w:noWrap w:val="0"/>
                  <w:vAlign w:val="center"/>
                </w:tcPr>
                <w:p w14:paraId="4CF3F3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val="0"/>
                      <w:bCs/>
                      <w:color w:val="auto"/>
                      <w:sz w:val="21"/>
                      <w:szCs w:val="21"/>
                    </w:rPr>
                  </w:pPr>
                  <w:r>
                    <w:rPr>
                      <w:rFonts w:hint="default" w:ascii="Times New Roman" w:hAnsi="Times New Roman" w:eastAsia="宋体" w:cs="Times New Roman"/>
                      <w:b/>
                      <w:bCs/>
                      <w:color w:val="auto"/>
                      <w:sz w:val="21"/>
                      <w:szCs w:val="21"/>
                      <w:lang w:val="en-US" w:eastAsia="zh-CN"/>
                    </w:rPr>
                    <w:t>二、《建设项目环境影响评价分类管理名录》（2021年版）</w:t>
                  </w:r>
                </w:p>
              </w:tc>
            </w:tr>
            <w:tr w14:paraId="565DD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394" w:type="pct"/>
                  <w:vMerge w:val="restart"/>
                  <w:tcBorders>
                    <w:tl2br w:val="nil"/>
                    <w:tr2bl w:val="nil"/>
                  </w:tcBorders>
                  <w:noWrap w:val="0"/>
                  <w:vAlign w:val="center"/>
                </w:tcPr>
                <w:p w14:paraId="65DC83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产品</w:t>
                  </w:r>
                </w:p>
              </w:tc>
              <w:tc>
                <w:tcPr>
                  <w:tcW w:w="630" w:type="pct"/>
                  <w:vMerge w:val="restart"/>
                  <w:tcBorders>
                    <w:tl2br w:val="nil"/>
                    <w:tr2bl w:val="nil"/>
                  </w:tcBorders>
                  <w:noWrap w:val="0"/>
                  <w:vAlign w:val="center"/>
                </w:tcPr>
                <w:p w14:paraId="689BF9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2912" w:type="pct"/>
                  <w:gridSpan w:val="3"/>
                  <w:tcBorders>
                    <w:tl2br w:val="nil"/>
                    <w:tr2bl w:val="nil"/>
                  </w:tcBorders>
                  <w:noWrap w:val="0"/>
                  <w:vAlign w:val="center"/>
                </w:tcPr>
                <w:p w14:paraId="62F03F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三十、金属制品业 33</w:t>
                  </w:r>
                </w:p>
              </w:tc>
              <w:tc>
                <w:tcPr>
                  <w:tcW w:w="1062" w:type="pct"/>
                  <w:tcBorders>
                    <w:tl2br w:val="nil"/>
                    <w:tr2bl w:val="nil"/>
                  </w:tcBorders>
                  <w:noWrap w:val="0"/>
                  <w:vAlign w:val="center"/>
                </w:tcPr>
                <w:p w14:paraId="551CFD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7434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394" w:type="pct"/>
                  <w:vMerge w:val="continue"/>
                  <w:tcBorders>
                    <w:tl2br w:val="nil"/>
                    <w:tr2bl w:val="nil"/>
                  </w:tcBorders>
                  <w:noWrap w:val="0"/>
                  <w:vAlign w:val="center"/>
                </w:tcPr>
                <w:p w14:paraId="56C9F4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630" w:type="pct"/>
                  <w:vMerge w:val="continue"/>
                  <w:tcBorders>
                    <w:tl2br w:val="nil"/>
                    <w:tr2bl w:val="nil"/>
                  </w:tcBorders>
                  <w:noWrap w:val="0"/>
                  <w:vAlign w:val="center"/>
                </w:tcPr>
                <w:p w14:paraId="0DF177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81" w:type="pct"/>
                  <w:tcBorders>
                    <w:tl2br w:val="nil"/>
                    <w:tr2bl w:val="nil"/>
                  </w:tcBorders>
                  <w:noWrap w:val="0"/>
                  <w:vAlign w:val="center"/>
                </w:tcPr>
                <w:p w14:paraId="5FCEA8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报告书</w:t>
                  </w:r>
                </w:p>
              </w:tc>
              <w:tc>
                <w:tcPr>
                  <w:tcW w:w="895" w:type="pct"/>
                  <w:tcBorders>
                    <w:tl2br w:val="nil"/>
                    <w:tr2bl w:val="nil"/>
                  </w:tcBorders>
                  <w:noWrap w:val="0"/>
                  <w:vAlign w:val="center"/>
                </w:tcPr>
                <w:p w14:paraId="57E877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报告表</w:t>
                  </w:r>
                </w:p>
              </w:tc>
              <w:tc>
                <w:tcPr>
                  <w:tcW w:w="935" w:type="pct"/>
                  <w:tcBorders>
                    <w:tl2br w:val="nil"/>
                    <w:tr2bl w:val="nil"/>
                  </w:tcBorders>
                  <w:noWrap w:val="0"/>
                  <w:vAlign w:val="center"/>
                </w:tcPr>
                <w:p w14:paraId="18ADDF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登记表</w:t>
                  </w:r>
                </w:p>
              </w:tc>
              <w:tc>
                <w:tcPr>
                  <w:tcW w:w="1062" w:type="pct"/>
                  <w:tcBorders>
                    <w:tl2br w:val="nil"/>
                    <w:tr2bl w:val="nil"/>
                  </w:tcBorders>
                  <w:noWrap w:val="0"/>
                  <w:vAlign w:val="center"/>
                </w:tcPr>
                <w:p w14:paraId="069BE5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73AC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394" w:type="pct"/>
                  <w:vMerge w:val="continue"/>
                  <w:tcBorders>
                    <w:tl2br w:val="nil"/>
                    <w:tr2bl w:val="nil"/>
                  </w:tcBorders>
                  <w:noWrap w:val="0"/>
                  <w:vAlign w:val="center"/>
                </w:tcPr>
                <w:p w14:paraId="35F955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630" w:type="pct"/>
                  <w:tcBorders>
                    <w:tl2br w:val="nil"/>
                    <w:tr2bl w:val="nil"/>
                  </w:tcBorders>
                  <w:noWrap w:val="0"/>
                  <w:vAlign w:val="center"/>
                </w:tcPr>
                <w:p w14:paraId="3EF0C0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铸件</w:t>
                  </w:r>
                </w:p>
              </w:tc>
              <w:tc>
                <w:tcPr>
                  <w:tcW w:w="1081" w:type="pct"/>
                  <w:tcBorders>
                    <w:tl2br w:val="nil"/>
                    <w:tr2bl w:val="nil"/>
                  </w:tcBorders>
                  <w:noWrap w:val="0"/>
                  <w:vAlign w:val="center"/>
                </w:tcPr>
                <w:p w14:paraId="75CCF8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黑色金属铸造年产10万吨及以上的；有色金属铸造年产10万吨及以上的</w:t>
                  </w:r>
                </w:p>
              </w:tc>
              <w:tc>
                <w:tcPr>
                  <w:tcW w:w="895" w:type="pct"/>
                  <w:tcBorders>
                    <w:tl2br w:val="nil"/>
                    <w:tr2bl w:val="nil"/>
                  </w:tcBorders>
                  <w:noWrap w:val="0"/>
                  <w:vAlign w:val="center"/>
                </w:tcPr>
                <w:p w14:paraId="4181CC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其他（仅分割、焊接、组装的除外）</w:t>
                  </w:r>
                </w:p>
              </w:tc>
              <w:tc>
                <w:tcPr>
                  <w:tcW w:w="935" w:type="pct"/>
                  <w:tcBorders>
                    <w:tl2br w:val="nil"/>
                    <w:tr2bl w:val="nil"/>
                  </w:tcBorders>
                  <w:noWrap w:val="0"/>
                  <w:vAlign w:val="center"/>
                </w:tcPr>
                <w:p w14:paraId="0E8718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062" w:type="pct"/>
                  <w:tcBorders>
                    <w:tl2br w:val="nil"/>
                    <w:tr2bl w:val="nil"/>
                  </w:tcBorders>
                  <w:noWrap w:val="0"/>
                  <w:vAlign w:val="center"/>
                </w:tcPr>
                <w:p w14:paraId="0456F3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本项目黑色金属铸件产品产量为1万吨，不足10万吨，涉及熔融、铸造、机加工等工序，编制报告表。</w:t>
                  </w:r>
                </w:p>
              </w:tc>
            </w:tr>
          </w:tbl>
          <w:p w14:paraId="2ABE2B37">
            <w:pPr>
              <w:pStyle w:val="81"/>
              <w:keepNext w:val="0"/>
              <w:keepLines w:val="0"/>
              <w:pageBreakBefore w:val="0"/>
              <w:widowControl w:val="0"/>
              <w:kinsoku/>
              <w:wordWrap/>
              <w:overflowPunct/>
              <w:topLinePunct w:val="0"/>
              <w:bidi w:val="0"/>
              <w:spacing w:line="360" w:lineRule="auto"/>
              <w:ind w:firstLine="422"/>
              <w:textAlignment w:val="auto"/>
              <w:rPr>
                <w:rFonts w:hint="eastAsia"/>
                <w:color w:val="auto"/>
                <w:sz w:val="24"/>
                <w:szCs w:val="24"/>
              </w:rPr>
            </w:pPr>
            <w:r>
              <w:rPr>
                <w:rFonts w:hint="eastAsia"/>
                <w:b/>
                <w:bCs/>
                <w:color w:val="auto"/>
                <w:sz w:val="24"/>
                <w:szCs w:val="24"/>
                <w:lang w:val="en-US" w:eastAsia="zh-CN"/>
              </w:rPr>
              <w:t>③</w:t>
            </w:r>
            <w:r>
              <w:rPr>
                <w:rFonts w:ascii="Times New Roman" w:hAnsi="Times New Roman"/>
                <w:b/>
                <w:bCs/>
                <w:color w:val="auto"/>
                <w:sz w:val="24"/>
                <w:szCs w:val="24"/>
              </w:rPr>
              <w:t>排污许可管理</w:t>
            </w:r>
          </w:p>
          <w:p w14:paraId="5583AA1A">
            <w:pPr>
              <w:widowControl/>
              <w:spacing w:line="360" w:lineRule="auto"/>
              <w:ind w:firstLine="480" w:firstLineChars="200"/>
              <w:jc w:val="left"/>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根据《排污许可管理条例》（国务院令第736号），排污单位应当按照条例规定申请取得排污许可证，未取得排污许可证的，不得排放污染物。</w:t>
            </w:r>
          </w:p>
          <w:p w14:paraId="4DEB866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 xml:space="preserve">表2-2 </w:t>
            </w:r>
            <w:r>
              <w:rPr>
                <w:rFonts w:hint="default" w:ascii="Times New Roman" w:hAnsi="Times New Roman" w:eastAsia="宋体" w:cs="Times New Roman"/>
                <w:b/>
                <w:bCs/>
                <w:color w:val="auto"/>
                <w:kern w:val="2"/>
                <w:sz w:val="24"/>
                <w:szCs w:val="24"/>
                <w:lang w:val="en-US" w:eastAsia="zh-CN"/>
              </w:rPr>
              <w:t xml:space="preserve"> 固定污染源排污许可证分类管理名录（2019 版）</w:t>
            </w:r>
            <w:r>
              <w:rPr>
                <w:rFonts w:hint="eastAsia" w:ascii="Times New Roman" w:hAnsi="Times New Roman" w:eastAsia="宋体" w:cs="Times New Roman"/>
                <w:b/>
                <w:bCs/>
                <w:color w:val="auto"/>
                <w:kern w:val="2"/>
                <w:sz w:val="24"/>
                <w:szCs w:val="24"/>
                <w:lang w:val="en-US" w:eastAsia="zh-CN"/>
              </w:rPr>
              <w:t>对照</w:t>
            </w:r>
            <w:r>
              <w:rPr>
                <w:rFonts w:hint="default" w:ascii="Times New Roman" w:hAnsi="Times New Roman" w:eastAsia="宋体" w:cs="Times New Roman"/>
                <w:b/>
                <w:bCs/>
                <w:color w:val="auto"/>
                <w:kern w:val="2"/>
                <w:sz w:val="24"/>
                <w:szCs w:val="24"/>
                <w:lang w:val="en-US" w:eastAsia="zh-CN"/>
              </w:rPr>
              <w:t>表</w:t>
            </w:r>
          </w:p>
          <w:tbl>
            <w:tblPr>
              <w:tblStyle w:val="3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2120"/>
              <w:gridCol w:w="2449"/>
              <w:gridCol w:w="2563"/>
              <w:gridCol w:w="801"/>
            </w:tblGrid>
            <w:tr w14:paraId="4547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595" w:type="dxa"/>
                  <w:tcBorders>
                    <w:tl2br w:val="nil"/>
                    <w:tr2bl w:val="nil"/>
                  </w:tcBorders>
                  <w:noWrap w:val="0"/>
                  <w:vAlign w:val="center"/>
                </w:tcPr>
                <w:p w14:paraId="07D29466">
                  <w:pPr>
                    <w:keepNext w:val="0"/>
                    <w:keepLines w:val="0"/>
                    <w:pageBreakBefore w:val="0"/>
                    <w:widowControl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rPr>
                    <w:t>序号</w:t>
                  </w:r>
                </w:p>
              </w:tc>
              <w:tc>
                <w:tcPr>
                  <w:tcW w:w="2120" w:type="dxa"/>
                  <w:tcBorders>
                    <w:tl2br w:val="nil"/>
                    <w:tr2bl w:val="nil"/>
                  </w:tcBorders>
                  <w:noWrap w:val="0"/>
                  <w:vAlign w:val="center"/>
                </w:tcPr>
                <w:p w14:paraId="08B657FC">
                  <w:pPr>
                    <w:keepNext w:val="0"/>
                    <w:keepLines w:val="0"/>
                    <w:pageBreakBefore w:val="0"/>
                    <w:widowControl w:val="0"/>
                    <w:kinsoku/>
                    <w:wordWrap/>
                    <w:overflowPunct/>
                    <w:topLinePunct w:val="0"/>
                    <w:bidi w:val="0"/>
                    <w:spacing w:line="240" w:lineRule="auto"/>
                    <w:ind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行业类别</w:t>
                  </w:r>
                </w:p>
              </w:tc>
              <w:tc>
                <w:tcPr>
                  <w:tcW w:w="2449" w:type="dxa"/>
                  <w:tcBorders>
                    <w:tl2br w:val="nil"/>
                    <w:tr2bl w:val="nil"/>
                  </w:tcBorders>
                  <w:noWrap w:val="0"/>
                  <w:vAlign w:val="center"/>
                </w:tcPr>
                <w:p w14:paraId="31CE163E">
                  <w:pPr>
                    <w:keepNext w:val="0"/>
                    <w:keepLines w:val="0"/>
                    <w:pageBreakBefore w:val="0"/>
                    <w:widowControl w:val="0"/>
                    <w:kinsoku/>
                    <w:wordWrap/>
                    <w:overflowPunct/>
                    <w:topLinePunct w:val="0"/>
                    <w:bidi w:val="0"/>
                    <w:spacing w:line="240" w:lineRule="auto"/>
                    <w:ind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重点管理</w:t>
                  </w:r>
                </w:p>
              </w:tc>
              <w:tc>
                <w:tcPr>
                  <w:tcW w:w="2563" w:type="dxa"/>
                  <w:tcBorders>
                    <w:tl2br w:val="nil"/>
                    <w:tr2bl w:val="nil"/>
                  </w:tcBorders>
                  <w:noWrap w:val="0"/>
                  <w:vAlign w:val="center"/>
                </w:tcPr>
                <w:p w14:paraId="5A4E96F9">
                  <w:pPr>
                    <w:keepNext w:val="0"/>
                    <w:keepLines w:val="0"/>
                    <w:pageBreakBefore w:val="0"/>
                    <w:widowControl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rPr>
                    <w:t>简化管理</w:t>
                  </w:r>
                </w:p>
              </w:tc>
              <w:tc>
                <w:tcPr>
                  <w:tcW w:w="801" w:type="dxa"/>
                  <w:tcBorders>
                    <w:tl2br w:val="nil"/>
                    <w:tr2bl w:val="nil"/>
                  </w:tcBorders>
                  <w:noWrap w:val="0"/>
                  <w:vAlign w:val="center"/>
                </w:tcPr>
                <w:p w14:paraId="549CD8A4">
                  <w:pPr>
                    <w:keepNext w:val="0"/>
                    <w:keepLines w:val="0"/>
                    <w:pageBreakBefore w:val="0"/>
                    <w:widowControl w:val="0"/>
                    <w:kinsoku/>
                    <w:wordWrap/>
                    <w:overflowPunct/>
                    <w:topLinePunct w:val="0"/>
                    <w:bidi w:val="0"/>
                    <w:spacing w:line="240" w:lineRule="auto"/>
                    <w:ind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登记管理</w:t>
                  </w:r>
                </w:p>
              </w:tc>
            </w:tr>
            <w:tr w14:paraId="7BB5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8528" w:type="dxa"/>
                  <w:gridSpan w:val="5"/>
                  <w:tcBorders>
                    <w:tl2br w:val="nil"/>
                    <w:tr2bl w:val="nil"/>
                  </w:tcBorders>
                  <w:noWrap w:val="0"/>
                  <w:vAlign w:val="center"/>
                </w:tcPr>
                <w:p w14:paraId="15B76C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二十八、金属制品业 33</w:t>
                  </w:r>
                </w:p>
              </w:tc>
            </w:tr>
            <w:tr w14:paraId="1CC2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95" w:type="dxa"/>
                  <w:tcBorders>
                    <w:tl2br w:val="nil"/>
                    <w:tr2bl w:val="nil"/>
                  </w:tcBorders>
                  <w:noWrap w:val="0"/>
                  <w:vAlign w:val="center"/>
                </w:tcPr>
                <w:p w14:paraId="594127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8</w:t>
                  </w:r>
                  <w:r>
                    <w:rPr>
                      <w:rFonts w:hint="eastAsia" w:cs="Times New Roman"/>
                      <w:color w:val="auto"/>
                      <w:sz w:val="21"/>
                      <w:szCs w:val="21"/>
                      <w:lang w:val="en-US" w:eastAsia="zh-CN"/>
                    </w:rPr>
                    <w:t>2</w:t>
                  </w:r>
                </w:p>
              </w:tc>
              <w:tc>
                <w:tcPr>
                  <w:tcW w:w="2120" w:type="dxa"/>
                  <w:tcBorders>
                    <w:tl2br w:val="nil"/>
                    <w:tr2bl w:val="nil"/>
                  </w:tcBorders>
                  <w:noWrap w:val="0"/>
                  <w:vAlign w:val="center"/>
                </w:tcPr>
                <w:p w14:paraId="5FC910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铸造及其他金属制品制造 339</w:t>
                  </w:r>
                </w:p>
              </w:tc>
              <w:tc>
                <w:tcPr>
                  <w:tcW w:w="2449" w:type="dxa"/>
                  <w:tcBorders>
                    <w:tl2br w:val="nil"/>
                    <w:tr2bl w:val="nil"/>
                  </w:tcBorders>
                  <w:noWrap w:val="0"/>
                  <w:vAlign w:val="center"/>
                </w:tcPr>
                <w:p w14:paraId="52070EA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黑色金属铸造3391（使用冲天炉的），有色金属铸造 3392（生产铅基及铅青铜铸件的）</w:t>
                  </w:r>
                </w:p>
              </w:tc>
              <w:tc>
                <w:tcPr>
                  <w:tcW w:w="2563" w:type="dxa"/>
                  <w:tcBorders>
                    <w:tl2br w:val="nil"/>
                    <w:tr2bl w:val="nil"/>
                  </w:tcBorders>
                  <w:noWrap w:val="0"/>
                  <w:vAlign w:val="center"/>
                </w:tcPr>
                <w:p w14:paraId="4B07EC2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除重点管理以外的黑色金属铸造3391、有色金属铸造3392</w:t>
                  </w:r>
                </w:p>
              </w:tc>
              <w:tc>
                <w:tcPr>
                  <w:tcW w:w="801" w:type="dxa"/>
                  <w:tcBorders>
                    <w:tl2br w:val="nil"/>
                    <w:tr2bl w:val="nil"/>
                  </w:tcBorders>
                  <w:noWrap w:val="0"/>
                  <w:vAlign w:val="center"/>
                </w:tcPr>
                <w:p w14:paraId="07BAEAA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cs="Times New Roman"/>
                      <w:color w:val="auto"/>
                      <w:kern w:val="0"/>
                      <w:sz w:val="21"/>
                      <w:szCs w:val="21"/>
                      <w:lang w:val="en-US" w:eastAsia="zh-CN" w:bidi="ar"/>
                    </w:rPr>
                    <w:t>/</w:t>
                  </w:r>
                </w:p>
              </w:tc>
            </w:tr>
          </w:tbl>
          <w:p w14:paraId="41DE9F08">
            <w:pPr>
              <w:widowControl/>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根据</w:t>
            </w:r>
            <w:r>
              <w:rPr>
                <w:rFonts w:hint="eastAsia" w:ascii="Times New Roman" w:hAnsi="Times New Roman" w:eastAsia="宋体" w:cs="Times New Roman"/>
                <w:color w:val="auto"/>
                <w:sz w:val="24"/>
                <w:szCs w:val="24"/>
                <w:lang w:val="en-US" w:eastAsia="zh-CN"/>
              </w:rPr>
              <w:t>《固定污染源排污许可证分类管理名录（2019版）</w:t>
            </w:r>
            <w:r>
              <w:rPr>
                <w:rFonts w:hint="eastAsia" w:cs="Times New Roman"/>
                <w:color w:val="auto"/>
                <w:sz w:val="24"/>
                <w:szCs w:val="24"/>
                <w:lang w:val="en-US" w:eastAsia="zh-CN"/>
              </w:rPr>
              <w:t>》第</w:t>
            </w:r>
            <w:r>
              <w:rPr>
                <w:rFonts w:hint="eastAsia" w:ascii="Times New Roman" w:hAnsi="Times New Roman" w:eastAsia="宋体" w:cs="Times New Roman"/>
                <w:color w:val="auto"/>
                <w:sz w:val="24"/>
                <w:szCs w:val="24"/>
                <w:lang w:val="en-US" w:eastAsia="zh-CN"/>
              </w:rPr>
              <w:t>二十八、金属制品业33，本项目涉及</w:t>
            </w:r>
            <w:r>
              <w:rPr>
                <w:rFonts w:hint="eastAsia" w:cs="Times New Roman"/>
                <w:color w:val="auto"/>
                <w:sz w:val="24"/>
                <w:szCs w:val="24"/>
                <w:lang w:val="en-US" w:eastAsia="zh-CN"/>
              </w:rPr>
              <w:t>黑色</w:t>
            </w:r>
            <w:r>
              <w:rPr>
                <w:rFonts w:hint="eastAsia" w:ascii="Times New Roman" w:hAnsi="Times New Roman" w:eastAsia="宋体" w:cs="Times New Roman"/>
                <w:color w:val="auto"/>
                <w:sz w:val="24"/>
                <w:szCs w:val="24"/>
                <w:lang w:val="en-US" w:eastAsia="zh-CN"/>
              </w:rPr>
              <w:t>金属铸造，属于简化管理；</w:t>
            </w:r>
          </w:p>
          <w:p w14:paraId="089ABF4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lang w:val="en-US" w:eastAsia="zh-CN"/>
              </w:rPr>
              <w:t>项目概况</w:t>
            </w:r>
          </w:p>
          <w:p w14:paraId="2C795CD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项目名称：</w:t>
            </w:r>
            <w:r>
              <w:rPr>
                <w:rFonts w:hint="eastAsia" w:ascii="Times New Roman" w:hAnsi="Times New Roman" w:eastAsia="宋体" w:cs="Times New Roman"/>
                <w:color w:val="auto"/>
                <w:kern w:val="2"/>
                <w:sz w:val="24"/>
                <w:szCs w:val="24"/>
                <w:highlight w:val="none"/>
                <w:lang w:val="en-US" w:eastAsia="zh-CN"/>
              </w:rPr>
              <w:t>年产1万吨精密铸件及金属制品加工绿色发展技改提升项目</w:t>
            </w:r>
            <w:r>
              <w:rPr>
                <w:rFonts w:hint="default" w:ascii="Times New Roman" w:hAnsi="Times New Roman" w:eastAsia="宋体" w:cs="Times New Roman"/>
                <w:color w:val="auto"/>
                <w:kern w:val="2"/>
                <w:sz w:val="24"/>
                <w:szCs w:val="24"/>
                <w:highlight w:val="none"/>
                <w:lang w:val="en-US" w:eastAsia="zh-CN"/>
              </w:rPr>
              <w:t>；</w:t>
            </w:r>
          </w:p>
          <w:p w14:paraId="5E7EE53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建设单位：</w:t>
            </w:r>
            <w:r>
              <w:rPr>
                <w:rFonts w:hint="eastAsia" w:ascii="Times New Roman" w:hAnsi="Times New Roman" w:eastAsia="宋体" w:cs="Times New Roman"/>
                <w:color w:val="auto"/>
                <w:kern w:val="2"/>
                <w:sz w:val="24"/>
                <w:szCs w:val="24"/>
                <w:highlight w:val="none"/>
                <w:lang w:val="en-US" w:eastAsia="zh-CN"/>
              </w:rPr>
              <w:t>池州市锋达金属铸造有限公司</w:t>
            </w:r>
            <w:r>
              <w:rPr>
                <w:rFonts w:hint="default" w:ascii="Times New Roman" w:hAnsi="Times New Roman" w:eastAsia="宋体" w:cs="Times New Roman"/>
                <w:color w:val="auto"/>
                <w:kern w:val="2"/>
                <w:sz w:val="24"/>
                <w:szCs w:val="24"/>
                <w:highlight w:val="none"/>
                <w:lang w:val="en-US" w:eastAsia="zh-CN"/>
              </w:rPr>
              <w:t>；</w:t>
            </w:r>
          </w:p>
          <w:p w14:paraId="4AF16CE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建设性质：技术改造</w:t>
            </w:r>
            <w:r>
              <w:rPr>
                <w:rFonts w:hint="eastAsia" w:cs="Times New Roman"/>
                <w:color w:val="auto"/>
                <w:kern w:val="2"/>
                <w:sz w:val="24"/>
                <w:szCs w:val="24"/>
                <w:highlight w:val="none"/>
                <w:lang w:val="en-US" w:eastAsia="zh-CN"/>
              </w:rPr>
              <w:t>、改建</w:t>
            </w:r>
            <w:r>
              <w:rPr>
                <w:rFonts w:hint="eastAsia" w:ascii="Times New Roman" w:hAnsi="Times New Roman" w:eastAsia="宋体" w:cs="Times New Roman"/>
                <w:color w:val="auto"/>
                <w:kern w:val="2"/>
                <w:sz w:val="24"/>
                <w:szCs w:val="24"/>
                <w:highlight w:val="none"/>
                <w:lang w:val="en-US" w:eastAsia="zh-CN"/>
              </w:rPr>
              <w:t>；</w:t>
            </w:r>
          </w:p>
          <w:p w14:paraId="69E8B7C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建设地点：</w:t>
            </w:r>
            <w:r>
              <w:rPr>
                <w:rFonts w:hint="eastAsia" w:cs="Times New Roman"/>
                <w:color w:val="auto"/>
                <w:kern w:val="2"/>
                <w:sz w:val="24"/>
                <w:szCs w:val="24"/>
                <w:highlight w:val="none"/>
                <w:lang w:val="en-US" w:eastAsia="zh-CN"/>
              </w:rPr>
              <w:t>青阳县新河镇镁铝及机电装备制造产业集聚区</w:t>
            </w:r>
            <w:r>
              <w:rPr>
                <w:rFonts w:hint="default" w:ascii="Times New Roman" w:hAnsi="Times New Roman" w:eastAsia="宋体" w:cs="Times New Roman"/>
                <w:color w:val="auto"/>
                <w:kern w:val="2"/>
                <w:sz w:val="24"/>
                <w:szCs w:val="24"/>
                <w:highlight w:val="none"/>
                <w:lang w:val="en-US" w:eastAsia="zh-CN"/>
              </w:rPr>
              <w:t>；</w:t>
            </w:r>
          </w:p>
          <w:p w14:paraId="367A9D0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建设规模：对现有铸造车间进行</w:t>
            </w:r>
            <w:r>
              <w:rPr>
                <w:rFonts w:hint="eastAsia" w:ascii="Times New Roman" w:hAnsi="Times New Roman" w:eastAsia="宋体" w:cs="Times New Roman"/>
                <w:color w:val="auto"/>
                <w:kern w:val="2"/>
                <w:sz w:val="24"/>
                <w:szCs w:val="24"/>
                <w:highlight w:val="none"/>
                <w:lang w:val="en-US" w:eastAsia="zh-CN"/>
              </w:rPr>
              <w:t>绿色发展</w:t>
            </w:r>
            <w:r>
              <w:rPr>
                <w:rFonts w:hint="default" w:ascii="Times New Roman" w:hAnsi="Times New Roman" w:eastAsia="宋体" w:cs="Times New Roman"/>
                <w:color w:val="auto"/>
                <w:kern w:val="2"/>
                <w:sz w:val="24"/>
                <w:szCs w:val="24"/>
                <w:highlight w:val="none"/>
                <w:lang w:val="en-US" w:eastAsia="zh-CN"/>
              </w:rPr>
              <w:t>改造</w:t>
            </w:r>
            <w:r>
              <w:rPr>
                <w:rFonts w:hint="eastAsia" w:ascii="Times New Roman" w:hAnsi="Times New Roman" w:eastAsia="宋体" w:cs="Times New Roman"/>
                <w:color w:val="auto"/>
                <w:kern w:val="2"/>
                <w:sz w:val="24"/>
                <w:szCs w:val="24"/>
                <w:highlight w:val="none"/>
                <w:lang w:val="en-US" w:eastAsia="zh-CN"/>
              </w:rPr>
              <w:t>提升</w:t>
            </w:r>
            <w:r>
              <w:rPr>
                <w:rFonts w:hint="default" w:ascii="Times New Roman" w:hAnsi="Times New Roman" w:eastAsia="宋体" w:cs="Times New Roman"/>
                <w:color w:val="auto"/>
                <w:kern w:val="2"/>
                <w:sz w:val="24"/>
                <w:szCs w:val="24"/>
                <w:highlight w:val="none"/>
                <w:lang w:val="en-US" w:eastAsia="zh-CN"/>
              </w:rPr>
              <w:t>，在不新增铸造产能的前提下，</w:t>
            </w:r>
            <w:r>
              <w:rPr>
                <w:rFonts w:hint="eastAsia" w:ascii="Times New Roman" w:hAnsi="Times New Roman" w:eastAsia="宋体" w:cs="Times New Roman"/>
                <w:color w:val="auto"/>
                <w:kern w:val="2"/>
                <w:sz w:val="24"/>
                <w:szCs w:val="24"/>
                <w:highlight w:val="none"/>
                <w:lang w:val="en-US" w:eastAsia="zh-CN"/>
              </w:rPr>
              <w:t>改造现有铸造生产线</w:t>
            </w:r>
            <w:r>
              <w:rPr>
                <w:rFonts w:hint="default" w:ascii="Times New Roman" w:hAnsi="Times New Roman" w:eastAsia="宋体" w:cs="Times New Roman"/>
                <w:color w:val="auto"/>
                <w:kern w:val="2"/>
                <w:sz w:val="24"/>
                <w:szCs w:val="24"/>
                <w:highlight w:val="none"/>
                <w:lang w:val="en-US" w:eastAsia="zh-CN"/>
              </w:rPr>
              <w:t>、黑砂水平自动线和自动浇铸生产线，以提高现有铸造生产线的自动化、智能化程度，改善工作环境，全面提升铸件的精度和质量，同时扩建金属制品加工车间</w:t>
            </w:r>
            <w:r>
              <w:rPr>
                <w:rFonts w:hint="eastAsia" w:ascii="Times New Roman" w:hAnsi="Times New Roman" w:eastAsia="宋体" w:cs="Times New Roman"/>
                <w:color w:val="auto"/>
                <w:kern w:val="2"/>
                <w:sz w:val="24"/>
                <w:szCs w:val="24"/>
                <w:highlight w:val="none"/>
                <w:lang w:val="en-US" w:eastAsia="zh-CN"/>
              </w:rPr>
              <w:t>约</w:t>
            </w:r>
            <w:r>
              <w:rPr>
                <w:rFonts w:hint="default" w:ascii="Times New Roman" w:hAnsi="Times New Roman" w:eastAsia="宋体" w:cs="Times New Roman"/>
                <w:color w:val="auto"/>
                <w:kern w:val="2"/>
                <w:sz w:val="24"/>
                <w:szCs w:val="24"/>
                <w:highlight w:val="none"/>
                <w:lang w:val="en-US" w:eastAsia="zh-CN"/>
              </w:rPr>
              <w:t>2500m²</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购置数控车床、普通车床、加工中心、立式打磨机、冷却塔等关键设备，新增变压器容量1200KVA</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健全和完善检测和化验机制，配套环保、安防、消防、给排水及卫生等公用辅助工程</w:t>
            </w:r>
            <w:r>
              <w:rPr>
                <w:rFonts w:hint="eastAsia" w:cs="Times New Roman"/>
                <w:color w:val="auto"/>
                <w:kern w:val="2"/>
                <w:sz w:val="24"/>
                <w:szCs w:val="24"/>
                <w:highlight w:val="none"/>
                <w:lang w:val="en-US" w:eastAsia="zh-CN"/>
              </w:rPr>
              <w:t>，其中</w:t>
            </w:r>
            <w:r>
              <w:rPr>
                <w:rFonts w:hint="default" w:ascii="Times New Roman" w:hAnsi="Times New Roman" w:eastAsia="宋体" w:cs="Times New Roman"/>
                <w:color w:val="auto"/>
                <w:kern w:val="2"/>
                <w:sz w:val="24"/>
                <w:szCs w:val="24"/>
                <w:highlight w:val="none"/>
                <w:lang w:val="en-US" w:eastAsia="zh-CN"/>
              </w:rPr>
              <w:t>金属制品加工车间</w:t>
            </w:r>
            <w:r>
              <w:rPr>
                <w:rFonts w:hint="eastAsia" w:cs="Times New Roman"/>
                <w:color w:val="auto"/>
                <w:kern w:val="2"/>
                <w:sz w:val="24"/>
                <w:szCs w:val="24"/>
                <w:highlight w:val="none"/>
                <w:lang w:val="en-US" w:eastAsia="zh-CN"/>
              </w:rPr>
              <w:t>利用2023年9月已建厂房</w:t>
            </w:r>
            <w:r>
              <w:rPr>
                <w:rFonts w:hint="eastAsia" w:ascii="Times New Roman" w:hAnsi="Times New Roman" w:eastAsia="宋体" w:cs="Times New Roman"/>
                <w:color w:val="auto"/>
                <w:kern w:val="2"/>
                <w:sz w:val="24"/>
                <w:szCs w:val="24"/>
                <w:highlight w:val="none"/>
                <w:lang w:val="en-US" w:eastAsia="zh-CN"/>
              </w:rPr>
              <w:t>。</w:t>
            </w:r>
          </w:p>
          <w:p w14:paraId="226C469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总投资：</w:t>
            </w:r>
            <w:r>
              <w:rPr>
                <w:rFonts w:hint="eastAsia" w:ascii="Times New Roman" w:hAnsi="Times New Roman" w:eastAsia="宋体" w:cs="Times New Roman"/>
                <w:color w:val="auto"/>
                <w:kern w:val="2"/>
                <w:sz w:val="24"/>
                <w:szCs w:val="24"/>
                <w:highlight w:val="none"/>
                <w:lang w:val="en-US" w:eastAsia="zh-CN"/>
              </w:rPr>
              <w:t>7689.9</w:t>
            </w:r>
            <w:r>
              <w:rPr>
                <w:rFonts w:hint="default" w:ascii="Times New Roman" w:hAnsi="Times New Roman" w:eastAsia="宋体" w:cs="Times New Roman"/>
                <w:color w:val="auto"/>
                <w:kern w:val="2"/>
                <w:sz w:val="24"/>
                <w:szCs w:val="24"/>
                <w:highlight w:val="none"/>
                <w:lang w:val="en-US" w:eastAsia="zh-CN"/>
              </w:rPr>
              <w:t>元，其中环保投资</w:t>
            </w:r>
            <w:r>
              <w:rPr>
                <w:rFonts w:hint="eastAsia"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lang w:val="en-US" w:eastAsia="zh-CN"/>
              </w:rPr>
              <w:t>0万元；</w:t>
            </w:r>
          </w:p>
          <w:p w14:paraId="1EEDE1F3">
            <w:pPr>
              <w:rPr>
                <w:rFonts w:hint="default" w:ascii="Times New Roman" w:hAnsi="Times New Roman" w:eastAsia="宋体" w:cs="Times New Roman"/>
                <w:color w:val="FF0000"/>
                <w:kern w:val="2"/>
                <w:sz w:val="24"/>
                <w:szCs w:val="24"/>
                <w:highlight w:val="none"/>
                <w:lang w:val="en-US" w:eastAsia="zh-CN"/>
              </w:rPr>
            </w:pPr>
          </w:p>
          <w:p w14:paraId="7F5CA5EB">
            <w:pPr>
              <w:pStyle w:val="2"/>
              <w:rPr>
                <w:rFonts w:hint="default" w:ascii="Times New Roman" w:hAnsi="Times New Roman" w:eastAsia="宋体" w:cs="Times New Roman"/>
                <w:color w:val="FF0000"/>
                <w:kern w:val="2"/>
                <w:sz w:val="24"/>
                <w:szCs w:val="24"/>
                <w:highlight w:val="none"/>
                <w:lang w:val="en-US" w:eastAsia="zh-CN"/>
              </w:rPr>
            </w:pPr>
          </w:p>
          <w:p w14:paraId="4A210836">
            <w:pPr>
              <w:rPr>
                <w:rFonts w:hint="default" w:ascii="Times New Roman" w:hAnsi="Times New Roman" w:eastAsia="宋体" w:cs="Times New Roman"/>
                <w:color w:val="FF0000"/>
                <w:kern w:val="2"/>
                <w:sz w:val="24"/>
                <w:szCs w:val="24"/>
                <w:highlight w:val="none"/>
                <w:lang w:val="en-US" w:eastAsia="zh-CN"/>
              </w:rPr>
            </w:pPr>
          </w:p>
          <w:p w14:paraId="0F61C0E5">
            <w:pPr>
              <w:pStyle w:val="2"/>
              <w:rPr>
                <w:rFonts w:hint="default" w:ascii="Times New Roman" w:hAnsi="Times New Roman" w:eastAsia="宋体" w:cs="Times New Roman"/>
                <w:color w:val="FF0000"/>
                <w:kern w:val="2"/>
                <w:sz w:val="24"/>
                <w:szCs w:val="24"/>
                <w:highlight w:val="none"/>
                <w:lang w:val="en-US" w:eastAsia="zh-CN"/>
              </w:rPr>
            </w:pPr>
          </w:p>
          <w:p w14:paraId="6F137412">
            <w:pPr>
              <w:rPr>
                <w:rFonts w:hint="default" w:ascii="Times New Roman" w:hAnsi="Times New Roman" w:eastAsia="宋体" w:cs="Times New Roman"/>
                <w:color w:val="FF0000"/>
                <w:kern w:val="2"/>
                <w:sz w:val="24"/>
                <w:szCs w:val="24"/>
                <w:highlight w:val="none"/>
                <w:lang w:val="en-US" w:eastAsia="zh-CN"/>
              </w:rPr>
            </w:pPr>
          </w:p>
          <w:p w14:paraId="48444869">
            <w:pPr>
              <w:pStyle w:val="2"/>
              <w:rPr>
                <w:rFonts w:hint="default" w:ascii="Times New Roman" w:hAnsi="Times New Roman" w:eastAsia="宋体" w:cs="Times New Roman"/>
                <w:color w:val="FF0000"/>
                <w:kern w:val="2"/>
                <w:sz w:val="24"/>
                <w:szCs w:val="24"/>
                <w:highlight w:val="none"/>
                <w:lang w:val="en-US" w:eastAsia="zh-CN"/>
              </w:rPr>
            </w:pPr>
          </w:p>
          <w:p w14:paraId="737561B9">
            <w:pPr>
              <w:rPr>
                <w:rFonts w:hint="default" w:ascii="Times New Roman" w:hAnsi="Times New Roman" w:eastAsia="宋体" w:cs="Times New Roman"/>
                <w:color w:val="FF0000"/>
                <w:kern w:val="2"/>
                <w:sz w:val="24"/>
                <w:szCs w:val="24"/>
                <w:highlight w:val="none"/>
                <w:lang w:val="en-US" w:eastAsia="zh-CN"/>
              </w:rPr>
            </w:pPr>
          </w:p>
          <w:p w14:paraId="27787726">
            <w:pPr>
              <w:pStyle w:val="2"/>
              <w:rPr>
                <w:rFonts w:hint="default" w:ascii="Times New Roman" w:hAnsi="Times New Roman" w:eastAsia="宋体" w:cs="Times New Roman"/>
                <w:color w:val="FF0000"/>
                <w:kern w:val="2"/>
                <w:sz w:val="24"/>
                <w:szCs w:val="24"/>
                <w:highlight w:val="none"/>
                <w:lang w:val="en-US" w:eastAsia="zh-CN"/>
              </w:rPr>
            </w:pPr>
          </w:p>
          <w:p w14:paraId="25108720">
            <w:pPr>
              <w:rPr>
                <w:rFonts w:hint="default" w:ascii="Times New Roman" w:hAnsi="Times New Roman" w:eastAsia="宋体" w:cs="Times New Roman"/>
                <w:color w:val="FF0000"/>
                <w:kern w:val="2"/>
                <w:sz w:val="24"/>
                <w:szCs w:val="24"/>
                <w:highlight w:val="none"/>
                <w:lang w:val="en-US" w:eastAsia="zh-CN"/>
              </w:rPr>
            </w:pPr>
          </w:p>
          <w:p w14:paraId="30D3A397">
            <w:pPr>
              <w:pStyle w:val="2"/>
              <w:rPr>
                <w:rFonts w:hint="default" w:ascii="Times New Roman" w:hAnsi="Times New Roman" w:eastAsia="宋体" w:cs="Times New Roman"/>
                <w:color w:val="FF0000"/>
                <w:kern w:val="2"/>
                <w:sz w:val="24"/>
                <w:szCs w:val="24"/>
                <w:highlight w:val="none"/>
                <w:lang w:val="en-US" w:eastAsia="zh-CN"/>
              </w:rPr>
            </w:pPr>
          </w:p>
          <w:p w14:paraId="49E9B50E">
            <w:pPr>
              <w:rPr>
                <w:rFonts w:hint="default" w:ascii="Times New Roman" w:hAnsi="Times New Roman" w:eastAsia="宋体" w:cs="Times New Roman"/>
                <w:color w:val="FF0000"/>
                <w:kern w:val="2"/>
                <w:sz w:val="24"/>
                <w:szCs w:val="24"/>
                <w:highlight w:val="none"/>
                <w:lang w:val="en-US" w:eastAsia="zh-CN"/>
              </w:rPr>
            </w:pPr>
          </w:p>
          <w:p w14:paraId="1536AF75">
            <w:pPr>
              <w:rPr>
                <w:rFonts w:hint="default" w:ascii="Times New Roman" w:hAnsi="Times New Roman" w:eastAsia="宋体" w:cs="Times New Roman"/>
                <w:color w:val="FF0000"/>
                <w:kern w:val="2"/>
                <w:sz w:val="24"/>
                <w:szCs w:val="24"/>
                <w:highlight w:val="none"/>
                <w:lang w:val="en-US" w:eastAsia="zh-CN"/>
              </w:rPr>
            </w:pPr>
          </w:p>
          <w:p w14:paraId="7E1D193C">
            <w:pPr>
              <w:pStyle w:val="2"/>
              <w:rPr>
                <w:rFonts w:hint="default"/>
                <w:color w:val="FF0000"/>
                <w:lang w:val="en-US"/>
              </w:rPr>
            </w:pPr>
          </w:p>
        </w:tc>
      </w:tr>
    </w:tbl>
    <w:p w14:paraId="147DFF1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color w:val="FF0000"/>
          <w:sz w:val="21"/>
          <w:szCs w:val="21"/>
          <w:highlight w:val="none"/>
          <w:vertAlign w:val="baseline"/>
          <w:lang w:val="en-US" w:eastAsia="zh-CN"/>
        </w:rPr>
      </w:pPr>
    </w:p>
    <w:p w14:paraId="260A49F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color w:val="FF0000"/>
          <w:sz w:val="21"/>
          <w:szCs w:val="21"/>
          <w:highlight w:val="none"/>
          <w:vertAlign w:val="baseline"/>
          <w:lang w:val="en-US" w:eastAsia="zh-CN"/>
        </w:rPr>
        <w:sectPr>
          <w:pgSz w:w="11906" w:h="16838"/>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tbl>
      <w:tblPr>
        <w:tblStyle w:val="3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76"/>
        <w:gridCol w:w="13844"/>
      </w:tblGrid>
      <w:tr w14:paraId="6CF868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6" w:type="dxa"/>
            <w:noWrap w:val="0"/>
            <w:vAlign w:val="center"/>
          </w:tcPr>
          <w:p w14:paraId="3233C503">
            <w:pPr>
              <w:pStyle w:val="31"/>
              <w:adjustRightInd w:val="0"/>
              <w:snapToGrid w:val="0"/>
              <w:spacing w:before="0" w:beforeAutospacing="0" w:after="0" w:afterAutospacing="0"/>
              <w:ind w:left="-63" w:leftChars="-30" w:right="-63" w:rightChars="-3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建设内容</w:t>
            </w:r>
          </w:p>
        </w:tc>
        <w:tc>
          <w:tcPr>
            <w:tcW w:w="13844" w:type="dxa"/>
            <w:noWrap w:val="0"/>
            <w:vAlign w:val="top"/>
          </w:tcPr>
          <w:p w14:paraId="7677AFB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w:t>
            </w:r>
            <w:r>
              <w:rPr>
                <w:rFonts w:hint="default" w:ascii="Times New Roman" w:hAnsi="Times New Roman" w:eastAsia="宋体" w:cs="Times New Roman"/>
                <w:b/>
                <w:bCs/>
                <w:color w:val="auto"/>
                <w:kern w:val="2"/>
                <w:sz w:val="24"/>
                <w:szCs w:val="24"/>
                <w:lang w:val="en-US" w:eastAsia="zh-CN"/>
              </w:rPr>
              <w:t>建设项目</w:t>
            </w:r>
            <w:r>
              <w:rPr>
                <w:rFonts w:hint="eastAsia" w:cs="Times New Roman"/>
                <w:b/>
                <w:bCs/>
                <w:color w:val="auto"/>
                <w:kern w:val="2"/>
                <w:sz w:val="24"/>
                <w:szCs w:val="24"/>
                <w:lang w:val="en-US" w:eastAsia="zh-CN"/>
              </w:rPr>
              <w:t>建设内容及规模</w:t>
            </w:r>
            <w:r>
              <w:rPr>
                <w:rFonts w:hint="default" w:ascii="Times New Roman" w:hAnsi="Times New Roman" w:eastAsia="宋体" w:cs="Times New Roman"/>
                <w:b/>
                <w:bCs/>
                <w:color w:val="auto"/>
                <w:kern w:val="2"/>
                <w:sz w:val="24"/>
                <w:szCs w:val="24"/>
                <w:lang w:val="en-US" w:eastAsia="zh-CN"/>
              </w:rPr>
              <w:t>一览表</w:t>
            </w:r>
          </w:p>
          <w:tbl>
            <w:tblPr>
              <w:tblStyle w:val="37"/>
              <w:tblW w:w="13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330"/>
              <w:gridCol w:w="850"/>
              <w:gridCol w:w="4066"/>
              <w:gridCol w:w="5670"/>
              <w:gridCol w:w="2061"/>
            </w:tblGrid>
            <w:tr w14:paraId="74047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tcBorders>
                    <w:tl2br w:val="nil"/>
                    <w:tr2bl w:val="nil"/>
                  </w:tcBorders>
                  <w:noWrap w:val="0"/>
                  <w:vAlign w:val="center"/>
                </w:tcPr>
                <w:p w14:paraId="01CEA42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工程类别</w:t>
                  </w:r>
                </w:p>
              </w:tc>
              <w:tc>
                <w:tcPr>
                  <w:tcW w:w="1180" w:type="dxa"/>
                  <w:gridSpan w:val="2"/>
                  <w:tcBorders>
                    <w:tl2br w:val="nil"/>
                    <w:tr2bl w:val="nil"/>
                  </w:tcBorders>
                  <w:noWrap w:val="0"/>
                  <w:vAlign w:val="center"/>
                </w:tcPr>
                <w:p w14:paraId="1F5CF34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工程名称</w:t>
                  </w:r>
                </w:p>
              </w:tc>
              <w:tc>
                <w:tcPr>
                  <w:tcW w:w="4066" w:type="dxa"/>
                  <w:tcBorders>
                    <w:tl2br w:val="nil"/>
                    <w:tr2bl w:val="nil"/>
                  </w:tcBorders>
                  <w:noWrap w:val="0"/>
                  <w:vAlign w:val="center"/>
                </w:tcPr>
                <w:p w14:paraId="74CCEA2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现有工程</w:t>
                  </w:r>
                  <w:r>
                    <w:rPr>
                      <w:rFonts w:hint="eastAsia" w:cs="Times New Roman"/>
                      <w:b/>
                      <w:bCs/>
                      <w:color w:val="auto"/>
                      <w:kern w:val="2"/>
                      <w:sz w:val="21"/>
                      <w:szCs w:val="21"/>
                      <w:highlight w:val="none"/>
                      <w:lang w:val="en-US" w:eastAsia="zh-CN"/>
                    </w:rPr>
                    <w:t>建设</w:t>
                  </w:r>
                  <w:r>
                    <w:rPr>
                      <w:rFonts w:hint="default" w:ascii="Times New Roman" w:hAnsi="Times New Roman" w:eastAsia="宋体" w:cs="Times New Roman"/>
                      <w:b/>
                      <w:bCs/>
                      <w:color w:val="auto"/>
                      <w:kern w:val="2"/>
                      <w:sz w:val="21"/>
                      <w:szCs w:val="21"/>
                      <w:highlight w:val="none"/>
                      <w:lang w:val="en-US" w:eastAsia="zh-CN"/>
                    </w:rPr>
                    <w:t>内容</w:t>
                  </w:r>
                  <w:r>
                    <w:rPr>
                      <w:rFonts w:hint="eastAsia" w:cs="Times New Roman"/>
                      <w:b/>
                      <w:bCs/>
                      <w:color w:val="auto"/>
                      <w:kern w:val="2"/>
                      <w:sz w:val="21"/>
                      <w:szCs w:val="21"/>
                      <w:highlight w:val="none"/>
                      <w:lang w:val="en-US" w:eastAsia="zh-CN"/>
                    </w:rPr>
                    <w:t>及规模</w:t>
                  </w:r>
                </w:p>
              </w:tc>
              <w:tc>
                <w:tcPr>
                  <w:tcW w:w="5670" w:type="dxa"/>
                  <w:tcBorders>
                    <w:tl2br w:val="nil"/>
                    <w:tr2bl w:val="nil"/>
                  </w:tcBorders>
                  <w:noWrap w:val="0"/>
                  <w:vAlign w:val="center"/>
                </w:tcPr>
                <w:p w14:paraId="083AD9B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技改后工程</w:t>
                  </w:r>
                  <w:r>
                    <w:rPr>
                      <w:rFonts w:hint="eastAsia" w:cs="Times New Roman"/>
                      <w:b/>
                      <w:bCs/>
                      <w:color w:val="auto"/>
                      <w:kern w:val="2"/>
                      <w:sz w:val="21"/>
                      <w:szCs w:val="21"/>
                      <w:highlight w:val="none"/>
                      <w:lang w:val="en-US" w:eastAsia="zh-CN"/>
                    </w:rPr>
                    <w:t>建设</w:t>
                  </w:r>
                  <w:r>
                    <w:rPr>
                      <w:rFonts w:hint="default" w:ascii="Times New Roman" w:hAnsi="Times New Roman" w:eastAsia="宋体" w:cs="Times New Roman"/>
                      <w:b/>
                      <w:bCs/>
                      <w:color w:val="auto"/>
                      <w:kern w:val="2"/>
                      <w:sz w:val="21"/>
                      <w:szCs w:val="21"/>
                      <w:highlight w:val="none"/>
                      <w:lang w:val="en-US" w:eastAsia="zh-CN"/>
                    </w:rPr>
                    <w:t>内容</w:t>
                  </w:r>
                  <w:r>
                    <w:rPr>
                      <w:rFonts w:hint="eastAsia" w:cs="Times New Roman"/>
                      <w:b/>
                      <w:bCs/>
                      <w:color w:val="auto"/>
                      <w:kern w:val="2"/>
                      <w:sz w:val="21"/>
                      <w:szCs w:val="21"/>
                      <w:highlight w:val="none"/>
                      <w:lang w:val="en-US" w:eastAsia="zh-CN"/>
                    </w:rPr>
                    <w:t>及规模</w:t>
                  </w:r>
                </w:p>
              </w:tc>
              <w:tc>
                <w:tcPr>
                  <w:tcW w:w="2061" w:type="dxa"/>
                  <w:tcBorders>
                    <w:tl2br w:val="nil"/>
                    <w:tr2bl w:val="nil"/>
                  </w:tcBorders>
                  <w:noWrap w:val="0"/>
                  <w:vAlign w:val="center"/>
                </w:tcPr>
                <w:p w14:paraId="23BC5E5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rPr>
                    <w:t>变化情况</w:t>
                  </w:r>
                </w:p>
              </w:tc>
            </w:tr>
            <w:tr w14:paraId="77EE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restart"/>
                  <w:tcBorders>
                    <w:tl2br w:val="nil"/>
                    <w:tr2bl w:val="nil"/>
                  </w:tcBorders>
                  <w:noWrap w:val="0"/>
                  <w:vAlign w:val="center"/>
                </w:tcPr>
                <w:p w14:paraId="27CDE46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主体工程</w:t>
                  </w:r>
                </w:p>
              </w:tc>
              <w:tc>
                <w:tcPr>
                  <w:tcW w:w="1180" w:type="dxa"/>
                  <w:gridSpan w:val="2"/>
                  <w:tcBorders>
                    <w:tl2br w:val="nil"/>
                    <w:tr2bl w:val="nil"/>
                  </w:tcBorders>
                  <w:noWrap w:val="0"/>
                  <w:vAlign w:val="center"/>
                </w:tcPr>
                <w:p w14:paraId="43787D2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1号厂房（铸造生产车间）</w:t>
                  </w:r>
                </w:p>
              </w:tc>
              <w:tc>
                <w:tcPr>
                  <w:tcW w:w="4066" w:type="dxa"/>
                  <w:tcBorders>
                    <w:tl2br w:val="nil"/>
                    <w:tr2bl w:val="nil"/>
                  </w:tcBorders>
                  <w:noWrap w:val="0"/>
                  <w:vAlign w:val="center"/>
                </w:tcPr>
                <w:p w14:paraId="783DAB2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1栋1</w:t>
                  </w:r>
                  <w:r>
                    <w:rPr>
                      <w:rFonts w:hint="eastAsia" w:ascii="Times New Roman" w:hAnsi="Times New Roman" w:eastAsia="宋体" w:cs="Times New Roman"/>
                      <w:color w:val="auto"/>
                      <w:kern w:val="2"/>
                      <w:sz w:val="21"/>
                      <w:szCs w:val="21"/>
                      <w:highlight w:val="none"/>
                      <w:lang w:val="en-US" w:eastAsia="zh-CN"/>
                    </w:rPr>
                    <w:t>F</w:t>
                  </w:r>
                  <w:r>
                    <w:rPr>
                      <w:rFonts w:hint="default" w:ascii="Times New Roman" w:hAnsi="Times New Roman" w:eastAsia="宋体" w:cs="Times New Roman"/>
                      <w:color w:val="auto"/>
                      <w:kern w:val="2"/>
                      <w:sz w:val="21"/>
                      <w:szCs w:val="21"/>
                      <w:highlight w:val="none"/>
                      <w:lang w:val="en-US" w:eastAsia="zh-CN"/>
                    </w:rPr>
                    <w:t>，钢架结构，建筑</w:t>
                  </w:r>
                  <w:r>
                    <w:rPr>
                      <w:rFonts w:hint="default" w:ascii="Times New Roman" w:hAnsi="Times New Roman" w:eastAsia="宋体" w:cs="Times New Roman"/>
                      <w:color w:val="auto"/>
                      <w:kern w:val="2"/>
                      <w:sz w:val="21"/>
                      <w:szCs w:val="21"/>
                      <w:highlight w:val="none"/>
                      <w:shd w:val="clear" w:color="auto" w:fill="auto"/>
                      <w:lang w:val="en-US" w:eastAsia="zh-CN"/>
                    </w:rPr>
                    <w:t>面积</w:t>
                  </w:r>
                  <w:r>
                    <w:rPr>
                      <w:rFonts w:hint="eastAsia" w:ascii="Times New Roman" w:hAnsi="Times New Roman" w:eastAsia="宋体" w:cs="Times New Roman"/>
                      <w:color w:val="auto"/>
                      <w:kern w:val="2"/>
                      <w:sz w:val="21"/>
                      <w:szCs w:val="21"/>
                      <w:highlight w:val="none"/>
                      <w:shd w:val="clear" w:color="auto" w:fill="auto"/>
                      <w:lang w:val="en-US" w:eastAsia="zh-CN"/>
                    </w:rPr>
                    <w:t>2521.11</w:t>
                  </w:r>
                  <w:r>
                    <w:rPr>
                      <w:rFonts w:hint="default" w:ascii="Times New Roman" w:hAnsi="Times New Roman" w:eastAsia="宋体" w:cs="Times New Roman"/>
                      <w:color w:val="auto"/>
                      <w:kern w:val="2"/>
                      <w:sz w:val="21"/>
                      <w:szCs w:val="21"/>
                      <w:highlight w:val="none"/>
                      <w:shd w:val="clear" w:color="auto" w:fill="auto"/>
                      <w:lang w:val="en-US" w:eastAsia="zh-CN"/>
                    </w:rPr>
                    <w:t>m</w:t>
                  </w:r>
                  <w:r>
                    <w:rPr>
                      <w:rFonts w:hint="default" w:ascii="Times New Roman" w:hAnsi="Times New Roman" w:eastAsia="宋体" w:cs="Times New Roman"/>
                      <w:color w:val="auto"/>
                      <w:kern w:val="2"/>
                      <w:sz w:val="21"/>
                      <w:szCs w:val="21"/>
                      <w:highlight w:val="none"/>
                      <w:shd w:val="clear" w:color="auto" w:fill="auto"/>
                      <w:vertAlign w:val="superscript"/>
                      <w:lang w:val="en-US" w:eastAsia="zh-CN"/>
                    </w:rPr>
                    <w:t>2</w:t>
                  </w:r>
                  <w:r>
                    <w:rPr>
                      <w:rFonts w:hint="default" w:ascii="Times New Roman" w:hAnsi="Times New Roman" w:eastAsia="宋体" w:cs="Times New Roman"/>
                      <w:color w:val="auto"/>
                      <w:kern w:val="2"/>
                      <w:sz w:val="21"/>
                      <w:szCs w:val="21"/>
                      <w:highlight w:val="none"/>
                      <w:shd w:val="clear" w:color="auto" w:fill="auto"/>
                      <w:lang w:val="en-US" w:eastAsia="zh-CN"/>
                    </w:rPr>
                    <w:t>，</w:t>
                  </w:r>
                  <w:r>
                    <w:rPr>
                      <w:rFonts w:hint="eastAsia" w:ascii="Times New Roman" w:hAnsi="Times New Roman" w:eastAsia="宋体" w:cs="Times New Roman"/>
                      <w:color w:val="auto"/>
                      <w:kern w:val="2"/>
                      <w:sz w:val="21"/>
                      <w:szCs w:val="21"/>
                      <w:highlight w:val="none"/>
                      <w:shd w:val="clear" w:color="auto" w:fill="auto"/>
                      <w:lang w:val="en-US" w:eastAsia="zh-CN"/>
                    </w:rPr>
                    <w:t>其中厂房内由西向东东侧</w:t>
                  </w:r>
                  <w:r>
                    <w:rPr>
                      <w:rFonts w:hint="default" w:ascii="Times New Roman" w:hAnsi="Times New Roman" w:eastAsia="宋体" w:cs="Times New Roman"/>
                      <w:color w:val="auto"/>
                      <w:kern w:val="2"/>
                      <w:sz w:val="21"/>
                      <w:szCs w:val="21"/>
                      <w:highlight w:val="none"/>
                      <w:shd w:val="clear" w:color="auto" w:fill="auto"/>
                      <w:lang w:val="en-US" w:eastAsia="zh-CN"/>
                    </w:rPr>
                    <w:t>分</w:t>
                  </w:r>
                  <w:r>
                    <w:rPr>
                      <w:rFonts w:hint="default" w:ascii="Times New Roman" w:hAnsi="Times New Roman" w:eastAsia="宋体" w:cs="Times New Roman"/>
                      <w:color w:val="auto"/>
                      <w:kern w:val="2"/>
                      <w:sz w:val="21"/>
                      <w:szCs w:val="21"/>
                      <w:highlight w:val="none"/>
                      <w:lang w:val="en-US" w:eastAsia="zh-CN"/>
                    </w:rPr>
                    <w:t>别设有</w:t>
                  </w:r>
                  <w:r>
                    <w:rPr>
                      <w:rFonts w:hint="eastAsia" w:ascii="Times New Roman" w:hAnsi="Times New Roman" w:eastAsia="宋体" w:cs="Times New Roman"/>
                      <w:color w:val="auto"/>
                      <w:kern w:val="2"/>
                      <w:sz w:val="21"/>
                      <w:szCs w:val="21"/>
                      <w:highlight w:val="none"/>
                      <w:lang w:val="en-US" w:eastAsia="zh-CN"/>
                    </w:rPr>
                    <w:t>抛丸打磨区、切割区、砂混合区、</w:t>
                  </w:r>
                  <w:r>
                    <w:rPr>
                      <w:rFonts w:hint="default" w:ascii="Times New Roman" w:hAnsi="Times New Roman" w:eastAsia="宋体" w:cs="Times New Roman"/>
                      <w:color w:val="auto"/>
                      <w:kern w:val="2"/>
                      <w:sz w:val="21"/>
                      <w:szCs w:val="21"/>
                      <w:highlight w:val="none"/>
                      <w:lang w:val="en-US" w:eastAsia="zh-CN"/>
                    </w:rPr>
                    <w:t>造型浇铸区</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熔</w:t>
                  </w:r>
                  <w:r>
                    <w:rPr>
                      <w:rFonts w:hint="eastAsia" w:ascii="Times New Roman" w:hAnsi="Times New Roman" w:eastAsia="宋体" w:cs="Times New Roman"/>
                      <w:color w:val="auto"/>
                      <w:kern w:val="2"/>
                      <w:sz w:val="21"/>
                      <w:szCs w:val="21"/>
                      <w:highlight w:val="none"/>
                      <w:lang w:val="en-US" w:eastAsia="zh-CN"/>
                    </w:rPr>
                    <w:t>化区</w:t>
                  </w:r>
                  <w:r>
                    <w:rPr>
                      <w:rFonts w:hint="default" w:ascii="Times New Roman" w:hAnsi="Times New Roman" w:eastAsia="宋体" w:cs="Times New Roman"/>
                      <w:color w:val="auto"/>
                      <w:kern w:val="2"/>
                      <w:sz w:val="21"/>
                      <w:szCs w:val="21"/>
                      <w:highlight w:val="none"/>
                      <w:lang w:val="en-US" w:eastAsia="zh-CN"/>
                    </w:rPr>
                    <w:t>、</w:t>
                  </w:r>
                  <w:r>
                    <w:rPr>
                      <w:rFonts w:hint="eastAsia" w:ascii="Times New Roman" w:hAnsi="Times New Roman" w:eastAsia="宋体" w:cs="Times New Roman"/>
                      <w:color w:val="auto"/>
                      <w:kern w:val="2"/>
                      <w:sz w:val="21"/>
                      <w:szCs w:val="21"/>
                      <w:highlight w:val="none"/>
                      <w:lang w:val="en-US" w:eastAsia="zh-CN"/>
                    </w:rPr>
                    <w:t>原料堆放区</w:t>
                  </w:r>
                  <w:r>
                    <w:rPr>
                      <w:rFonts w:hint="default" w:ascii="Times New Roman" w:hAnsi="Times New Roman" w:eastAsia="宋体" w:cs="Times New Roman"/>
                      <w:color w:val="auto"/>
                      <w:kern w:val="2"/>
                      <w:sz w:val="21"/>
                      <w:szCs w:val="21"/>
                      <w:highlight w:val="none"/>
                      <w:lang w:val="en-US" w:eastAsia="zh-CN"/>
                    </w:rPr>
                    <w:t>等</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主要</w:t>
                  </w:r>
                  <w:r>
                    <w:rPr>
                      <w:rFonts w:hint="eastAsia" w:ascii="Times New Roman" w:hAnsi="Times New Roman" w:eastAsia="宋体" w:cs="Times New Roman"/>
                      <w:color w:val="auto"/>
                      <w:kern w:val="2"/>
                      <w:sz w:val="21"/>
                      <w:szCs w:val="21"/>
                      <w:highlight w:val="none"/>
                      <w:lang w:val="en-US" w:eastAsia="zh-CN"/>
                    </w:rPr>
                    <w:t>布设0.5</w:t>
                  </w:r>
                  <w:r>
                    <w:rPr>
                      <w:rFonts w:hint="default" w:ascii="Times New Roman" w:hAnsi="Times New Roman" w:eastAsia="宋体" w:cs="Times New Roman"/>
                      <w:color w:val="auto"/>
                      <w:kern w:val="2"/>
                      <w:sz w:val="21"/>
                      <w:szCs w:val="21"/>
                      <w:highlight w:val="none"/>
                      <w:lang w:val="en-US" w:eastAsia="zh-CN"/>
                    </w:rPr>
                    <w:t>t/h中频熔炼炉</w:t>
                  </w:r>
                  <w:r>
                    <w:rPr>
                      <w:rFonts w:hint="eastAsia" w:ascii="Times New Roman" w:hAnsi="Times New Roman" w:eastAsia="宋体" w:cs="Times New Roman"/>
                      <w:color w:val="auto"/>
                      <w:kern w:val="2"/>
                      <w:sz w:val="21"/>
                      <w:szCs w:val="21"/>
                      <w:highlight w:val="none"/>
                      <w:lang w:val="en-US" w:eastAsia="zh-CN"/>
                    </w:rPr>
                    <w:t>3</w:t>
                  </w:r>
                  <w:r>
                    <w:rPr>
                      <w:rFonts w:hint="default" w:ascii="Times New Roman" w:hAnsi="Times New Roman" w:eastAsia="宋体" w:cs="Times New Roman"/>
                      <w:color w:val="auto"/>
                      <w:kern w:val="2"/>
                      <w:sz w:val="21"/>
                      <w:szCs w:val="21"/>
                      <w:highlight w:val="none"/>
                      <w:lang w:val="en-US" w:eastAsia="zh-CN"/>
                    </w:rPr>
                    <w:t>台</w:t>
                  </w:r>
                  <w:r>
                    <w:rPr>
                      <w:rFonts w:hint="eastAsia" w:ascii="Times New Roman" w:hAnsi="Times New Roman" w:eastAsia="宋体" w:cs="Times New Roman"/>
                      <w:color w:val="auto"/>
                      <w:kern w:val="2"/>
                      <w:sz w:val="21"/>
                      <w:szCs w:val="21"/>
                      <w:highlight w:val="none"/>
                      <w:lang w:val="en-US" w:eastAsia="zh-CN"/>
                    </w:rPr>
                    <w:t>、造型机1台、射芯机2台、抛丸机3台、打磨机2台等。</w:t>
                  </w:r>
                </w:p>
              </w:tc>
              <w:tc>
                <w:tcPr>
                  <w:tcW w:w="5670" w:type="dxa"/>
                  <w:tcBorders>
                    <w:tl2br w:val="nil"/>
                    <w:tr2bl w:val="nil"/>
                  </w:tcBorders>
                  <w:noWrap w:val="0"/>
                  <w:vAlign w:val="center"/>
                </w:tcPr>
                <w:p w14:paraId="6CC719A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1栋1</w:t>
                  </w:r>
                  <w:r>
                    <w:rPr>
                      <w:rFonts w:hint="eastAsia" w:ascii="Times New Roman" w:hAnsi="Times New Roman" w:eastAsia="宋体" w:cs="Times New Roman"/>
                      <w:color w:val="auto"/>
                      <w:kern w:val="2"/>
                      <w:sz w:val="21"/>
                      <w:szCs w:val="21"/>
                      <w:highlight w:val="none"/>
                      <w:lang w:val="en-US" w:eastAsia="zh-CN"/>
                    </w:rPr>
                    <w:t>F</w:t>
                  </w:r>
                  <w:r>
                    <w:rPr>
                      <w:rFonts w:hint="default" w:ascii="Times New Roman" w:hAnsi="Times New Roman" w:eastAsia="宋体" w:cs="Times New Roman"/>
                      <w:color w:val="auto"/>
                      <w:kern w:val="2"/>
                      <w:sz w:val="21"/>
                      <w:szCs w:val="21"/>
                      <w:highlight w:val="none"/>
                      <w:lang w:val="en-US" w:eastAsia="zh-CN"/>
                    </w:rPr>
                    <w:t>，钢架结构，建筑</w:t>
                  </w:r>
                  <w:r>
                    <w:rPr>
                      <w:rFonts w:hint="default" w:ascii="Times New Roman" w:hAnsi="Times New Roman" w:eastAsia="宋体" w:cs="Times New Roman"/>
                      <w:color w:val="auto"/>
                      <w:kern w:val="2"/>
                      <w:sz w:val="21"/>
                      <w:szCs w:val="21"/>
                      <w:highlight w:val="none"/>
                      <w:shd w:val="clear" w:color="auto" w:fill="auto"/>
                      <w:lang w:val="en-US" w:eastAsia="zh-CN"/>
                    </w:rPr>
                    <w:t>面积</w:t>
                  </w:r>
                  <w:r>
                    <w:rPr>
                      <w:rFonts w:hint="eastAsia" w:ascii="Times New Roman" w:hAnsi="Times New Roman" w:eastAsia="宋体" w:cs="Times New Roman"/>
                      <w:color w:val="auto"/>
                      <w:kern w:val="2"/>
                      <w:sz w:val="21"/>
                      <w:szCs w:val="21"/>
                      <w:highlight w:val="none"/>
                      <w:shd w:val="clear" w:color="auto" w:fill="auto"/>
                      <w:lang w:val="en-US" w:eastAsia="zh-CN"/>
                    </w:rPr>
                    <w:t>2521.11</w:t>
                  </w:r>
                  <w:r>
                    <w:rPr>
                      <w:rFonts w:hint="default" w:ascii="Times New Roman" w:hAnsi="Times New Roman" w:eastAsia="宋体" w:cs="Times New Roman"/>
                      <w:color w:val="auto"/>
                      <w:kern w:val="2"/>
                      <w:sz w:val="21"/>
                      <w:szCs w:val="21"/>
                      <w:highlight w:val="none"/>
                      <w:shd w:val="clear" w:color="auto" w:fill="auto"/>
                      <w:lang w:val="en-US" w:eastAsia="zh-CN"/>
                    </w:rPr>
                    <w:t>m</w:t>
                  </w:r>
                  <w:r>
                    <w:rPr>
                      <w:rFonts w:hint="default" w:ascii="Times New Roman" w:hAnsi="Times New Roman" w:eastAsia="宋体" w:cs="Times New Roman"/>
                      <w:color w:val="auto"/>
                      <w:kern w:val="2"/>
                      <w:sz w:val="21"/>
                      <w:szCs w:val="21"/>
                      <w:highlight w:val="none"/>
                      <w:shd w:val="clear" w:color="auto" w:fill="auto"/>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r>
                    <w:rPr>
                      <w:rFonts w:hint="eastAsia" w:ascii="Times New Roman" w:hAnsi="Times New Roman" w:eastAsia="宋体" w:cs="Times New Roman"/>
                      <w:color w:val="auto"/>
                      <w:kern w:val="2"/>
                      <w:sz w:val="21"/>
                      <w:szCs w:val="21"/>
                      <w:highlight w:val="none"/>
                      <w:lang w:val="en-US" w:eastAsia="zh-CN"/>
                    </w:rPr>
                    <w:t>对原有电炉、造型机进行淘汰更新，</w:t>
                  </w:r>
                  <w:r>
                    <w:rPr>
                      <w:rFonts w:hint="eastAsia" w:cs="Times New Roman"/>
                      <w:color w:val="auto"/>
                      <w:kern w:val="2"/>
                      <w:sz w:val="21"/>
                      <w:szCs w:val="21"/>
                      <w:highlight w:val="none"/>
                      <w:lang w:val="en-US" w:eastAsia="zh-CN"/>
                    </w:rPr>
                    <w:t>改造</w:t>
                  </w:r>
                  <w:r>
                    <w:rPr>
                      <w:rFonts w:hint="eastAsia" w:ascii="Times New Roman" w:hAnsi="Times New Roman" w:eastAsia="宋体" w:cs="Times New Roman"/>
                      <w:color w:val="auto"/>
                      <w:kern w:val="2"/>
                      <w:sz w:val="21"/>
                      <w:szCs w:val="21"/>
                      <w:highlight w:val="none"/>
                      <w:lang w:val="en-US" w:eastAsia="zh-CN"/>
                    </w:rPr>
                    <w:t>铸造生产线、</w:t>
                  </w:r>
                  <w:r>
                    <w:rPr>
                      <w:rFonts w:hint="eastAsia" w:cs="Times New Roman"/>
                      <w:color w:val="auto"/>
                      <w:kern w:val="2"/>
                      <w:sz w:val="21"/>
                      <w:szCs w:val="21"/>
                      <w:highlight w:val="none"/>
                      <w:lang w:val="en-US" w:eastAsia="zh-CN"/>
                    </w:rPr>
                    <w:t>新增</w:t>
                  </w:r>
                  <w:r>
                    <w:rPr>
                      <w:rFonts w:hint="eastAsia" w:ascii="Times New Roman" w:hAnsi="Times New Roman" w:eastAsia="宋体" w:cs="Times New Roman"/>
                      <w:color w:val="auto"/>
                      <w:kern w:val="2"/>
                      <w:sz w:val="21"/>
                      <w:szCs w:val="21"/>
                      <w:highlight w:val="none"/>
                      <w:lang w:val="en-US" w:eastAsia="zh-CN"/>
                    </w:rPr>
                    <w:t>黑砂水平自动线和自动浇注生产线。</w:t>
                  </w:r>
                </w:p>
              </w:tc>
              <w:tc>
                <w:tcPr>
                  <w:tcW w:w="2061" w:type="dxa"/>
                  <w:tcBorders>
                    <w:tl2br w:val="nil"/>
                    <w:tr2bl w:val="nil"/>
                  </w:tcBorders>
                  <w:noWrap w:val="0"/>
                  <w:vAlign w:val="center"/>
                </w:tcPr>
                <w:p w14:paraId="0DED4F9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厂房依托现有3台</w:t>
                  </w:r>
                  <w:r>
                    <w:rPr>
                      <w:rFonts w:hint="eastAsia" w:cs="Times New Roman"/>
                      <w:color w:val="auto"/>
                      <w:kern w:val="2"/>
                      <w:sz w:val="21"/>
                      <w:szCs w:val="21"/>
                      <w:highlight w:val="none"/>
                      <w:lang w:val="en-US" w:eastAsia="zh-CN"/>
                    </w:rPr>
                    <w:t>（2用1备）</w:t>
                  </w:r>
                  <w:r>
                    <w:rPr>
                      <w:rFonts w:hint="eastAsia" w:ascii="Times New Roman" w:hAnsi="Times New Roman" w:eastAsia="宋体" w:cs="Times New Roman"/>
                      <w:color w:val="auto"/>
                      <w:kern w:val="2"/>
                      <w:sz w:val="21"/>
                      <w:szCs w:val="21"/>
                      <w:highlight w:val="none"/>
                      <w:lang w:val="en-US" w:eastAsia="zh-CN"/>
                    </w:rPr>
                    <w:t>0.5t/h中频熔炼炉，新增</w:t>
                  </w:r>
                  <w:r>
                    <w:rPr>
                      <w:rFonts w:hint="eastAsia" w:cs="Times New Roman"/>
                      <w:color w:val="auto"/>
                      <w:kern w:val="2"/>
                      <w:sz w:val="21"/>
                      <w:szCs w:val="21"/>
                      <w:highlight w:val="none"/>
                      <w:lang w:val="en-US" w:eastAsia="zh-CN"/>
                    </w:rPr>
                    <w:t>黑砂水平自动线和</w:t>
                  </w:r>
                  <w:r>
                    <w:rPr>
                      <w:rFonts w:hint="eastAsia" w:ascii="Times New Roman" w:hAnsi="Times New Roman" w:eastAsia="宋体" w:cs="Times New Roman"/>
                      <w:color w:val="auto"/>
                      <w:kern w:val="2"/>
                      <w:sz w:val="21"/>
                      <w:szCs w:val="21"/>
                      <w:highlight w:val="none"/>
                      <w:lang w:val="en-US" w:eastAsia="zh-CN"/>
                    </w:rPr>
                    <w:t>自动</w:t>
                  </w:r>
                  <w:r>
                    <w:rPr>
                      <w:rFonts w:hint="eastAsia" w:cs="Times New Roman"/>
                      <w:color w:val="auto"/>
                      <w:kern w:val="2"/>
                      <w:sz w:val="21"/>
                      <w:szCs w:val="21"/>
                      <w:highlight w:val="none"/>
                      <w:lang w:val="en-US" w:eastAsia="zh-CN"/>
                    </w:rPr>
                    <w:t>浇注生产线</w:t>
                  </w:r>
                </w:p>
              </w:tc>
            </w:tr>
            <w:tr w14:paraId="496D2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3796C5C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1180" w:type="dxa"/>
                  <w:gridSpan w:val="2"/>
                  <w:tcBorders>
                    <w:tl2br w:val="nil"/>
                    <w:tr2bl w:val="nil"/>
                  </w:tcBorders>
                  <w:noWrap w:val="0"/>
                  <w:vAlign w:val="center"/>
                </w:tcPr>
                <w:p w14:paraId="516342F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2号厂房</w:t>
                  </w:r>
                </w:p>
              </w:tc>
              <w:tc>
                <w:tcPr>
                  <w:tcW w:w="4066" w:type="dxa"/>
                  <w:tcBorders>
                    <w:tl2br w:val="nil"/>
                    <w:tr2bl w:val="nil"/>
                  </w:tcBorders>
                  <w:noWrap w:val="0"/>
                  <w:vAlign w:val="center"/>
                </w:tcPr>
                <w:p w14:paraId="2B04773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1栋1层，钢架结构，建筑面积</w:t>
                  </w:r>
                  <w:r>
                    <w:rPr>
                      <w:rFonts w:hint="eastAsia" w:ascii="Times New Roman" w:hAnsi="Times New Roman" w:eastAsia="宋体" w:cs="Times New Roman"/>
                      <w:color w:val="auto"/>
                      <w:kern w:val="2"/>
                      <w:sz w:val="21"/>
                      <w:szCs w:val="21"/>
                      <w:highlight w:val="none"/>
                      <w:lang w:val="en-US" w:eastAsia="zh-CN"/>
                    </w:rPr>
                    <w:t>2229.67</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r>
                    <w:rPr>
                      <w:rFonts w:hint="eastAsia" w:ascii="Times New Roman" w:hAnsi="Times New Roman" w:eastAsia="宋体" w:cs="Times New Roman"/>
                      <w:color w:val="auto"/>
                      <w:kern w:val="2"/>
                      <w:sz w:val="21"/>
                      <w:szCs w:val="21"/>
                      <w:highlight w:val="none"/>
                      <w:lang w:val="en-US" w:eastAsia="zh-CN"/>
                    </w:rPr>
                    <w:t>成品仓库</w:t>
                  </w:r>
                </w:p>
              </w:tc>
              <w:tc>
                <w:tcPr>
                  <w:tcW w:w="5670" w:type="dxa"/>
                  <w:tcBorders>
                    <w:tl2br w:val="nil"/>
                    <w:tr2bl w:val="nil"/>
                  </w:tcBorders>
                  <w:noWrap w:val="0"/>
                  <w:vAlign w:val="center"/>
                </w:tcPr>
                <w:p w14:paraId="0175FD0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1栋1层，钢架结构，建筑面积</w:t>
                  </w:r>
                  <w:r>
                    <w:rPr>
                      <w:rFonts w:hint="eastAsia" w:ascii="Times New Roman" w:hAnsi="Times New Roman" w:eastAsia="宋体" w:cs="Times New Roman"/>
                      <w:color w:val="auto"/>
                      <w:kern w:val="2"/>
                      <w:sz w:val="21"/>
                      <w:szCs w:val="21"/>
                      <w:highlight w:val="none"/>
                      <w:lang w:val="en-US" w:eastAsia="zh-CN"/>
                    </w:rPr>
                    <w:t>2229.67</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r>
                    <w:rPr>
                      <w:rFonts w:hint="eastAsia" w:ascii="Times New Roman" w:hAnsi="Times New Roman" w:eastAsia="宋体" w:cs="Times New Roman"/>
                      <w:color w:val="auto"/>
                      <w:kern w:val="2"/>
                      <w:sz w:val="21"/>
                      <w:szCs w:val="21"/>
                      <w:highlight w:val="none"/>
                      <w:lang w:val="en-US" w:eastAsia="zh-CN"/>
                    </w:rPr>
                    <w:t>增</w:t>
                  </w:r>
                  <w:r>
                    <w:rPr>
                      <w:rFonts w:hint="default" w:ascii="Times New Roman" w:hAnsi="Times New Roman" w:eastAsia="宋体" w:cs="Times New Roman"/>
                      <w:color w:val="auto"/>
                      <w:kern w:val="2"/>
                      <w:sz w:val="21"/>
                      <w:szCs w:val="21"/>
                      <w:highlight w:val="none"/>
                      <w:lang w:val="en-US" w:eastAsia="zh-CN"/>
                    </w:rPr>
                    <w:t>设</w:t>
                  </w:r>
                  <w:r>
                    <w:rPr>
                      <w:rFonts w:hint="eastAsia" w:ascii="Times New Roman" w:hAnsi="Times New Roman" w:eastAsia="宋体" w:cs="Times New Roman"/>
                      <w:color w:val="auto"/>
                      <w:kern w:val="2"/>
                      <w:sz w:val="21"/>
                      <w:szCs w:val="21"/>
                      <w:highlight w:val="none"/>
                      <w:lang w:val="en-US" w:eastAsia="zh-CN"/>
                    </w:rPr>
                    <w:t>数控车床、普通车床、加工中心、立式打磨机。</w:t>
                  </w:r>
                </w:p>
              </w:tc>
              <w:tc>
                <w:tcPr>
                  <w:tcW w:w="2061" w:type="dxa"/>
                  <w:tcBorders>
                    <w:tl2br w:val="nil"/>
                    <w:tr2bl w:val="nil"/>
                  </w:tcBorders>
                  <w:noWrap w:val="0"/>
                  <w:vAlign w:val="center"/>
                </w:tcPr>
                <w:p w14:paraId="585C22D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厂房已建</w:t>
                  </w:r>
                </w:p>
              </w:tc>
            </w:tr>
            <w:tr w14:paraId="20E5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11E5519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1180" w:type="dxa"/>
                  <w:gridSpan w:val="2"/>
                  <w:tcBorders>
                    <w:tl2br w:val="nil"/>
                    <w:tr2bl w:val="nil"/>
                  </w:tcBorders>
                  <w:noWrap w:val="0"/>
                  <w:vAlign w:val="center"/>
                </w:tcPr>
                <w:p w14:paraId="1A519AA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3号厂房</w:t>
                  </w:r>
                </w:p>
              </w:tc>
              <w:tc>
                <w:tcPr>
                  <w:tcW w:w="4066" w:type="dxa"/>
                  <w:tcBorders>
                    <w:tl2br w:val="nil"/>
                    <w:tr2bl w:val="nil"/>
                  </w:tcBorders>
                  <w:noWrap w:val="0"/>
                  <w:vAlign w:val="center"/>
                </w:tcPr>
                <w:p w14:paraId="3B13CB7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w:t>
                  </w:r>
                </w:p>
              </w:tc>
              <w:tc>
                <w:tcPr>
                  <w:tcW w:w="5670" w:type="dxa"/>
                  <w:tcBorders>
                    <w:tl2br w:val="nil"/>
                    <w:tr2bl w:val="nil"/>
                  </w:tcBorders>
                  <w:noWrap w:val="0"/>
                  <w:vAlign w:val="center"/>
                </w:tcPr>
                <w:p w14:paraId="5F37446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1栋1层，钢架结构，建筑面积</w:t>
                  </w:r>
                  <w:r>
                    <w:rPr>
                      <w:rFonts w:hint="eastAsia" w:ascii="Times New Roman" w:hAnsi="Times New Roman" w:eastAsia="宋体" w:cs="Times New Roman"/>
                      <w:color w:val="auto"/>
                      <w:kern w:val="2"/>
                      <w:sz w:val="21"/>
                      <w:szCs w:val="21"/>
                      <w:highlight w:val="none"/>
                      <w:lang w:val="en-US" w:eastAsia="zh-CN"/>
                    </w:rPr>
                    <w:t>2229.67</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r>
                    <w:rPr>
                      <w:rFonts w:hint="eastAsia" w:ascii="Times New Roman" w:hAnsi="Times New Roman" w:eastAsia="宋体" w:cs="Times New Roman"/>
                      <w:color w:val="auto"/>
                      <w:kern w:val="2"/>
                      <w:sz w:val="21"/>
                      <w:szCs w:val="21"/>
                      <w:highlight w:val="none"/>
                      <w:lang w:val="en-US" w:eastAsia="zh-CN"/>
                    </w:rPr>
                    <w:t>增</w:t>
                  </w:r>
                  <w:r>
                    <w:rPr>
                      <w:rFonts w:hint="default" w:ascii="Times New Roman" w:hAnsi="Times New Roman" w:eastAsia="宋体" w:cs="Times New Roman"/>
                      <w:color w:val="auto"/>
                      <w:kern w:val="2"/>
                      <w:sz w:val="21"/>
                      <w:szCs w:val="21"/>
                      <w:highlight w:val="none"/>
                      <w:lang w:val="en-US" w:eastAsia="zh-CN"/>
                    </w:rPr>
                    <w:t>设</w:t>
                  </w:r>
                  <w:r>
                    <w:rPr>
                      <w:rFonts w:hint="eastAsia" w:ascii="Times New Roman" w:hAnsi="Times New Roman" w:eastAsia="宋体" w:cs="Times New Roman"/>
                      <w:color w:val="auto"/>
                      <w:kern w:val="2"/>
                      <w:sz w:val="21"/>
                      <w:szCs w:val="21"/>
                      <w:highlight w:val="none"/>
                      <w:lang w:val="en-US" w:eastAsia="zh-CN"/>
                    </w:rPr>
                    <w:t>数控车床、普通车床、加工中心、立式打磨机。</w:t>
                  </w:r>
                </w:p>
              </w:tc>
              <w:tc>
                <w:tcPr>
                  <w:tcW w:w="2061" w:type="dxa"/>
                  <w:tcBorders>
                    <w:tl2br w:val="nil"/>
                    <w:tr2bl w:val="nil"/>
                  </w:tcBorders>
                  <w:noWrap w:val="0"/>
                  <w:vAlign w:val="center"/>
                </w:tcPr>
                <w:p w14:paraId="61F7E0A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新建</w:t>
                  </w:r>
                </w:p>
              </w:tc>
            </w:tr>
            <w:tr w14:paraId="140F7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restart"/>
                  <w:tcBorders>
                    <w:tl2br w:val="nil"/>
                    <w:tr2bl w:val="nil"/>
                  </w:tcBorders>
                  <w:noWrap w:val="0"/>
                  <w:vAlign w:val="center"/>
                </w:tcPr>
                <w:p w14:paraId="66E47F8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辅助工程</w:t>
                  </w:r>
                </w:p>
              </w:tc>
              <w:tc>
                <w:tcPr>
                  <w:tcW w:w="1180" w:type="dxa"/>
                  <w:gridSpan w:val="2"/>
                  <w:tcBorders>
                    <w:tl2br w:val="nil"/>
                    <w:tr2bl w:val="nil"/>
                  </w:tcBorders>
                  <w:noWrap w:val="0"/>
                  <w:vAlign w:val="center"/>
                </w:tcPr>
                <w:p w14:paraId="5329502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综合楼</w:t>
                  </w:r>
                </w:p>
              </w:tc>
              <w:tc>
                <w:tcPr>
                  <w:tcW w:w="4066" w:type="dxa"/>
                  <w:tcBorders>
                    <w:tl2br w:val="nil"/>
                    <w:tr2bl w:val="nil"/>
                  </w:tcBorders>
                  <w:noWrap w:val="0"/>
                  <w:vAlign w:val="center"/>
                </w:tcPr>
                <w:p w14:paraId="2A95873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w:t>
                  </w:r>
                  <w:r>
                    <w:rPr>
                      <w:rFonts w:hint="eastAsia" w:ascii="Times New Roman" w:hAnsi="Times New Roman" w:eastAsia="宋体" w:cs="Times New Roman"/>
                      <w:color w:val="auto"/>
                      <w:kern w:val="2"/>
                      <w:sz w:val="21"/>
                      <w:szCs w:val="21"/>
                      <w:highlight w:val="none"/>
                      <w:lang w:val="en-US" w:eastAsia="zh-CN"/>
                    </w:rPr>
                    <w:t>2</w:t>
                  </w:r>
                  <w:r>
                    <w:rPr>
                      <w:rFonts w:hint="default" w:ascii="Times New Roman" w:hAnsi="Times New Roman" w:eastAsia="宋体" w:cs="Times New Roman"/>
                      <w:color w:val="auto"/>
                      <w:kern w:val="2"/>
                      <w:sz w:val="21"/>
                      <w:szCs w:val="21"/>
                      <w:highlight w:val="none"/>
                      <w:lang w:val="en-US" w:eastAsia="zh-CN"/>
                    </w:rPr>
                    <w:t>层，砖混结构，</w:t>
                  </w:r>
                  <w:r>
                    <w:rPr>
                      <w:rFonts w:hint="eastAsia" w:ascii="Times New Roman" w:hAnsi="Times New Roman" w:eastAsia="宋体" w:cs="Times New Roman"/>
                      <w:color w:val="auto"/>
                      <w:kern w:val="2"/>
                      <w:sz w:val="21"/>
                      <w:szCs w:val="21"/>
                      <w:highlight w:val="none"/>
                      <w:lang w:val="en-US" w:eastAsia="zh-CN"/>
                    </w:rPr>
                    <w:t>建筑</w:t>
                  </w:r>
                  <w:r>
                    <w:rPr>
                      <w:rFonts w:hint="default" w:ascii="Times New Roman" w:hAnsi="Times New Roman" w:eastAsia="宋体" w:cs="Times New Roman"/>
                      <w:color w:val="auto"/>
                      <w:kern w:val="2"/>
                      <w:sz w:val="21"/>
                      <w:szCs w:val="21"/>
                      <w:highlight w:val="none"/>
                      <w:lang w:val="en-US" w:eastAsia="zh-CN"/>
                    </w:rPr>
                    <w:t>面积</w:t>
                  </w:r>
                  <w:r>
                    <w:rPr>
                      <w:rFonts w:hint="eastAsia" w:ascii="Times New Roman" w:hAnsi="Times New Roman" w:eastAsia="宋体" w:cs="Times New Roman"/>
                      <w:color w:val="auto"/>
                      <w:kern w:val="2"/>
                      <w:sz w:val="21"/>
                      <w:szCs w:val="21"/>
                      <w:highlight w:val="none"/>
                      <w:lang w:val="en-US" w:eastAsia="zh-CN"/>
                    </w:rPr>
                    <w:t>390.58</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，主要用于职工办公</w:t>
                  </w:r>
                  <w:r>
                    <w:rPr>
                      <w:rFonts w:hint="eastAsia" w:ascii="Times New Roman" w:hAnsi="Times New Roman" w:eastAsia="宋体" w:cs="Times New Roman"/>
                      <w:color w:val="auto"/>
                      <w:kern w:val="2"/>
                      <w:sz w:val="21"/>
                      <w:szCs w:val="21"/>
                      <w:highlight w:val="none"/>
                      <w:lang w:val="en-US" w:eastAsia="zh-CN"/>
                    </w:rPr>
                    <w:t>、食堂、宿舍等</w:t>
                  </w:r>
                  <w:r>
                    <w:rPr>
                      <w:rFonts w:hint="default" w:ascii="Times New Roman" w:hAnsi="Times New Roman" w:eastAsia="宋体" w:cs="Times New Roman"/>
                      <w:color w:val="auto"/>
                      <w:kern w:val="2"/>
                      <w:sz w:val="21"/>
                      <w:szCs w:val="21"/>
                      <w:highlight w:val="none"/>
                      <w:lang w:val="en-US" w:eastAsia="zh-CN"/>
                    </w:rPr>
                    <w:t>。</w:t>
                  </w:r>
                </w:p>
              </w:tc>
              <w:tc>
                <w:tcPr>
                  <w:tcW w:w="5670" w:type="dxa"/>
                  <w:tcBorders>
                    <w:tl2br w:val="nil"/>
                    <w:tr2bl w:val="nil"/>
                  </w:tcBorders>
                  <w:noWrap w:val="0"/>
                  <w:vAlign w:val="center"/>
                </w:tcPr>
                <w:p w14:paraId="2DDC487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w:t>
                  </w:r>
                  <w:r>
                    <w:rPr>
                      <w:rFonts w:hint="eastAsia" w:ascii="Times New Roman" w:hAnsi="Times New Roman" w:eastAsia="宋体" w:cs="Times New Roman"/>
                      <w:color w:val="auto"/>
                      <w:kern w:val="2"/>
                      <w:sz w:val="21"/>
                      <w:szCs w:val="21"/>
                      <w:highlight w:val="none"/>
                      <w:lang w:val="en-US" w:eastAsia="zh-CN"/>
                    </w:rPr>
                    <w:t>2</w:t>
                  </w:r>
                  <w:r>
                    <w:rPr>
                      <w:rFonts w:hint="default" w:ascii="Times New Roman" w:hAnsi="Times New Roman" w:eastAsia="宋体" w:cs="Times New Roman"/>
                      <w:color w:val="auto"/>
                      <w:kern w:val="2"/>
                      <w:sz w:val="21"/>
                      <w:szCs w:val="21"/>
                      <w:highlight w:val="none"/>
                      <w:lang w:val="en-US" w:eastAsia="zh-CN"/>
                    </w:rPr>
                    <w:t>层，砖混结构，占地面积</w:t>
                  </w:r>
                  <w:r>
                    <w:rPr>
                      <w:rFonts w:hint="eastAsia" w:ascii="Times New Roman" w:hAnsi="Times New Roman" w:eastAsia="宋体" w:cs="Times New Roman"/>
                      <w:color w:val="auto"/>
                      <w:kern w:val="2"/>
                      <w:sz w:val="21"/>
                      <w:szCs w:val="21"/>
                      <w:highlight w:val="none"/>
                      <w:lang w:val="en-US" w:eastAsia="zh-CN"/>
                    </w:rPr>
                    <w:t>390.58</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，主要用于职工办公</w:t>
                  </w:r>
                  <w:r>
                    <w:rPr>
                      <w:rFonts w:hint="eastAsia" w:ascii="Times New Roman" w:hAnsi="Times New Roman" w:eastAsia="宋体" w:cs="Times New Roman"/>
                      <w:color w:val="auto"/>
                      <w:kern w:val="2"/>
                      <w:sz w:val="21"/>
                      <w:szCs w:val="21"/>
                      <w:highlight w:val="none"/>
                      <w:lang w:val="en-US" w:eastAsia="zh-CN"/>
                    </w:rPr>
                    <w:t>、食堂、宿舍等</w:t>
                  </w:r>
                  <w:r>
                    <w:rPr>
                      <w:rFonts w:hint="default" w:ascii="Times New Roman" w:hAnsi="Times New Roman" w:eastAsia="宋体" w:cs="Times New Roman"/>
                      <w:color w:val="auto"/>
                      <w:kern w:val="2"/>
                      <w:sz w:val="21"/>
                      <w:szCs w:val="21"/>
                      <w:highlight w:val="none"/>
                      <w:lang w:val="en-US" w:eastAsia="zh-CN"/>
                    </w:rPr>
                    <w:t>。</w:t>
                  </w:r>
                </w:p>
              </w:tc>
              <w:tc>
                <w:tcPr>
                  <w:tcW w:w="2061" w:type="dxa"/>
                  <w:tcBorders>
                    <w:tl2br w:val="nil"/>
                    <w:tr2bl w:val="nil"/>
                  </w:tcBorders>
                  <w:noWrap w:val="0"/>
                  <w:vAlign w:val="center"/>
                </w:tcPr>
                <w:p w14:paraId="0B436F6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依托现有</w:t>
                  </w:r>
                </w:p>
              </w:tc>
            </w:tr>
            <w:tr w14:paraId="26243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6A25FAA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1180" w:type="dxa"/>
                  <w:gridSpan w:val="2"/>
                  <w:tcBorders>
                    <w:tl2br w:val="nil"/>
                    <w:tr2bl w:val="nil"/>
                  </w:tcBorders>
                  <w:noWrap w:val="0"/>
                  <w:vAlign w:val="center"/>
                </w:tcPr>
                <w:p w14:paraId="0390A22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门卫室</w:t>
                  </w:r>
                </w:p>
              </w:tc>
              <w:tc>
                <w:tcPr>
                  <w:tcW w:w="4066" w:type="dxa"/>
                  <w:tcBorders>
                    <w:tl2br w:val="nil"/>
                    <w:tr2bl w:val="nil"/>
                  </w:tcBorders>
                  <w:noWrap w:val="0"/>
                  <w:vAlign w:val="center"/>
                </w:tcPr>
                <w:p w14:paraId="2CF8A7E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w:t>
                  </w:r>
                  <w:r>
                    <w:rPr>
                      <w:rFonts w:hint="eastAsia" w:ascii="Times New Roman" w:hAnsi="Times New Roman" w:eastAsia="宋体" w:cs="Times New Roman"/>
                      <w:color w:val="auto"/>
                      <w:kern w:val="2"/>
                      <w:sz w:val="21"/>
                      <w:szCs w:val="21"/>
                      <w:highlight w:val="none"/>
                      <w:lang w:val="en-US" w:eastAsia="zh-CN"/>
                    </w:rPr>
                    <w:t>1</w:t>
                  </w:r>
                  <w:r>
                    <w:rPr>
                      <w:rFonts w:hint="default" w:ascii="Times New Roman" w:hAnsi="Times New Roman" w:eastAsia="宋体" w:cs="Times New Roman"/>
                      <w:color w:val="auto"/>
                      <w:kern w:val="2"/>
                      <w:sz w:val="21"/>
                      <w:szCs w:val="21"/>
                      <w:highlight w:val="none"/>
                      <w:lang w:val="en-US" w:eastAsia="zh-CN"/>
                    </w:rPr>
                    <w:t>层，砖混结构</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建筑面积</w:t>
                  </w:r>
                  <w:r>
                    <w:rPr>
                      <w:rFonts w:hint="eastAsia" w:ascii="Times New Roman" w:hAnsi="Times New Roman" w:eastAsia="宋体" w:cs="Times New Roman"/>
                      <w:color w:val="auto"/>
                      <w:kern w:val="2"/>
                      <w:sz w:val="21"/>
                      <w:szCs w:val="21"/>
                      <w:highlight w:val="none"/>
                      <w:lang w:val="en-US" w:eastAsia="zh-CN"/>
                    </w:rPr>
                    <w:t>34.94</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p>
              </w:tc>
              <w:tc>
                <w:tcPr>
                  <w:tcW w:w="5670" w:type="dxa"/>
                  <w:tcBorders>
                    <w:tl2br w:val="nil"/>
                    <w:tr2bl w:val="nil"/>
                  </w:tcBorders>
                  <w:noWrap w:val="0"/>
                  <w:vAlign w:val="center"/>
                </w:tcPr>
                <w:p w14:paraId="58243EC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1栋</w:t>
                  </w:r>
                  <w:r>
                    <w:rPr>
                      <w:rFonts w:hint="eastAsia" w:ascii="Times New Roman" w:hAnsi="Times New Roman" w:eastAsia="宋体" w:cs="Times New Roman"/>
                      <w:color w:val="auto"/>
                      <w:kern w:val="2"/>
                      <w:sz w:val="21"/>
                      <w:szCs w:val="21"/>
                      <w:highlight w:val="none"/>
                      <w:lang w:val="en-US" w:eastAsia="zh-CN"/>
                    </w:rPr>
                    <w:t>1</w:t>
                  </w:r>
                  <w:r>
                    <w:rPr>
                      <w:rFonts w:hint="default" w:ascii="Times New Roman" w:hAnsi="Times New Roman" w:eastAsia="宋体" w:cs="Times New Roman"/>
                      <w:color w:val="auto"/>
                      <w:kern w:val="2"/>
                      <w:sz w:val="21"/>
                      <w:szCs w:val="21"/>
                      <w:highlight w:val="none"/>
                      <w:lang w:val="en-US" w:eastAsia="zh-CN"/>
                    </w:rPr>
                    <w:t>层，砖混结构</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建筑面积</w:t>
                  </w:r>
                  <w:r>
                    <w:rPr>
                      <w:rFonts w:hint="eastAsia" w:ascii="Times New Roman" w:hAnsi="Times New Roman" w:eastAsia="宋体" w:cs="Times New Roman"/>
                      <w:color w:val="auto"/>
                      <w:kern w:val="2"/>
                      <w:sz w:val="21"/>
                      <w:szCs w:val="21"/>
                      <w:highlight w:val="none"/>
                      <w:lang w:val="en-US" w:eastAsia="zh-CN"/>
                    </w:rPr>
                    <w:t>34.94</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p>
              </w:tc>
              <w:tc>
                <w:tcPr>
                  <w:tcW w:w="2061" w:type="dxa"/>
                  <w:tcBorders>
                    <w:tl2br w:val="nil"/>
                    <w:tr2bl w:val="nil"/>
                  </w:tcBorders>
                  <w:noWrap w:val="0"/>
                  <w:vAlign w:val="center"/>
                </w:tcPr>
                <w:p w14:paraId="6F13C41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依托现有</w:t>
                  </w:r>
                </w:p>
              </w:tc>
            </w:tr>
            <w:tr w14:paraId="6A57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vMerge w:val="restart"/>
                  <w:tcBorders>
                    <w:tl2br w:val="nil"/>
                    <w:tr2bl w:val="nil"/>
                  </w:tcBorders>
                  <w:noWrap w:val="0"/>
                  <w:vAlign w:val="center"/>
                </w:tcPr>
                <w:p w14:paraId="2E3A9FF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储运工程</w:t>
                  </w:r>
                </w:p>
              </w:tc>
              <w:tc>
                <w:tcPr>
                  <w:tcW w:w="1180" w:type="dxa"/>
                  <w:gridSpan w:val="2"/>
                  <w:tcBorders>
                    <w:tl2br w:val="nil"/>
                    <w:tr2bl w:val="nil"/>
                  </w:tcBorders>
                  <w:noWrap w:val="0"/>
                  <w:vAlign w:val="center"/>
                </w:tcPr>
                <w:p w14:paraId="358C2EE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原料仓库</w:t>
                  </w:r>
                </w:p>
              </w:tc>
              <w:tc>
                <w:tcPr>
                  <w:tcW w:w="4066" w:type="dxa"/>
                  <w:tcBorders>
                    <w:tl2br w:val="nil"/>
                    <w:tr2bl w:val="nil"/>
                  </w:tcBorders>
                  <w:noWrap w:val="0"/>
                  <w:vAlign w:val="center"/>
                </w:tcPr>
                <w:p w14:paraId="30D9050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位于1号厂房（铸造生产车间）</w:t>
                  </w:r>
                  <w:r>
                    <w:rPr>
                      <w:rFonts w:hint="eastAsia" w:ascii="Times New Roman" w:hAnsi="Times New Roman" w:eastAsia="宋体" w:cs="Times New Roman"/>
                      <w:color w:val="auto"/>
                      <w:kern w:val="2"/>
                      <w:sz w:val="21"/>
                      <w:szCs w:val="21"/>
                      <w:highlight w:val="none"/>
                      <w:lang w:val="en-US" w:eastAsia="zh-CN"/>
                    </w:rPr>
                    <w:t>内东侧区域</w:t>
                  </w:r>
                  <w:r>
                    <w:rPr>
                      <w:rFonts w:hint="default" w:ascii="Times New Roman" w:hAnsi="Times New Roman" w:eastAsia="宋体" w:cs="Times New Roman"/>
                      <w:color w:val="auto"/>
                      <w:kern w:val="2"/>
                      <w:sz w:val="21"/>
                      <w:szCs w:val="21"/>
                      <w:highlight w:val="none"/>
                      <w:lang w:val="en-US" w:eastAsia="zh-CN"/>
                    </w:rPr>
                    <w:t>，占地面积</w:t>
                  </w:r>
                  <w:r>
                    <w:rPr>
                      <w:rFonts w:hint="eastAsia" w:ascii="Times New Roman" w:hAnsi="Times New Roman" w:eastAsia="宋体" w:cs="Times New Roman"/>
                      <w:color w:val="auto"/>
                      <w:kern w:val="2"/>
                      <w:sz w:val="21"/>
                      <w:szCs w:val="21"/>
                      <w:highlight w:val="none"/>
                      <w:lang w:val="en-US" w:eastAsia="zh-CN"/>
                    </w:rPr>
                    <w:t>5</w:t>
                  </w:r>
                  <w:r>
                    <w:rPr>
                      <w:rFonts w:hint="default" w:ascii="Times New Roman" w:hAnsi="Times New Roman" w:eastAsia="宋体" w:cs="Times New Roman"/>
                      <w:color w:val="auto"/>
                      <w:kern w:val="2"/>
                      <w:sz w:val="21"/>
                      <w:szCs w:val="21"/>
                      <w:highlight w:val="none"/>
                      <w:lang w:val="en-US" w:eastAsia="zh-CN"/>
                    </w:rPr>
                    <w:t>00m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，用于原料砂、生铁等原料及模具存储。</w:t>
                  </w:r>
                </w:p>
              </w:tc>
              <w:tc>
                <w:tcPr>
                  <w:tcW w:w="5670" w:type="dxa"/>
                  <w:tcBorders>
                    <w:tl2br w:val="nil"/>
                    <w:tr2bl w:val="nil"/>
                  </w:tcBorders>
                  <w:noWrap w:val="0"/>
                  <w:vAlign w:val="center"/>
                </w:tcPr>
                <w:p w14:paraId="445B98A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位于1号厂房（铸造生产车间）</w:t>
                  </w:r>
                  <w:r>
                    <w:rPr>
                      <w:rFonts w:hint="eastAsia" w:ascii="Times New Roman" w:hAnsi="Times New Roman" w:eastAsia="宋体" w:cs="Times New Roman"/>
                      <w:color w:val="auto"/>
                      <w:kern w:val="2"/>
                      <w:sz w:val="21"/>
                      <w:szCs w:val="21"/>
                      <w:highlight w:val="none"/>
                      <w:lang w:val="en-US" w:eastAsia="zh-CN"/>
                    </w:rPr>
                    <w:t>内东侧区域</w:t>
                  </w:r>
                  <w:r>
                    <w:rPr>
                      <w:rFonts w:hint="default" w:ascii="Times New Roman" w:hAnsi="Times New Roman" w:eastAsia="宋体" w:cs="Times New Roman"/>
                      <w:color w:val="auto"/>
                      <w:kern w:val="2"/>
                      <w:sz w:val="21"/>
                      <w:szCs w:val="21"/>
                      <w:highlight w:val="none"/>
                      <w:lang w:val="en-US" w:eastAsia="zh-CN"/>
                    </w:rPr>
                    <w:t>，占地面积</w:t>
                  </w:r>
                  <w:r>
                    <w:rPr>
                      <w:rFonts w:hint="eastAsia" w:ascii="Times New Roman" w:hAnsi="Times New Roman" w:eastAsia="宋体" w:cs="Times New Roman"/>
                      <w:color w:val="auto"/>
                      <w:kern w:val="2"/>
                      <w:sz w:val="21"/>
                      <w:szCs w:val="21"/>
                      <w:highlight w:val="none"/>
                      <w:lang w:val="en-US" w:eastAsia="zh-CN"/>
                    </w:rPr>
                    <w:t>5</w:t>
                  </w:r>
                  <w:r>
                    <w:rPr>
                      <w:rFonts w:hint="default" w:ascii="Times New Roman" w:hAnsi="Times New Roman" w:eastAsia="宋体" w:cs="Times New Roman"/>
                      <w:color w:val="auto"/>
                      <w:kern w:val="2"/>
                      <w:sz w:val="21"/>
                      <w:szCs w:val="21"/>
                      <w:highlight w:val="none"/>
                      <w:lang w:val="en-US" w:eastAsia="zh-CN"/>
                    </w:rPr>
                    <w:t>00m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，用于原料砂、生铁等原料及模具存储。</w:t>
                  </w:r>
                </w:p>
              </w:tc>
              <w:tc>
                <w:tcPr>
                  <w:tcW w:w="2061" w:type="dxa"/>
                  <w:tcBorders>
                    <w:tl2br w:val="nil"/>
                    <w:tr2bl w:val="nil"/>
                  </w:tcBorders>
                  <w:noWrap w:val="0"/>
                  <w:vAlign w:val="center"/>
                </w:tcPr>
                <w:p w14:paraId="080124DE">
                  <w:pPr>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依托现有</w:t>
                  </w:r>
                </w:p>
              </w:tc>
            </w:tr>
            <w:tr w14:paraId="501F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2D9EE93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1180" w:type="dxa"/>
                  <w:gridSpan w:val="2"/>
                  <w:tcBorders>
                    <w:tl2br w:val="nil"/>
                    <w:tr2bl w:val="nil"/>
                  </w:tcBorders>
                  <w:noWrap w:val="0"/>
                  <w:vAlign w:val="center"/>
                </w:tcPr>
                <w:p w14:paraId="33D1F21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产品仓库</w:t>
                  </w:r>
                </w:p>
              </w:tc>
              <w:tc>
                <w:tcPr>
                  <w:tcW w:w="4066" w:type="dxa"/>
                  <w:tcBorders>
                    <w:tl2br w:val="nil"/>
                    <w:tr2bl w:val="nil"/>
                  </w:tcBorders>
                  <w:noWrap w:val="0"/>
                  <w:vAlign w:val="center"/>
                </w:tcPr>
                <w:p w14:paraId="411B16C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位于</w:t>
                  </w:r>
                  <w:r>
                    <w:rPr>
                      <w:rFonts w:hint="eastAsia" w:cs="Times New Roman"/>
                      <w:color w:val="auto"/>
                      <w:kern w:val="2"/>
                      <w:sz w:val="21"/>
                      <w:szCs w:val="21"/>
                      <w:highlight w:val="none"/>
                      <w:lang w:val="en-US" w:eastAsia="zh-CN"/>
                    </w:rPr>
                    <w:t>1</w:t>
                  </w:r>
                  <w:r>
                    <w:rPr>
                      <w:rFonts w:hint="default" w:ascii="Times New Roman" w:hAnsi="Times New Roman" w:eastAsia="宋体" w:cs="Times New Roman"/>
                      <w:color w:val="auto"/>
                      <w:kern w:val="2"/>
                      <w:sz w:val="21"/>
                      <w:szCs w:val="21"/>
                      <w:highlight w:val="none"/>
                      <w:lang w:val="en-US" w:eastAsia="zh-CN"/>
                    </w:rPr>
                    <w:t>号厂房（铸造生产车间）</w:t>
                  </w:r>
                  <w:r>
                    <w:rPr>
                      <w:rFonts w:hint="eastAsia" w:ascii="Times New Roman" w:hAnsi="Times New Roman" w:eastAsia="宋体" w:cs="Times New Roman"/>
                      <w:color w:val="auto"/>
                      <w:kern w:val="2"/>
                      <w:sz w:val="21"/>
                      <w:szCs w:val="21"/>
                      <w:highlight w:val="none"/>
                      <w:lang w:val="en-US" w:eastAsia="zh-CN"/>
                    </w:rPr>
                    <w:t>内</w:t>
                  </w:r>
                </w:p>
              </w:tc>
              <w:tc>
                <w:tcPr>
                  <w:tcW w:w="5670" w:type="dxa"/>
                  <w:tcBorders>
                    <w:tl2br w:val="nil"/>
                    <w:tr2bl w:val="nil"/>
                  </w:tcBorders>
                  <w:noWrap w:val="0"/>
                  <w:vAlign w:val="center"/>
                </w:tcPr>
                <w:p w14:paraId="3CD6597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位于</w:t>
                  </w:r>
                  <w:r>
                    <w:rPr>
                      <w:rFonts w:hint="eastAsia" w:cs="Times New Roman"/>
                      <w:color w:val="auto"/>
                      <w:kern w:val="2"/>
                      <w:sz w:val="21"/>
                      <w:szCs w:val="21"/>
                      <w:highlight w:val="none"/>
                      <w:lang w:val="en-US" w:eastAsia="zh-CN"/>
                    </w:rPr>
                    <w:t>2</w:t>
                  </w:r>
                  <w:r>
                    <w:rPr>
                      <w:rFonts w:hint="default" w:ascii="Times New Roman" w:hAnsi="Times New Roman" w:eastAsia="宋体" w:cs="Times New Roman"/>
                      <w:color w:val="auto"/>
                      <w:kern w:val="2"/>
                      <w:sz w:val="21"/>
                      <w:szCs w:val="21"/>
                      <w:highlight w:val="none"/>
                      <w:lang w:val="en-US" w:eastAsia="zh-CN"/>
                    </w:rPr>
                    <w:t>号厂房（</w:t>
                  </w:r>
                  <w:r>
                    <w:rPr>
                      <w:rFonts w:hint="eastAsia" w:cs="Times New Roman"/>
                      <w:color w:val="auto"/>
                      <w:kern w:val="2"/>
                      <w:sz w:val="21"/>
                      <w:szCs w:val="21"/>
                      <w:highlight w:val="none"/>
                      <w:lang w:val="en-US" w:eastAsia="zh-CN"/>
                    </w:rPr>
                    <w:t>金属制品加工</w:t>
                  </w:r>
                  <w:r>
                    <w:rPr>
                      <w:rFonts w:hint="default" w:ascii="Times New Roman" w:hAnsi="Times New Roman" w:eastAsia="宋体" w:cs="Times New Roman"/>
                      <w:color w:val="auto"/>
                      <w:kern w:val="2"/>
                      <w:sz w:val="21"/>
                      <w:szCs w:val="21"/>
                      <w:highlight w:val="none"/>
                      <w:lang w:val="en-US" w:eastAsia="zh-CN"/>
                    </w:rPr>
                    <w:t>车间）</w:t>
                  </w:r>
                  <w:r>
                    <w:rPr>
                      <w:rFonts w:hint="eastAsia" w:ascii="Times New Roman" w:hAnsi="Times New Roman" w:eastAsia="宋体" w:cs="Times New Roman"/>
                      <w:color w:val="auto"/>
                      <w:kern w:val="2"/>
                      <w:sz w:val="21"/>
                      <w:szCs w:val="21"/>
                      <w:highlight w:val="none"/>
                      <w:lang w:val="en-US" w:eastAsia="zh-CN"/>
                    </w:rPr>
                    <w:t>内</w:t>
                  </w:r>
                  <w:r>
                    <w:rPr>
                      <w:rFonts w:hint="default" w:ascii="Times New Roman" w:hAnsi="Times New Roman" w:eastAsia="宋体" w:cs="Times New Roman"/>
                      <w:color w:val="auto"/>
                      <w:kern w:val="2"/>
                      <w:sz w:val="21"/>
                      <w:szCs w:val="21"/>
                      <w:highlight w:val="none"/>
                      <w:lang w:val="en-US" w:eastAsia="zh-CN"/>
                    </w:rPr>
                    <w:t>，用于产品存储。</w:t>
                  </w:r>
                </w:p>
              </w:tc>
              <w:tc>
                <w:tcPr>
                  <w:tcW w:w="2061" w:type="dxa"/>
                  <w:tcBorders>
                    <w:tl2br w:val="nil"/>
                    <w:tr2bl w:val="nil"/>
                  </w:tcBorders>
                  <w:noWrap w:val="0"/>
                  <w:vAlign w:val="center"/>
                </w:tcPr>
                <w:p w14:paraId="38FE986A">
                  <w:pPr>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新建</w:t>
                  </w:r>
                </w:p>
              </w:tc>
            </w:tr>
            <w:tr w14:paraId="3B65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restart"/>
                  <w:tcBorders>
                    <w:tl2br w:val="nil"/>
                    <w:tr2bl w:val="nil"/>
                  </w:tcBorders>
                  <w:noWrap w:val="0"/>
                  <w:vAlign w:val="center"/>
                </w:tcPr>
                <w:p w14:paraId="0EA29F1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公用工程</w:t>
                  </w:r>
                </w:p>
              </w:tc>
              <w:tc>
                <w:tcPr>
                  <w:tcW w:w="1180" w:type="dxa"/>
                  <w:gridSpan w:val="2"/>
                  <w:tcBorders>
                    <w:tl2br w:val="nil"/>
                    <w:tr2bl w:val="nil"/>
                  </w:tcBorders>
                  <w:noWrap w:val="0"/>
                  <w:vAlign w:val="center"/>
                </w:tcPr>
                <w:p w14:paraId="5E1AD59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给水</w:t>
                  </w:r>
                </w:p>
              </w:tc>
              <w:tc>
                <w:tcPr>
                  <w:tcW w:w="4066" w:type="dxa"/>
                  <w:tcBorders>
                    <w:tl2br w:val="nil"/>
                    <w:tr2bl w:val="nil"/>
                  </w:tcBorders>
                  <w:noWrap w:val="0"/>
                  <w:vAlign w:val="center"/>
                </w:tcPr>
                <w:p w14:paraId="64E65E3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城镇供水管网供应，项目用水量共计</w:t>
                  </w:r>
                  <w:r>
                    <w:rPr>
                      <w:rFonts w:hint="eastAsia" w:cs="Times New Roman"/>
                      <w:color w:val="auto"/>
                      <w:kern w:val="2"/>
                      <w:sz w:val="21"/>
                      <w:szCs w:val="21"/>
                      <w:highlight w:val="none"/>
                      <w:lang w:val="en-US" w:eastAsia="zh-CN"/>
                    </w:rPr>
                    <w:t>5160</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3</w:t>
                  </w:r>
                  <w:r>
                    <w:rPr>
                      <w:rFonts w:hint="default" w:ascii="Times New Roman" w:hAnsi="Times New Roman" w:eastAsia="宋体" w:cs="Times New Roman"/>
                      <w:color w:val="auto"/>
                      <w:kern w:val="2"/>
                      <w:sz w:val="21"/>
                      <w:szCs w:val="21"/>
                      <w:highlight w:val="none"/>
                      <w:lang w:val="en-US" w:eastAsia="zh-CN"/>
                    </w:rPr>
                    <w:t>/a。</w:t>
                  </w:r>
                </w:p>
              </w:tc>
              <w:tc>
                <w:tcPr>
                  <w:tcW w:w="5670" w:type="dxa"/>
                  <w:tcBorders>
                    <w:tl2br w:val="nil"/>
                    <w:tr2bl w:val="nil"/>
                  </w:tcBorders>
                  <w:noWrap w:val="0"/>
                  <w:vAlign w:val="center"/>
                </w:tcPr>
                <w:p w14:paraId="7D49556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城镇供水管网供应，</w:t>
                  </w:r>
                  <w:r>
                    <w:rPr>
                      <w:rFonts w:hint="eastAsia" w:cs="Times New Roman"/>
                      <w:color w:val="auto"/>
                      <w:kern w:val="2"/>
                      <w:sz w:val="21"/>
                      <w:szCs w:val="21"/>
                      <w:highlight w:val="none"/>
                      <w:lang w:val="en-US" w:eastAsia="zh-CN"/>
                    </w:rPr>
                    <w:t>技改</w:t>
                  </w:r>
                  <w:r>
                    <w:rPr>
                      <w:rFonts w:hint="default" w:ascii="Times New Roman" w:hAnsi="Times New Roman" w:eastAsia="宋体" w:cs="Times New Roman"/>
                      <w:color w:val="auto"/>
                      <w:kern w:val="2"/>
                      <w:sz w:val="21"/>
                      <w:szCs w:val="21"/>
                      <w:highlight w:val="none"/>
                      <w:lang w:val="en-US" w:eastAsia="zh-CN"/>
                    </w:rPr>
                    <w:t>项目</w:t>
                  </w:r>
                  <w:r>
                    <w:rPr>
                      <w:rFonts w:hint="eastAsia" w:cs="Times New Roman"/>
                      <w:color w:val="auto"/>
                      <w:kern w:val="2"/>
                      <w:sz w:val="21"/>
                      <w:szCs w:val="21"/>
                      <w:highlight w:val="none"/>
                      <w:lang w:val="en-US" w:eastAsia="zh-CN"/>
                    </w:rPr>
                    <w:t>不</w:t>
                  </w:r>
                  <w:r>
                    <w:rPr>
                      <w:rFonts w:hint="eastAsia" w:ascii="Times New Roman" w:hAnsi="Times New Roman" w:eastAsia="宋体" w:cs="Times New Roman"/>
                      <w:color w:val="auto"/>
                      <w:kern w:val="2"/>
                      <w:sz w:val="21"/>
                      <w:szCs w:val="21"/>
                      <w:highlight w:val="none"/>
                      <w:lang w:val="en-US" w:eastAsia="zh-CN"/>
                    </w:rPr>
                    <w:t>新增</w:t>
                  </w:r>
                  <w:r>
                    <w:rPr>
                      <w:rFonts w:hint="default" w:ascii="Times New Roman" w:hAnsi="Times New Roman" w:eastAsia="宋体" w:cs="Times New Roman"/>
                      <w:color w:val="auto"/>
                      <w:kern w:val="2"/>
                      <w:sz w:val="21"/>
                      <w:szCs w:val="21"/>
                      <w:highlight w:val="none"/>
                      <w:lang w:val="en-US" w:eastAsia="zh-CN"/>
                    </w:rPr>
                    <w:t>用水量。</w:t>
                  </w:r>
                </w:p>
              </w:tc>
              <w:tc>
                <w:tcPr>
                  <w:tcW w:w="2061" w:type="dxa"/>
                  <w:tcBorders>
                    <w:tl2br w:val="nil"/>
                    <w:tr2bl w:val="nil"/>
                  </w:tcBorders>
                  <w:noWrap w:val="0"/>
                  <w:vAlign w:val="center"/>
                </w:tcPr>
                <w:p w14:paraId="535B3A8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新增冷却用水量，现有</w:t>
                  </w:r>
                  <w:r>
                    <w:rPr>
                      <w:rFonts w:hint="eastAsia" w:cs="Times New Roman"/>
                      <w:color w:val="auto"/>
                      <w:kern w:val="2"/>
                      <w:sz w:val="21"/>
                      <w:szCs w:val="21"/>
                      <w:highlight w:val="none"/>
                      <w:lang w:val="en-US" w:eastAsia="zh-CN"/>
                    </w:rPr>
                    <w:t>供水管</w:t>
                  </w:r>
                  <w:r>
                    <w:rPr>
                      <w:rFonts w:hint="eastAsia" w:ascii="Times New Roman" w:hAnsi="Times New Roman" w:eastAsia="宋体" w:cs="Times New Roman"/>
                      <w:color w:val="auto"/>
                      <w:kern w:val="2"/>
                      <w:sz w:val="21"/>
                      <w:szCs w:val="21"/>
                      <w:highlight w:val="none"/>
                      <w:lang w:val="en-US" w:eastAsia="zh-CN"/>
                    </w:rPr>
                    <w:t>网可以满足供水需求。</w:t>
                  </w:r>
                </w:p>
              </w:tc>
            </w:tr>
            <w:tr w14:paraId="0D5F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20C307E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1180" w:type="dxa"/>
                  <w:gridSpan w:val="2"/>
                  <w:tcBorders>
                    <w:tl2br w:val="nil"/>
                    <w:tr2bl w:val="nil"/>
                  </w:tcBorders>
                  <w:noWrap w:val="0"/>
                  <w:vAlign w:val="center"/>
                </w:tcPr>
                <w:p w14:paraId="081417C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排水</w:t>
                  </w:r>
                </w:p>
              </w:tc>
              <w:tc>
                <w:tcPr>
                  <w:tcW w:w="4066" w:type="dxa"/>
                  <w:tcBorders>
                    <w:tl2br w:val="nil"/>
                    <w:tr2bl w:val="nil"/>
                  </w:tcBorders>
                  <w:noWrap w:val="0"/>
                  <w:vAlign w:val="center"/>
                </w:tcPr>
                <w:p w14:paraId="69F3F41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厂区采用雨污分流，生活污水产生量为</w:t>
                  </w:r>
                  <w:r>
                    <w:rPr>
                      <w:rFonts w:hint="eastAsia" w:cs="Times New Roman"/>
                      <w:color w:val="auto"/>
                      <w:kern w:val="2"/>
                      <w:sz w:val="21"/>
                      <w:szCs w:val="21"/>
                      <w:highlight w:val="none"/>
                      <w:lang w:val="en-US" w:eastAsia="zh-CN"/>
                    </w:rPr>
                    <w:t>1440</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3</w:t>
                  </w:r>
                  <w:r>
                    <w:rPr>
                      <w:rFonts w:hint="default" w:ascii="Times New Roman" w:hAnsi="Times New Roman" w:eastAsia="宋体" w:cs="Times New Roman"/>
                      <w:color w:val="auto"/>
                      <w:kern w:val="2"/>
                      <w:sz w:val="21"/>
                      <w:szCs w:val="21"/>
                      <w:highlight w:val="none"/>
                      <w:lang w:val="en-US" w:eastAsia="zh-CN"/>
                    </w:rPr>
                    <w:t>/a，生活污水经化粪池处理后排入</w:t>
                  </w:r>
                  <w:r>
                    <w:rPr>
                      <w:rFonts w:hint="eastAsia" w:ascii="Times New Roman" w:hAnsi="Times New Roman" w:eastAsia="宋体" w:cs="Times New Roman"/>
                      <w:color w:val="auto"/>
                      <w:kern w:val="2"/>
                      <w:sz w:val="21"/>
                      <w:szCs w:val="21"/>
                      <w:highlight w:val="none"/>
                      <w:lang w:val="en-US" w:eastAsia="zh-CN"/>
                    </w:rPr>
                    <w:t>新河镇污水处理厂</w:t>
                  </w:r>
                  <w:r>
                    <w:rPr>
                      <w:rFonts w:hint="default" w:ascii="Times New Roman" w:hAnsi="Times New Roman" w:eastAsia="宋体" w:cs="Times New Roman"/>
                      <w:color w:val="auto"/>
                      <w:kern w:val="2"/>
                      <w:sz w:val="21"/>
                      <w:szCs w:val="21"/>
                      <w:highlight w:val="none"/>
                      <w:lang w:val="en-US" w:eastAsia="zh-CN"/>
                    </w:rPr>
                    <w:t>处理后排入</w:t>
                  </w:r>
                  <w:r>
                    <w:rPr>
                      <w:rFonts w:hint="eastAsia" w:ascii="Times New Roman" w:hAnsi="Times New Roman" w:eastAsia="宋体" w:cs="Times New Roman"/>
                      <w:color w:val="auto"/>
                      <w:kern w:val="2"/>
                      <w:sz w:val="21"/>
                      <w:szCs w:val="21"/>
                      <w:highlight w:val="none"/>
                      <w:lang w:val="en-US" w:eastAsia="zh-CN"/>
                    </w:rPr>
                    <w:t>东山河</w:t>
                  </w:r>
                  <w:r>
                    <w:rPr>
                      <w:rFonts w:hint="default" w:ascii="Times New Roman" w:hAnsi="Times New Roman" w:eastAsia="宋体" w:cs="Times New Roman"/>
                      <w:color w:val="auto"/>
                      <w:kern w:val="2"/>
                      <w:sz w:val="21"/>
                      <w:szCs w:val="21"/>
                      <w:highlight w:val="none"/>
                      <w:lang w:val="en-US" w:eastAsia="zh-CN"/>
                    </w:rPr>
                    <w:t>。</w:t>
                  </w:r>
                </w:p>
              </w:tc>
              <w:tc>
                <w:tcPr>
                  <w:tcW w:w="5670" w:type="dxa"/>
                  <w:tcBorders>
                    <w:tl2br w:val="nil"/>
                    <w:tr2bl w:val="nil"/>
                  </w:tcBorders>
                  <w:noWrap w:val="0"/>
                  <w:vAlign w:val="center"/>
                </w:tcPr>
                <w:p w14:paraId="4A29326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实行清污分流，雨污分流。雨水接入市政雨水管网；冷却水循环使用，定期补充不外排；</w:t>
                  </w:r>
                  <w:r>
                    <w:rPr>
                      <w:rFonts w:hint="default" w:ascii="Times New Roman" w:hAnsi="Times New Roman" w:eastAsia="宋体" w:cs="Times New Roman"/>
                      <w:color w:val="auto"/>
                      <w:kern w:val="2"/>
                      <w:sz w:val="21"/>
                      <w:szCs w:val="21"/>
                      <w:highlight w:val="none"/>
                      <w:lang w:val="en-US" w:eastAsia="zh-CN"/>
                    </w:rPr>
                    <w:t>生活污水经化粪池处理后排入</w:t>
                  </w:r>
                  <w:r>
                    <w:rPr>
                      <w:rFonts w:hint="eastAsia" w:ascii="Times New Roman" w:hAnsi="Times New Roman" w:eastAsia="宋体" w:cs="Times New Roman"/>
                      <w:color w:val="auto"/>
                      <w:kern w:val="2"/>
                      <w:sz w:val="21"/>
                      <w:szCs w:val="21"/>
                      <w:highlight w:val="none"/>
                      <w:lang w:val="en-US" w:eastAsia="zh-CN"/>
                    </w:rPr>
                    <w:t>新河镇污水处理厂</w:t>
                  </w:r>
                  <w:r>
                    <w:rPr>
                      <w:rFonts w:hint="default" w:ascii="Times New Roman" w:hAnsi="Times New Roman" w:eastAsia="宋体" w:cs="Times New Roman"/>
                      <w:color w:val="auto"/>
                      <w:kern w:val="2"/>
                      <w:sz w:val="21"/>
                      <w:szCs w:val="21"/>
                      <w:highlight w:val="none"/>
                      <w:lang w:val="en-US" w:eastAsia="zh-CN"/>
                    </w:rPr>
                    <w:t>处理</w:t>
                  </w:r>
                  <w:r>
                    <w:rPr>
                      <w:rFonts w:hint="eastAsia" w:ascii="Times New Roman" w:hAnsi="Times New Roman" w:eastAsia="宋体" w:cs="Times New Roman"/>
                      <w:color w:val="auto"/>
                      <w:kern w:val="2"/>
                      <w:sz w:val="21"/>
                      <w:szCs w:val="21"/>
                      <w:highlight w:val="none"/>
                      <w:lang w:val="en-US" w:eastAsia="zh-CN"/>
                    </w:rPr>
                    <w:t>达标</w:t>
                  </w:r>
                  <w:r>
                    <w:rPr>
                      <w:rFonts w:hint="default" w:ascii="Times New Roman" w:hAnsi="Times New Roman" w:eastAsia="宋体" w:cs="Times New Roman"/>
                      <w:color w:val="auto"/>
                      <w:kern w:val="2"/>
                      <w:sz w:val="21"/>
                      <w:szCs w:val="21"/>
                      <w:highlight w:val="none"/>
                      <w:lang w:val="en-US" w:eastAsia="zh-CN"/>
                    </w:rPr>
                    <w:t>后</w:t>
                  </w:r>
                  <w:r>
                    <w:rPr>
                      <w:rFonts w:hint="eastAsia" w:ascii="Times New Roman" w:hAnsi="Times New Roman" w:eastAsia="宋体" w:cs="Times New Roman"/>
                      <w:color w:val="auto"/>
                      <w:kern w:val="2"/>
                      <w:sz w:val="21"/>
                      <w:szCs w:val="21"/>
                      <w:highlight w:val="none"/>
                      <w:lang w:val="en-US" w:eastAsia="zh-CN"/>
                    </w:rPr>
                    <w:t>外排。</w:t>
                  </w:r>
                  <w:r>
                    <w:rPr>
                      <w:rFonts w:hint="default" w:ascii="Times New Roman" w:hAnsi="Times New Roman" w:eastAsia="宋体" w:cs="Times New Roman"/>
                      <w:color w:val="auto"/>
                      <w:kern w:val="2"/>
                      <w:sz w:val="21"/>
                      <w:szCs w:val="21"/>
                      <w:highlight w:val="none"/>
                      <w:lang w:val="en-US" w:eastAsia="zh-CN"/>
                    </w:rPr>
                    <w:t>项目</w:t>
                  </w:r>
                  <w:r>
                    <w:rPr>
                      <w:rFonts w:hint="eastAsia" w:ascii="Times New Roman" w:hAnsi="Times New Roman" w:eastAsia="宋体" w:cs="Times New Roman"/>
                      <w:color w:val="auto"/>
                      <w:kern w:val="2"/>
                      <w:sz w:val="21"/>
                      <w:szCs w:val="21"/>
                      <w:highlight w:val="none"/>
                      <w:lang w:val="en-US" w:eastAsia="zh-CN"/>
                    </w:rPr>
                    <w:t>不新增废水排放</w:t>
                  </w:r>
                  <w:r>
                    <w:rPr>
                      <w:rFonts w:hint="default" w:ascii="Times New Roman" w:hAnsi="Times New Roman" w:eastAsia="宋体" w:cs="Times New Roman"/>
                      <w:color w:val="auto"/>
                      <w:kern w:val="2"/>
                      <w:sz w:val="21"/>
                      <w:szCs w:val="21"/>
                      <w:highlight w:val="none"/>
                      <w:lang w:val="en-US" w:eastAsia="zh-CN"/>
                    </w:rPr>
                    <w:t>量。</w:t>
                  </w:r>
                </w:p>
              </w:tc>
              <w:tc>
                <w:tcPr>
                  <w:tcW w:w="2061" w:type="dxa"/>
                  <w:tcBorders>
                    <w:tl2br w:val="nil"/>
                    <w:tr2bl w:val="nil"/>
                  </w:tcBorders>
                  <w:noWrap w:val="0"/>
                  <w:vAlign w:val="center"/>
                </w:tcPr>
                <w:p w14:paraId="668FE11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不新增废水排放</w:t>
                  </w:r>
                </w:p>
              </w:tc>
            </w:tr>
            <w:tr w14:paraId="6ABB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7810CC0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1180" w:type="dxa"/>
                  <w:gridSpan w:val="2"/>
                  <w:tcBorders>
                    <w:tl2br w:val="nil"/>
                    <w:tr2bl w:val="nil"/>
                  </w:tcBorders>
                  <w:noWrap w:val="0"/>
                  <w:vAlign w:val="center"/>
                </w:tcPr>
                <w:p w14:paraId="2349FA7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供电</w:t>
                  </w:r>
                </w:p>
              </w:tc>
              <w:tc>
                <w:tcPr>
                  <w:tcW w:w="4066" w:type="dxa"/>
                  <w:tcBorders>
                    <w:tl2br w:val="nil"/>
                    <w:tr2bl w:val="nil"/>
                  </w:tcBorders>
                  <w:noWrap w:val="0"/>
                  <w:vAlign w:val="center"/>
                </w:tcPr>
                <w:p w14:paraId="2F77F37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城镇供电管网供电。年用电量为110万kwh。</w:t>
                  </w:r>
                </w:p>
              </w:tc>
              <w:tc>
                <w:tcPr>
                  <w:tcW w:w="5670" w:type="dxa"/>
                  <w:tcBorders>
                    <w:tl2br w:val="nil"/>
                    <w:tr2bl w:val="nil"/>
                  </w:tcBorders>
                  <w:noWrap w:val="0"/>
                  <w:vAlign w:val="center"/>
                </w:tcPr>
                <w:p w14:paraId="66F0038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城镇供电管网供电。</w:t>
                  </w:r>
                  <w:r>
                    <w:rPr>
                      <w:rFonts w:hint="eastAsia" w:ascii="Times New Roman" w:hAnsi="Times New Roman" w:eastAsia="宋体" w:cs="Times New Roman"/>
                      <w:color w:val="auto"/>
                      <w:kern w:val="2"/>
                      <w:sz w:val="21"/>
                      <w:szCs w:val="21"/>
                      <w:highlight w:val="none"/>
                      <w:lang w:val="en-US" w:eastAsia="zh-CN"/>
                    </w:rPr>
                    <w:t>新增</w:t>
                  </w:r>
                  <w:r>
                    <w:rPr>
                      <w:rFonts w:hint="default" w:ascii="Times New Roman" w:hAnsi="Times New Roman" w:eastAsia="宋体" w:cs="Times New Roman"/>
                      <w:color w:val="auto"/>
                      <w:kern w:val="2"/>
                      <w:sz w:val="21"/>
                      <w:szCs w:val="21"/>
                      <w:highlight w:val="none"/>
                      <w:lang w:val="en-US" w:eastAsia="zh-CN"/>
                    </w:rPr>
                    <w:t>年用电量</w:t>
                  </w:r>
                  <w:r>
                    <w:rPr>
                      <w:rFonts w:hint="eastAsia" w:ascii="Times New Roman" w:hAnsi="Times New Roman" w:eastAsia="宋体" w:cs="Times New Roman"/>
                      <w:color w:val="auto"/>
                      <w:kern w:val="2"/>
                      <w:sz w:val="21"/>
                      <w:szCs w:val="21"/>
                      <w:highlight w:val="none"/>
                      <w:lang w:val="en-US" w:eastAsia="zh-CN"/>
                    </w:rPr>
                    <w:t>约1</w:t>
                  </w:r>
                  <w:r>
                    <w:rPr>
                      <w:rFonts w:hint="default" w:ascii="Times New Roman" w:hAnsi="Times New Roman" w:eastAsia="宋体" w:cs="Times New Roman"/>
                      <w:color w:val="auto"/>
                      <w:kern w:val="2"/>
                      <w:sz w:val="21"/>
                      <w:szCs w:val="21"/>
                      <w:highlight w:val="none"/>
                      <w:lang w:val="en-US" w:eastAsia="zh-CN"/>
                    </w:rPr>
                    <w:t>0万kwh。</w:t>
                  </w:r>
                </w:p>
              </w:tc>
              <w:tc>
                <w:tcPr>
                  <w:tcW w:w="2061" w:type="dxa"/>
                  <w:tcBorders>
                    <w:tl2br w:val="nil"/>
                    <w:tr2bl w:val="nil"/>
                  </w:tcBorders>
                  <w:noWrap w:val="0"/>
                  <w:vAlign w:val="center"/>
                </w:tcPr>
                <w:p w14:paraId="637DDD4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新增</w:t>
                  </w:r>
                  <w:r>
                    <w:rPr>
                      <w:rFonts w:hint="default" w:ascii="Times New Roman" w:hAnsi="Times New Roman" w:eastAsia="宋体" w:cs="Times New Roman"/>
                      <w:color w:val="auto"/>
                      <w:kern w:val="2"/>
                      <w:sz w:val="21"/>
                      <w:szCs w:val="21"/>
                      <w:highlight w:val="none"/>
                      <w:lang w:val="en-US" w:eastAsia="zh-CN"/>
                    </w:rPr>
                    <w:t>年用电量</w:t>
                  </w:r>
                </w:p>
              </w:tc>
            </w:tr>
            <w:tr w14:paraId="28FAA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restart"/>
                  <w:tcBorders>
                    <w:tl2br w:val="nil"/>
                    <w:tr2bl w:val="nil"/>
                  </w:tcBorders>
                  <w:noWrap w:val="0"/>
                  <w:vAlign w:val="center"/>
                </w:tcPr>
                <w:p w14:paraId="7C35785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环保工程</w:t>
                  </w:r>
                </w:p>
              </w:tc>
              <w:tc>
                <w:tcPr>
                  <w:tcW w:w="1180" w:type="dxa"/>
                  <w:gridSpan w:val="2"/>
                  <w:tcBorders>
                    <w:tl2br w:val="nil"/>
                    <w:tr2bl w:val="nil"/>
                  </w:tcBorders>
                  <w:noWrap w:val="0"/>
                  <w:vAlign w:val="center"/>
                </w:tcPr>
                <w:p w14:paraId="2107CE2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废水治理</w:t>
                  </w:r>
                </w:p>
              </w:tc>
              <w:tc>
                <w:tcPr>
                  <w:tcW w:w="4066" w:type="dxa"/>
                  <w:tcBorders>
                    <w:tl2br w:val="nil"/>
                    <w:tr2bl w:val="nil"/>
                  </w:tcBorders>
                  <w:noWrap w:val="0"/>
                  <w:vAlign w:val="center"/>
                </w:tcPr>
                <w:p w14:paraId="7A7B103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项目生活污水产生量为</w:t>
                  </w:r>
                  <w:r>
                    <w:rPr>
                      <w:rFonts w:hint="eastAsia" w:cs="Times New Roman"/>
                      <w:color w:val="auto"/>
                      <w:kern w:val="2"/>
                      <w:sz w:val="21"/>
                      <w:szCs w:val="21"/>
                      <w:highlight w:val="none"/>
                      <w:lang w:val="en-US" w:eastAsia="zh-CN"/>
                    </w:rPr>
                    <w:t>1440</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3</w:t>
                  </w:r>
                  <w:r>
                    <w:rPr>
                      <w:rFonts w:hint="default" w:ascii="Times New Roman" w:hAnsi="Times New Roman" w:eastAsia="宋体" w:cs="Times New Roman"/>
                      <w:color w:val="auto"/>
                      <w:kern w:val="2"/>
                      <w:sz w:val="21"/>
                      <w:szCs w:val="21"/>
                      <w:highlight w:val="none"/>
                      <w:lang w:val="en-US" w:eastAsia="zh-CN"/>
                    </w:rPr>
                    <w:t>/a，生活污水经化粪池</w:t>
                  </w:r>
                  <w:r>
                    <w:rPr>
                      <w:rFonts w:hint="eastAsia" w:cs="Times New Roman"/>
                      <w:color w:val="auto"/>
                      <w:kern w:val="2"/>
                      <w:sz w:val="21"/>
                      <w:szCs w:val="21"/>
                      <w:highlight w:val="none"/>
                      <w:lang w:val="en-US" w:eastAsia="zh-CN"/>
                    </w:rPr>
                    <w:t>收集</w:t>
                  </w:r>
                  <w:r>
                    <w:rPr>
                      <w:rFonts w:hint="default" w:ascii="Times New Roman" w:hAnsi="Times New Roman" w:eastAsia="宋体" w:cs="Times New Roman"/>
                      <w:color w:val="auto"/>
                      <w:kern w:val="2"/>
                      <w:sz w:val="21"/>
                      <w:szCs w:val="21"/>
                      <w:highlight w:val="none"/>
                      <w:lang w:val="en-US" w:eastAsia="zh-CN"/>
                    </w:rPr>
                    <w:t>后排入</w:t>
                  </w:r>
                  <w:r>
                    <w:rPr>
                      <w:rFonts w:hint="eastAsia" w:ascii="Times New Roman" w:hAnsi="Times New Roman" w:eastAsia="宋体" w:cs="Times New Roman"/>
                      <w:color w:val="auto"/>
                      <w:kern w:val="2"/>
                      <w:sz w:val="21"/>
                      <w:szCs w:val="21"/>
                      <w:highlight w:val="none"/>
                      <w:lang w:val="en-US" w:eastAsia="zh-CN"/>
                    </w:rPr>
                    <w:t>新河镇污水处理厂</w:t>
                  </w:r>
                  <w:r>
                    <w:rPr>
                      <w:rFonts w:hint="default" w:ascii="Times New Roman" w:hAnsi="Times New Roman" w:eastAsia="宋体" w:cs="Times New Roman"/>
                      <w:color w:val="auto"/>
                      <w:kern w:val="2"/>
                      <w:sz w:val="21"/>
                      <w:szCs w:val="21"/>
                      <w:highlight w:val="none"/>
                      <w:lang w:val="en-US" w:eastAsia="zh-CN"/>
                    </w:rPr>
                    <w:t>处理后排入</w:t>
                  </w:r>
                  <w:r>
                    <w:rPr>
                      <w:rFonts w:hint="eastAsia" w:ascii="Times New Roman" w:hAnsi="Times New Roman" w:eastAsia="宋体" w:cs="Times New Roman"/>
                      <w:color w:val="auto"/>
                      <w:kern w:val="2"/>
                      <w:sz w:val="21"/>
                      <w:szCs w:val="21"/>
                      <w:highlight w:val="none"/>
                      <w:lang w:val="en-US" w:eastAsia="zh-CN"/>
                    </w:rPr>
                    <w:t>东山河</w:t>
                  </w:r>
                  <w:r>
                    <w:rPr>
                      <w:rFonts w:hint="default" w:ascii="Times New Roman" w:hAnsi="Times New Roman" w:eastAsia="宋体" w:cs="Times New Roman"/>
                      <w:color w:val="auto"/>
                      <w:kern w:val="2"/>
                      <w:sz w:val="21"/>
                      <w:szCs w:val="21"/>
                      <w:highlight w:val="none"/>
                      <w:lang w:val="en-US" w:eastAsia="zh-CN"/>
                    </w:rPr>
                    <w:t>。</w:t>
                  </w:r>
                </w:p>
              </w:tc>
              <w:tc>
                <w:tcPr>
                  <w:tcW w:w="5670" w:type="dxa"/>
                  <w:tcBorders>
                    <w:tl2br w:val="nil"/>
                    <w:tr2bl w:val="nil"/>
                  </w:tcBorders>
                  <w:noWrap w:val="0"/>
                  <w:vAlign w:val="center"/>
                </w:tcPr>
                <w:p w14:paraId="263A245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冷却水循环使用，定期补充不外排；不新增生活污水</w:t>
                  </w:r>
                  <w:r>
                    <w:rPr>
                      <w:rFonts w:hint="default" w:ascii="Times New Roman" w:hAnsi="Times New Roman" w:eastAsia="宋体" w:cs="Times New Roman"/>
                      <w:color w:val="auto"/>
                      <w:kern w:val="2"/>
                      <w:sz w:val="21"/>
                      <w:szCs w:val="21"/>
                      <w:highlight w:val="none"/>
                      <w:lang w:val="en-US" w:eastAsia="zh-CN"/>
                    </w:rPr>
                    <w:t>。</w:t>
                  </w:r>
                </w:p>
              </w:tc>
              <w:tc>
                <w:tcPr>
                  <w:tcW w:w="2061" w:type="dxa"/>
                  <w:tcBorders>
                    <w:tl2br w:val="nil"/>
                    <w:tr2bl w:val="nil"/>
                  </w:tcBorders>
                  <w:noWrap w:val="0"/>
                  <w:vAlign w:val="center"/>
                </w:tcPr>
                <w:p w14:paraId="2F41E7E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不新增废水外排</w:t>
                  </w:r>
                </w:p>
              </w:tc>
            </w:tr>
            <w:tr w14:paraId="0C03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1BC9607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330" w:type="dxa"/>
                  <w:vMerge w:val="restart"/>
                  <w:tcBorders>
                    <w:tl2br w:val="nil"/>
                    <w:tr2bl w:val="nil"/>
                  </w:tcBorders>
                  <w:noWrap w:val="0"/>
                  <w:vAlign w:val="center"/>
                </w:tcPr>
                <w:p w14:paraId="767E84F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废气治理</w:t>
                  </w:r>
                </w:p>
              </w:tc>
              <w:tc>
                <w:tcPr>
                  <w:tcW w:w="850" w:type="dxa"/>
                  <w:tcBorders>
                    <w:tl2br w:val="nil"/>
                    <w:tr2bl w:val="nil"/>
                  </w:tcBorders>
                  <w:noWrap w:val="0"/>
                  <w:vAlign w:val="center"/>
                </w:tcPr>
                <w:p w14:paraId="5021849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熔化废气</w:t>
                  </w:r>
                </w:p>
              </w:tc>
              <w:tc>
                <w:tcPr>
                  <w:tcW w:w="4066" w:type="dxa"/>
                  <w:tcBorders>
                    <w:tl2br w:val="nil"/>
                    <w:tr2bl w:val="nil"/>
                  </w:tcBorders>
                  <w:noWrap w:val="0"/>
                  <w:vAlign w:val="center"/>
                </w:tcPr>
                <w:p w14:paraId="70F465F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在中频炉上方设置集气罩，熔化废气经集气罩收集后通过</w:t>
                  </w:r>
                  <w:r>
                    <w:rPr>
                      <w:rFonts w:hint="eastAsia" w:ascii="Times New Roman" w:hAnsi="Times New Roman" w:eastAsia="宋体" w:cs="Times New Roman"/>
                      <w:color w:val="auto"/>
                      <w:kern w:val="2"/>
                      <w:sz w:val="21"/>
                      <w:szCs w:val="21"/>
                      <w:highlight w:val="none"/>
                      <w:lang w:val="en-US" w:eastAsia="zh-CN"/>
                    </w:rPr>
                    <w:t>“布袋除尘器”</w:t>
                  </w:r>
                  <w:r>
                    <w:rPr>
                      <w:rFonts w:hint="default" w:ascii="Times New Roman" w:hAnsi="Times New Roman" w:eastAsia="宋体" w:cs="Times New Roman"/>
                      <w:color w:val="auto"/>
                      <w:kern w:val="2"/>
                      <w:sz w:val="21"/>
                      <w:szCs w:val="21"/>
                      <w:highlight w:val="none"/>
                      <w:lang w:val="en-US" w:eastAsia="zh-CN"/>
                    </w:rPr>
                    <w:t>处理后经过15m高排气筒（</w:t>
                  </w:r>
                  <w:r>
                    <w:rPr>
                      <w:rFonts w:hint="eastAsia" w:ascii="Times New Roman" w:hAnsi="Times New Roman" w:eastAsia="宋体" w:cs="Times New Roman"/>
                      <w:color w:val="auto"/>
                      <w:kern w:val="2"/>
                      <w:sz w:val="21"/>
                      <w:szCs w:val="21"/>
                      <w:highlight w:val="none"/>
                      <w:lang w:val="en-US" w:eastAsia="zh-CN"/>
                    </w:rPr>
                    <w:t>DA001</w:t>
                  </w:r>
                  <w:r>
                    <w:rPr>
                      <w:rFonts w:hint="default" w:ascii="Times New Roman" w:hAnsi="Times New Roman" w:eastAsia="宋体" w:cs="Times New Roman"/>
                      <w:color w:val="auto"/>
                      <w:kern w:val="2"/>
                      <w:sz w:val="21"/>
                      <w:szCs w:val="21"/>
                      <w:highlight w:val="none"/>
                      <w:lang w:val="en-US" w:eastAsia="zh-CN"/>
                    </w:rPr>
                    <w:t>）。</w:t>
                  </w:r>
                </w:p>
              </w:tc>
              <w:tc>
                <w:tcPr>
                  <w:tcW w:w="5670" w:type="dxa"/>
                  <w:tcBorders>
                    <w:tl2br w:val="nil"/>
                    <w:tr2bl w:val="nil"/>
                  </w:tcBorders>
                  <w:noWrap w:val="0"/>
                  <w:vAlign w:val="center"/>
                </w:tcPr>
                <w:p w14:paraId="6E555B0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在</w:t>
                  </w:r>
                  <w:r>
                    <w:rPr>
                      <w:rFonts w:hint="eastAsia" w:ascii="Times New Roman" w:hAnsi="Times New Roman" w:eastAsia="宋体" w:cs="Times New Roman"/>
                      <w:color w:val="auto"/>
                      <w:kern w:val="2"/>
                      <w:sz w:val="21"/>
                      <w:szCs w:val="21"/>
                      <w:highlight w:val="none"/>
                      <w:lang w:val="en-US" w:eastAsia="zh-CN"/>
                    </w:rPr>
                    <w:t>有轭中频感应电炉</w:t>
                  </w:r>
                  <w:r>
                    <w:rPr>
                      <w:rFonts w:hint="default" w:ascii="Times New Roman" w:hAnsi="Times New Roman" w:eastAsia="宋体" w:cs="Times New Roman"/>
                      <w:color w:val="auto"/>
                      <w:kern w:val="2"/>
                      <w:sz w:val="21"/>
                      <w:szCs w:val="21"/>
                      <w:highlight w:val="none"/>
                      <w:lang w:val="en-US" w:eastAsia="zh-CN"/>
                    </w:rPr>
                    <w:t>上方设置集气罩，熔化废气经集气罩收集后通过</w:t>
                  </w:r>
                  <w:r>
                    <w:rPr>
                      <w:rFonts w:hint="eastAsia" w:ascii="Times New Roman" w:hAnsi="Times New Roman" w:eastAsia="宋体" w:cs="Times New Roman"/>
                      <w:color w:val="auto"/>
                      <w:kern w:val="2"/>
                      <w:sz w:val="21"/>
                      <w:szCs w:val="21"/>
                      <w:highlight w:val="none"/>
                      <w:lang w:val="en-US" w:eastAsia="zh-CN"/>
                    </w:rPr>
                    <w:t>“</w:t>
                  </w:r>
                  <w:r>
                    <w:rPr>
                      <w:rFonts w:hint="eastAsia" w:cs="Times New Roman"/>
                      <w:color w:val="auto"/>
                      <w:kern w:val="2"/>
                      <w:sz w:val="21"/>
                      <w:szCs w:val="21"/>
                      <w:highlight w:val="none"/>
                      <w:lang w:val="en-US" w:eastAsia="zh-CN"/>
                    </w:rPr>
                    <w:t>高温</w:t>
                  </w:r>
                  <w:r>
                    <w:rPr>
                      <w:rFonts w:hint="eastAsia" w:ascii="Times New Roman" w:hAnsi="Times New Roman" w:eastAsia="宋体" w:cs="Times New Roman"/>
                      <w:color w:val="auto"/>
                      <w:kern w:val="2"/>
                      <w:sz w:val="21"/>
                      <w:szCs w:val="21"/>
                      <w:highlight w:val="none"/>
                      <w:lang w:val="en-US" w:eastAsia="zh-CN"/>
                    </w:rPr>
                    <w:t>布袋除尘</w:t>
                  </w:r>
                  <w:r>
                    <w:rPr>
                      <w:rFonts w:hint="eastAsia" w:cs="Times New Roman"/>
                      <w:color w:val="auto"/>
                      <w:kern w:val="2"/>
                      <w:sz w:val="21"/>
                      <w:szCs w:val="21"/>
                      <w:highlight w:val="none"/>
                      <w:lang w:val="en-US" w:eastAsia="zh-CN"/>
                    </w:rPr>
                    <w:t>器</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处理后经过15m高排气筒（</w:t>
                  </w:r>
                  <w:r>
                    <w:rPr>
                      <w:rFonts w:hint="eastAsia" w:ascii="Times New Roman" w:hAnsi="Times New Roman" w:eastAsia="宋体" w:cs="Times New Roman"/>
                      <w:color w:val="auto"/>
                      <w:kern w:val="2"/>
                      <w:sz w:val="21"/>
                      <w:szCs w:val="21"/>
                      <w:highlight w:val="none"/>
                      <w:lang w:val="en-US" w:eastAsia="zh-CN"/>
                    </w:rPr>
                    <w:t>DA001</w:t>
                  </w:r>
                  <w:r>
                    <w:rPr>
                      <w:rFonts w:hint="default" w:ascii="Times New Roman" w:hAnsi="Times New Roman" w:eastAsia="宋体" w:cs="Times New Roman"/>
                      <w:color w:val="auto"/>
                      <w:kern w:val="2"/>
                      <w:sz w:val="21"/>
                      <w:szCs w:val="21"/>
                      <w:highlight w:val="none"/>
                      <w:lang w:val="en-US" w:eastAsia="zh-CN"/>
                    </w:rPr>
                    <w:t>）。</w:t>
                  </w:r>
                  <w:r>
                    <w:rPr>
                      <w:rFonts w:hint="eastAsia" w:ascii="Times New Roman" w:hAnsi="Times New Roman" w:eastAsia="宋体" w:cs="Times New Roman"/>
                      <w:color w:val="auto"/>
                      <w:kern w:val="2"/>
                      <w:sz w:val="21"/>
                      <w:szCs w:val="21"/>
                      <w:highlight w:val="none"/>
                      <w:lang w:val="en-US" w:eastAsia="zh-CN"/>
                    </w:rPr>
                    <w:t>现有项目熔化废气收集处理措施不变。</w:t>
                  </w:r>
                </w:p>
              </w:tc>
              <w:tc>
                <w:tcPr>
                  <w:tcW w:w="2061" w:type="dxa"/>
                  <w:tcBorders>
                    <w:tl2br w:val="nil"/>
                    <w:tr2bl w:val="nil"/>
                  </w:tcBorders>
                  <w:noWrap w:val="0"/>
                  <w:vAlign w:val="center"/>
                </w:tcPr>
                <w:p w14:paraId="30B53A1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依托现有废气处置措施</w:t>
                  </w:r>
                </w:p>
              </w:tc>
            </w:tr>
            <w:tr w14:paraId="0B28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3FAFEAD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330" w:type="dxa"/>
                  <w:vMerge w:val="continue"/>
                  <w:tcBorders>
                    <w:tl2br w:val="nil"/>
                    <w:tr2bl w:val="nil"/>
                  </w:tcBorders>
                  <w:noWrap w:val="0"/>
                  <w:vAlign w:val="center"/>
                </w:tcPr>
                <w:p w14:paraId="2E7471E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850" w:type="dxa"/>
                  <w:tcBorders>
                    <w:tl2br w:val="nil"/>
                    <w:tr2bl w:val="nil"/>
                  </w:tcBorders>
                  <w:noWrap w:val="0"/>
                  <w:vAlign w:val="center"/>
                </w:tcPr>
                <w:p w14:paraId="6D81A71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砂处理废气</w:t>
                  </w:r>
                </w:p>
              </w:tc>
              <w:tc>
                <w:tcPr>
                  <w:tcW w:w="4066" w:type="dxa"/>
                  <w:tcBorders>
                    <w:tl2br w:val="nil"/>
                    <w:tr2bl w:val="nil"/>
                  </w:tcBorders>
                  <w:noWrap w:val="0"/>
                  <w:vAlign w:val="center"/>
                </w:tcPr>
                <w:p w14:paraId="1042790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default" w:ascii="Times New Roman" w:hAnsi="Times New Roman" w:eastAsia="宋体" w:cs="Times New Roman"/>
                      <w:color w:val="FF0000"/>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经吸风收集后经“布袋除尘装置”处理达标后通过1根15m高的排气筒（DA002）排放。</w:t>
                  </w:r>
                </w:p>
              </w:tc>
              <w:tc>
                <w:tcPr>
                  <w:tcW w:w="5670" w:type="dxa"/>
                  <w:tcBorders>
                    <w:tl2br w:val="nil"/>
                    <w:tr2bl w:val="nil"/>
                  </w:tcBorders>
                  <w:noWrap w:val="0"/>
                  <w:vAlign w:val="center"/>
                </w:tcPr>
                <w:p w14:paraId="4004646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default" w:ascii="Times New Roman" w:hAnsi="Times New Roman" w:eastAsia="宋体" w:cs="Times New Roman"/>
                      <w:color w:val="FF0000"/>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rPr>
                    <w:t>经吸风收集后经“布袋除尘装置”处理达标后通过1根15m高的排气筒（DA002）排放。</w:t>
                  </w:r>
                  <w:r>
                    <w:rPr>
                      <w:rFonts w:hint="eastAsia" w:cs="Times New Roman"/>
                      <w:color w:val="auto"/>
                      <w:kern w:val="2"/>
                      <w:sz w:val="21"/>
                      <w:szCs w:val="21"/>
                      <w:highlight w:val="none"/>
                      <w:lang w:val="en-US" w:eastAsia="zh-CN"/>
                    </w:rPr>
                    <w:t>本次技改不涉及砂处理。</w:t>
                  </w:r>
                </w:p>
              </w:tc>
              <w:tc>
                <w:tcPr>
                  <w:tcW w:w="2061" w:type="dxa"/>
                  <w:tcBorders>
                    <w:tl2br w:val="nil"/>
                    <w:tr2bl w:val="nil"/>
                  </w:tcBorders>
                  <w:noWrap w:val="0"/>
                  <w:vAlign w:val="center"/>
                </w:tcPr>
                <w:p w14:paraId="77DE6E4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r>
                    <w:rPr>
                      <w:rFonts w:hint="eastAsia" w:cs="Times New Roman"/>
                      <w:color w:val="auto"/>
                      <w:kern w:val="2"/>
                      <w:sz w:val="21"/>
                      <w:szCs w:val="21"/>
                      <w:highlight w:val="none"/>
                      <w:lang w:val="en-US" w:eastAsia="zh-CN"/>
                    </w:rPr>
                    <w:t>不变</w:t>
                  </w:r>
                </w:p>
              </w:tc>
            </w:tr>
            <w:tr w14:paraId="7223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2BB1B12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330" w:type="dxa"/>
                  <w:vMerge w:val="continue"/>
                  <w:tcBorders>
                    <w:tl2br w:val="nil"/>
                    <w:tr2bl w:val="nil"/>
                  </w:tcBorders>
                  <w:noWrap w:val="0"/>
                  <w:vAlign w:val="center"/>
                </w:tcPr>
                <w:p w14:paraId="7DAFF92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850" w:type="dxa"/>
                  <w:tcBorders>
                    <w:tl2br w:val="nil"/>
                    <w:tr2bl w:val="nil"/>
                  </w:tcBorders>
                  <w:noWrap w:val="0"/>
                  <w:vAlign w:val="center"/>
                </w:tcPr>
                <w:p w14:paraId="4B13EA0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rPr>
                    <w:t>造型/浇铸废气</w:t>
                  </w:r>
                </w:p>
              </w:tc>
              <w:tc>
                <w:tcPr>
                  <w:tcW w:w="4066" w:type="dxa"/>
                  <w:tcBorders>
                    <w:tl2br w:val="nil"/>
                    <w:tr2bl w:val="nil"/>
                  </w:tcBorders>
                  <w:noWrap w:val="0"/>
                  <w:vAlign w:val="center"/>
                </w:tcPr>
                <w:p w14:paraId="60198C9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无组织排放</w:t>
                  </w:r>
                </w:p>
              </w:tc>
              <w:tc>
                <w:tcPr>
                  <w:tcW w:w="5670" w:type="dxa"/>
                  <w:tcBorders>
                    <w:tl2br w:val="nil"/>
                    <w:tr2bl w:val="nil"/>
                  </w:tcBorders>
                  <w:noWrap w:val="0"/>
                  <w:vAlign w:val="center"/>
                </w:tcPr>
                <w:p w14:paraId="7D53F74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造型/</w:t>
                  </w:r>
                  <w:r>
                    <w:rPr>
                      <w:rFonts w:hint="eastAsia" w:ascii="Times New Roman" w:hAnsi="Times New Roman" w:eastAsia="宋体" w:cs="Times New Roman"/>
                      <w:color w:val="auto"/>
                      <w:kern w:val="2"/>
                      <w:sz w:val="21"/>
                      <w:szCs w:val="21"/>
                      <w:highlight w:val="none"/>
                      <w:lang w:val="en-US" w:eastAsia="zh-CN"/>
                    </w:rPr>
                    <w:t>浇铸</w:t>
                  </w:r>
                  <w:r>
                    <w:rPr>
                      <w:rFonts w:hint="default" w:ascii="Times New Roman" w:hAnsi="Times New Roman" w:eastAsia="宋体" w:cs="Times New Roman"/>
                      <w:color w:val="auto"/>
                      <w:kern w:val="2"/>
                      <w:sz w:val="21"/>
                      <w:szCs w:val="21"/>
                      <w:highlight w:val="none"/>
                      <w:lang w:val="en-US" w:eastAsia="zh-CN"/>
                    </w:rPr>
                    <w:t>废气经</w:t>
                  </w:r>
                  <w:r>
                    <w:rPr>
                      <w:rFonts w:hint="eastAsia" w:ascii="Times New Roman" w:hAnsi="Times New Roman" w:eastAsia="宋体" w:cs="Times New Roman"/>
                      <w:color w:val="auto"/>
                      <w:kern w:val="2"/>
                      <w:sz w:val="21"/>
                      <w:szCs w:val="21"/>
                      <w:highlight w:val="none"/>
                      <w:lang w:val="en-US" w:eastAsia="zh-CN"/>
                    </w:rPr>
                    <w:t>移动式</w:t>
                  </w:r>
                  <w:r>
                    <w:rPr>
                      <w:rFonts w:hint="eastAsia" w:cs="Times New Roman"/>
                      <w:color w:val="auto"/>
                      <w:kern w:val="2"/>
                      <w:sz w:val="21"/>
                      <w:szCs w:val="21"/>
                      <w:highlight w:val="none"/>
                      <w:lang w:val="en-US" w:eastAsia="zh-CN"/>
                    </w:rPr>
                    <w:t>侧吸装置</w:t>
                  </w:r>
                  <w:r>
                    <w:rPr>
                      <w:rFonts w:hint="default" w:ascii="Times New Roman" w:hAnsi="Times New Roman" w:eastAsia="宋体" w:cs="Times New Roman"/>
                      <w:color w:val="auto"/>
                      <w:kern w:val="2"/>
                      <w:sz w:val="21"/>
                      <w:szCs w:val="21"/>
                      <w:highlight w:val="none"/>
                      <w:lang w:val="en-US" w:eastAsia="zh-CN"/>
                    </w:rPr>
                    <w:t>收集后通过</w:t>
                  </w:r>
                  <w:r>
                    <w:rPr>
                      <w:rFonts w:hint="eastAsia" w:ascii="Times New Roman" w:hAnsi="Times New Roman" w:eastAsia="宋体" w:cs="Times New Roman"/>
                      <w:color w:val="auto"/>
                      <w:kern w:val="2"/>
                      <w:sz w:val="21"/>
                      <w:szCs w:val="21"/>
                      <w:highlight w:val="none"/>
                      <w:lang w:val="en-US" w:eastAsia="zh-CN"/>
                    </w:rPr>
                    <w:t>“布袋除尘+二级活性炭吸附”（TA00</w:t>
                  </w:r>
                  <w:r>
                    <w:rPr>
                      <w:rFonts w:hint="eastAsia" w:cs="Times New Roman"/>
                      <w:color w:val="auto"/>
                      <w:kern w:val="2"/>
                      <w:sz w:val="21"/>
                      <w:szCs w:val="21"/>
                      <w:highlight w:val="none"/>
                      <w:lang w:val="en-US" w:eastAsia="zh-CN"/>
                    </w:rPr>
                    <w:t>4-1</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处理后经过15m高排气筒（</w:t>
                  </w:r>
                  <w:r>
                    <w:rPr>
                      <w:rFonts w:hint="eastAsia" w:ascii="Times New Roman" w:hAnsi="Times New Roman" w:eastAsia="宋体" w:cs="Times New Roman"/>
                      <w:color w:val="auto"/>
                      <w:kern w:val="2"/>
                      <w:sz w:val="21"/>
                      <w:szCs w:val="21"/>
                      <w:highlight w:val="none"/>
                      <w:lang w:val="en-US" w:eastAsia="zh-CN"/>
                    </w:rPr>
                    <w:t>DA00</w:t>
                  </w:r>
                  <w:r>
                    <w:rPr>
                      <w:rFonts w:hint="eastAsia" w:cs="Times New Roman"/>
                      <w:color w:val="auto"/>
                      <w:kern w:val="2"/>
                      <w:sz w:val="21"/>
                      <w:szCs w:val="21"/>
                      <w:highlight w:val="none"/>
                      <w:lang w:val="en-US" w:eastAsia="zh-CN"/>
                    </w:rPr>
                    <w:t>4</w:t>
                  </w:r>
                  <w:r>
                    <w:rPr>
                      <w:rFonts w:hint="default" w:ascii="Times New Roman" w:hAnsi="Times New Roman" w:eastAsia="宋体" w:cs="Times New Roman"/>
                      <w:color w:val="auto"/>
                      <w:kern w:val="2"/>
                      <w:sz w:val="21"/>
                      <w:szCs w:val="21"/>
                      <w:highlight w:val="none"/>
                      <w:lang w:val="en-US" w:eastAsia="zh-CN"/>
                    </w:rPr>
                    <w:t>）。</w:t>
                  </w:r>
                </w:p>
              </w:tc>
              <w:tc>
                <w:tcPr>
                  <w:tcW w:w="2061" w:type="dxa"/>
                  <w:tcBorders>
                    <w:tl2br w:val="nil"/>
                    <w:tr2bl w:val="nil"/>
                  </w:tcBorders>
                  <w:noWrap w:val="0"/>
                  <w:vAlign w:val="center"/>
                </w:tcPr>
                <w:p w14:paraId="3C90687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rPr>
                    <w:t>新增区域</w:t>
                  </w:r>
                  <w:r>
                    <w:rPr>
                      <w:rFonts w:hint="eastAsia" w:cs="Times New Roman"/>
                      <w:color w:val="auto"/>
                      <w:kern w:val="2"/>
                      <w:sz w:val="21"/>
                      <w:szCs w:val="21"/>
                      <w:highlight w:val="none"/>
                      <w:lang w:val="en-US" w:eastAsia="zh-CN"/>
                    </w:rPr>
                    <w:t>侧吸</w:t>
                  </w:r>
                  <w:r>
                    <w:rPr>
                      <w:rFonts w:hint="eastAsia" w:ascii="Times New Roman" w:hAnsi="Times New Roman" w:eastAsia="宋体" w:cs="Times New Roman"/>
                      <w:color w:val="auto"/>
                      <w:kern w:val="2"/>
                      <w:sz w:val="21"/>
                      <w:szCs w:val="21"/>
                      <w:highlight w:val="none"/>
                      <w:lang w:val="en-US" w:eastAsia="zh-CN"/>
                    </w:rPr>
                    <w:t>废气收集+“布袋除尘+二级活性炭吸附”（TA003-4）</w:t>
                  </w:r>
                </w:p>
              </w:tc>
            </w:tr>
            <w:tr w14:paraId="049A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7C07E56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r>
                    <w:rPr>
                      <w:rFonts w:hint="eastAsia" w:ascii="Times New Roman" w:hAnsi="Times New Roman" w:eastAsia="宋体" w:cs="Times New Roman"/>
                      <w:color w:val="FF0000"/>
                      <w:kern w:val="2"/>
                      <w:sz w:val="24"/>
                      <w:szCs w:val="21"/>
                      <w:highlight w:val="none"/>
                      <w:lang w:val="en-US" w:eastAsia="zh-CN" w:bidi="ar"/>
                    </w:rPr>
                    <w:t>制芯废气</w:t>
                  </w:r>
                </w:p>
              </w:tc>
              <w:tc>
                <w:tcPr>
                  <w:tcW w:w="330" w:type="dxa"/>
                  <w:vMerge w:val="continue"/>
                  <w:tcBorders>
                    <w:tl2br w:val="nil"/>
                    <w:tr2bl w:val="nil"/>
                  </w:tcBorders>
                  <w:noWrap w:val="0"/>
                  <w:vAlign w:val="center"/>
                </w:tcPr>
                <w:p w14:paraId="3323E2A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850" w:type="dxa"/>
                  <w:tcBorders>
                    <w:tl2br w:val="nil"/>
                    <w:tr2bl w:val="nil"/>
                  </w:tcBorders>
                  <w:noWrap w:val="0"/>
                  <w:vAlign w:val="center"/>
                </w:tcPr>
                <w:p w14:paraId="618432E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制芯废气</w:t>
                  </w:r>
                </w:p>
              </w:tc>
              <w:tc>
                <w:tcPr>
                  <w:tcW w:w="4066" w:type="dxa"/>
                  <w:tcBorders>
                    <w:tl2br w:val="nil"/>
                    <w:tr2bl w:val="nil"/>
                  </w:tcBorders>
                  <w:noWrap w:val="0"/>
                  <w:vAlign w:val="center"/>
                </w:tcPr>
                <w:p w14:paraId="7FB3B8A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eastAsia" w:ascii="Times New Roman" w:hAnsi="Times New Roman" w:eastAsia="宋体" w:cs="Times New Roman"/>
                      <w:color w:val="FF0000"/>
                      <w:kern w:val="2"/>
                      <w:sz w:val="21"/>
                      <w:szCs w:val="21"/>
                      <w:highlight w:val="none"/>
                      <w:lang w:val="en-US" w:eastAsia="zh-CN"/>
                    </w:rPr>
                  </w:pPr>
                  <w:r>
                    <w:rPr>
                      <w:rFonts w:hint="eastAsia" w:cs="Times New Roman"/>
                      <w:color w:val="auto"/>
                      <w:kern w:val="2"/>
                      <w:sz w:val="21"/>
                      <w:szCs w:val="21"/>
                      <w:highlight w:val="none"/>
                      <w:lang w:val="en-US" w:eastAsia="zh-CN"/>
                    </w:rPr>
                    <w:t>无组织排放</w:t>
                  </w:r>
                </w:p>
              </w:tc>
              <w:tc>
                <w:tcPr>
                  <w:tcW w:w="5670" w:type="dxa"/>
                  <w:tcBorders>
                    <w:tl2br w:val="nil"/>
                    <w:tr2bl w:val="nil"/>
                  </w:tcBorders>
                  <w:noWrap w:val="0"/>
                  <w:vAlign w:val="center"/>
                </w:tcPr>
                <w:p w14:paraId="6FDD151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left"/>
                    <w:textAlignment w:val="auto"/>
                    <w:rPr>
                      <w:rFonts w:hint="eastAsia" w:ascii="Times New Roman" w:hAnsi="Times New Roman" w:eastAsia="宋体" w:cs="Times New Roman"/>
                      <w:color w:val="FF0000"/>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项目新增射芯废气经集气罩收集后，与集气罩收集的现有制芯废气一起</w:t>
                  </w:r>
                  <w:r>
                    <w:rPr>
                      <w:rFonts w:hint="eastAsia" w:cs="Times New Roman"/>
                      <w:color w:val="auto"/>
                      <w:kern w:val="2"/>
                      <w:sz w:val="21"/>
                      <w:szCs w:val="21"/>
                      <w:highlight w:val="none"/>
                      <w:lang w:val="en-US" w:eastAsia="zh-CN"/>
                    </w:rPr>
                    <w:t>通过</w:t>
                  </w:r>
                  <w:r>
                    <w:rPr>
                      <w:rFonts w:hint="eastAsia" w:ascii="Times New Roman" w:hAnsi="Times New Roman" w:eastAsia="宋体" w:cs="Times New Roman"/>
                      <w:color w:val="auto"/>
                      <w:kern w:val="2"/>
                      <w:sz w:val="21"/>
                      <w:szCs w:val="21"/>
                      <w:highlight w:val="none"/>
                      <w:lang w:val="en-US" w:eastAsia="zh-CN"/>
                    </w:rPr>
                    <w:t>“布袋除尘+二级活性炭吸附”（TA00</w:t>
                  </w:r>
                  <w:r>
                    <w:rPr>
                      <w:rFonts w:hint="eastAsia" w:cs="Times New Roman"/>
                      <w:color w:val="auto"/>
                      <w:kern w:val="2"/>
                      <w:sz w:val="21"/>
                      <w:szCs w:val="21"/>
                      <w:highlight w:val="none"/>
                      <w:lang w:val="en-US" w:eastAsia="zh-CN"/>
                    </w:rPr>
                    <w:t>4-2</w:t>
                  </w:r>
                  <w:r>
                    <w:rPr>
                      <w:rFonts w:hint="eastAsia" w:ascii="Times New Roman" w:hAnsi="Times New Roman" w:eastAsia="宋体" w:cs="Times New Roman"/>
                      <w:color w:val="auto"/>
                      <w:kern w:val="2"/>
                      <w:sz w:val="21"/>
                      <w:szCs w:val="21"/>
                      <w:highlight w:val="none"/>
                      <w:lang w:val="en-US" w:eastAsia="zh-CN"/>
                    </w:rPr>
                    <w:t>）装置处理达标后通过15米高排气筒（DA00</w:t>
                  </w:r>
                  <w:r>
                    <w:rPr>
                      <w:rFonts w:hint="eastAsia" w:cs="Times New Roman"/>
                      <w:color w:val="auto"/>
                      <w:kern w:val="2"/>
                      <w:sz w:val="21"/>
                      <w:szCs w:val="21"/>
                      <w:highlight w:val="none"/>
                      <w:lang w:val="en-US" w:eastAsia="zh-CN"/>
                    </w:rPr>
                    <w:t>4</w:t>
                  </w:r>
                  <w:r>
                    <w:rPr>
                      <w:rFonts w:hint="eastAsia" w:ascii="Times New Roman" w:hAnsi="Times New Roman" w:eastAsia="宋体" w:cs="Times New Roman"/>
                      <w:color w:val="auto"/>
                      <w:kern w:val="2"/>
                      <w:sz w:val="21"/>
                      <w:szCs w:val="21"/>
                      <w:highlight w:val="none"/>
                      <w:lang w:val="en-US" w:eastAsia="zh-CN"/>
                    </w:rPr>
                    <w:t>）排放。</w:t>
                  </w:r>
                </w:p>
              </w:tc>
              <w:tc>
                <w:tcPr>
                  <w:tcW w:w="2061" w:type="dxa"/>
                  <w:tcBorders>
                    <w:tl2br w:val="nil"/>
                    <w:tr2bl w:val="nil"/>
                  </w:tcBorders>
                  <w:noWrap w:val="0"/>
                  <w:vAlign w:val="center"/>
                </w:tcPr>
                <w:p w14:paraId="7B07B28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r>
                    <w:rPr>
                      <w:rFonts w:hint="eastAsia" w:cs="Times New Roman"/>
                      <w:color w:val="auto"/>
                      <w:kern w:val="2"/>
                      <w:sz w:val="21"/>
                      <w:szCs w:val="21"/>
                      <w:highlight w:val="none"/>
                      <w:lang w:val="en-US" w:eastAsia="zh-CN"/>
                    </w:rPr>
                    <w:t>新建</w:t>
                  </w:r>
                </w:p>
              </w:tc>
            </w:tr>
            <w:tr w14:paraId="27E6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0164BAE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330" w:type="dxa"/>
                  <w:vMerge w:val="continue"/>
                  <w:tcBorders>
                    <w:tl2br w:val="nil"/>
                    <w:tr2bl w:val="nil"/>
                  </w:tcBorders>
                  <w:noWrap w:val="0"/>
                  <w:vAlign w:val="center"/>
                </w:tcPr>
                <w:p w14:paraId="4AD4D8C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850" w:type="dxa"/>
                  <w:tcBorders>
                    <w:tl2br w:val="nil"/>
                    <w:tr2bl w:val="nil"/>
                  </w:tcBorders>
                  <w:noWrap w:val="0"/>
                  <w:vAlign w:val="center"/>
                </w:tcPr>
                <w:p w14:paraId="11EE9A9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抛丸、打磨</w:t>
                  </w:r>
                  <w:r>
                    <w:rPr>
                      <w:rFonts w:hint="eastAsia" w:ascii="Times New Roman" w:hAnsi="Times New Roman" w:eastAsia="宋体" w:cs="Times New Roman"/>
                      <w:color w:val="auto"/>
                      <w:kern w:val="2"/>
                      <w:sz w:val="21"/>
                      <w:szCs w:val="21"/>
                      <w:highlight w:val="none"/>
                      <w:lang w:val="en-US" w:eastAsia="zh-CN"/>
                    </w:rPr>
                    <w:t>粉尘</w:t>
                  </w:r>
                </w:p>
              </w:tc>
              <w:tc>
                <w:tcPr>
                  <w:tcW w:w="4066" w:type="dxa"/>
                  <w:tcBorders>
                    <w:tl2br w:val="nil"/>
                    <w:tr2bl w:val="nil"/>
                  </w:tcBorders>
                  <w:noWrap w:val="0"/>
                  <w:vAlign w:val="center"/>
                </w:tcPr>
                <w:p w14:paraId="130138D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抛丸粉尘经吸风收集+自带布袋除尘器处理、打磨粉尘经吸风收集+布袋除尘装置处理后，通过15米高现有排气筒（DA003）排放</w:t>
                  </w:r>
                </w:p>
              </w:tc>
              <w:tc>
                <w:tcPr>
                  <w:tcW w:w="5670" w:type="dxa"/>
                  <w:tcBorders>
                    <w:tl2br w:val="nil"/>
                    <w:tr2bl w:val="nil"/>
                  </w:tcBorders>
                  <w:noWrap w:val="0"/>
                  <w:vAlign w:val="center"/>
                </w:tcPr>
                <w:p w14:paraId="6E9199A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抛丸粉尘经吸风收集+</w:t>
                  </w:r>
                  <w:r>
                    <w:rPr>
                      <w:rFonts w:hint="eastAsia" w:cs="Times New Roman"/>
                      <w:color w:val="auto"/>
                      <w:kern w:val="2"/>
                      <w:sz w:val="21"/>
                      <w:szCs w:val="21"/>
                      <w:highlight w:val="none"/>
                      <w:lang w:val="en-US" w:eastAsia="zh-CN"/>
                    </w:rPr>
                    <w:t>设备</w:t>
                  </w:r>
                  <w:r>
                    <w:rPr>
                      <w:rFonts w:hint="eastAsia" w:ascii="Times New Roman" w:hAnsi="Times New Roman" w:eastAsia="宋体" w:cs="Times New Roman"/>
                      <w:color w:val="auto"/>
                      <w:kern w:val="2"/>
                      <w:sz w:val="21"/>
                      <w:szCs w:val="21"/>
                      <w:highlight w:val="none"/>
                      <w:lang w:val="en-US" w:eastAsia="zh-CN"/>
                    </w:rPr>
                    <w:t>自带布袋除尘器（TA00</w:t>
                  </w:r>
                  <w:r>
                    <w:rPr>
                      <w:rFonts w:hint="eastAsia" w:cs="Times New Roman"/>
                      <w:color w:val="auto"/>
                      <w:kern w:val="2"/>
                      <w:sz w:val="21"/>
                      <w:szCs w:val="21"/>
                      <w:highlight w:val="none"/>
                      <w:lang w:val="en-US" w:eastAsia="zh-CN"/>
                    </w:rPr>
                    <w:t>5、TA006</w:t>
                  </w:r>
                  <w:r>
                    <w:rPr>
                      <w:rFonts w:hint="eastAsia" w:ascii="Times New Roman" w:hAnsi="Times New Roman" w:eastAsia="宋体" w:cs="Times New Roman"/>
                      <w:color w:val="auto"/>
                      <w:kern w:val="2"/>
                      <w:sz w:val="21"/>
                      <w:szCs w:val="21"/>
                      <w:highlight w:val="none"/>
                      <w:lang w:val="en-US" w:eastAsia="zh-CN"/>
                    </w:rPr>
                    <w:t>）处理后，通过15米高排气筒（DA00</w:t>
                  </w:r>
                  <w:r>
                    <w:rPr>
                      <w:rFonts w:hint="eastAsia" w:cs="Times New Roman"/>
                      <w:color w:val="auto"/>
                      <w:kern w:val="2"/>
                      <w:sz w:val="21"/>
                      <w:szCs w:val="21"/>
                      <w:highlight w:val="none"/>
                      <w:lang w:val="en-US" w:eastAsia="zh-CN"/>
                    </w:rPr>
                    <w:t>5、DA006</w:t>
                  </w:r>
                  <w:r>
                    <w:rPr>
                      <w:rFonts w:hint="eastAsia" w:ascii="Times New Roman" w:hAnsi="Times New Roman" w:eastAsia="宋体" w:cs="Times New Roman"/>
                      <w:color w:val="auto"/>
                      <w:kern w:val="2"/>
                      <w:sz w:val="21"/>
                      <w:szCs w:val="21"/>
                      <w:highlight w:val="none"/>
                      <w:lang w:val="en-US" w:eastAsia="zh-CN"/>
                    </w:rPr>
                    <w:t>）排放</w:t>
                  </w:r>
                  <w:r>
                    <w:rPr>
                      <w:rFonts w:hint="eastAsia" w:cs="Times New Roman"/>
                      <w:color w:val="auto"/>
                      <w:kern w:val="2"/>
                      <w:sz w:val="21"/>
                      <w:szCs w:val="21"/>
                      <w:highlight w:val="none"/>
                      <w:lang w:val="en-US" w:eastAsia="zh-CN"/>
                    </w:rPr>
                    <w:t>、打磨粉尘经吸风收集+布袋除尘装置（TA003）处理后，通过15米高排气筒（DA003）排放</w:t>
                  </w:r>
                </w:p>
              </w:tc>
              <w:tc>
                <w:tcPr>
                  <w:tcW w:w="2061" w:type="dxa"/>
                  <w:tcBorders>
                    <w:tl2br w:val="nil"/>
                    <w:tr2bl w:val="nil"/>
                  </w:tcBorders>
                  <w:noWrap w:val="0"/>
                  <w:vAlign w:val="center"/>
                </w:tcPr>
                <w:p w14:paraId="7923EC2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新增排气筒DA005、DA006，</w:t>
                  </w:r>
                  <w:r>
                    <w:rPr>
                      <w:rFonts w:hint="eastAsia" w:ascii="Times New Roman" w:hAnsi="Times New Roman" w:eastAsia="宋体" w:cs="Times New Roman"/>
                      <w:color w:val="auto"/>
                      <w:kern w:val="2"/>
                      <w:sz w:val="21"/>
                      <w:szCs w:val="21"/>
                      <w:highlight w:val="none"/>
                      <w:lang w:val="en-US" w:eastAsia="zh-CN"/>
                    </w:rPr>
                    <w:t>现有打磨废气收集、治理措施可以满足废气处理需求</w:t>
                  </w:r>
                </w:p>
              </w:tc>
            </w:tr>
            <w:tr w14:paraId="45B9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tcBorders>
                    <w:tl2br w:val="nil"/>
                    <w:tr2bl w:val="nil"/>
                  </w:tcBorders>
                  <w:noWrap w:val="0"/>
                  <w:vAlign w:val="center"/>
                </w:tcPr>
                <w:p w14:paraId="032F833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1180" w:type="dxa"/>
                  <w:gridSpan w:val="2"/>
                  <w:tcBorders>
                    <w:tl2br w:val="nil"/>
                    <w:tr2bl w:val="nil"/>
                  </w:tcBorders>
                  <w:noWrap w:val="0"/>
                  <w:vAlign w:val="center"/>
                </w:tcPr>
                <w:p w14:paraId="456FD5D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噪声治理</w:t>
                  </w:r>
                </w:p>
              </w:tc>
              <w:tc>
                <w:tcPr>
                  <w:tcW w:w="4066" w:type="dxa"/>
                  <w:tcBorders>
                    <w:tl2br w:val="nil"/>
                    <w:tr2bl w:val="nil"/>
                  </w:tcBorders>
                  <w:noWrap w:val="0"/>
                  <w:vAlign w:val="center"/>
                </w:tcPr>
                <w:p w14:paraId="237B60D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隔声、减震、绿化等措施</w:t>
                  </w:r>
                  <w:r>
                    <w:rPr>
                      <w:rFonts w:hint="default" w:ascii="Times New Roman" w:hAnsi="Times New Roman" w:eastAsia="宋体" w:cs="Times New Roman"/>
                      <w:color w:val="auto"/>
                      <w:kern w:val="2"/>
                      <w:sz w:val="21"/>
                      <w:szCs w:val="21"/>
                      <w:highlight w:val="none"/>
                      <w:lang w:val="zh-CN" w:eastAsia="zh-CN"/>
                    </w:rPr>
                    <w:t>。</w:t>
                  </w:r>
                </w:p>
              </w:tc>
              <w:tc>
                <w:tcPr>
                  <w:tcW w:w="5670" w:type="dxa"/>
                  <w:tcBorders>
                    <w:tl2br w:val="nil"/>
                    <w:tr2bl w:val="nil"/>
                  </w:tcBorders>
                  <w:noWrap w:val="0"/>
                  <w:vAlign w:val="center"/>
                </w:tcPr>
                <w:p w14:paraId="4422980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zh-CN" w:eastAsia="zh-CN"/>
                    </w:rPr>
                    <w:t>选用低噪声风机设备，对车间及高噪声风机设备采取密闭隔声措施</w:t>
                  </w:r>
                  <w:r>
                    <w:rPr>
                      <w:rFonts w:hint="eastAsia" w:cs="Times New Roman"/>
                      <w:color w:val="auto"/>
                      <w:kern w:val="2"/>
                      <w:sz w:val="21"/>
                      <w:szCs w:val="21"/>
                      <w:highlight w:val="none"/>
                      <w:lang w:val="zh-CN" w:eastAsia="zh-CN"/>
                    </w:rPr>
                    <w:t>，</w:t>
                  </w:r>
                  <w:r>
                    <w:rPr>
                      <w:rFonts w:hint="default" w:ascii="Times New Roman" w:hAnsi="Times New Roman" w:eastAsia="宋体" w:cs="Times New Roman"/>
                      <w:color w:val="auto"/>
                      <w:kern w:val="2"/>
                      <w:sz w:val="21"/>
                      <w:szCs w:val="21"/>
                      <w:highlight w:val="none"/>
                      <w:lang w:val="zh-CN" w:eastAsia="zh-CN"/>
                    </w:rPr>
                    <w:t>设备底座安装减震垫等减震措施。</w:t>
                  </w:r>
                </w:p>
              </w:tc>
              <w:tc>
                <w:tcPr>
                  <w:tcW w:w="2061" w:type="dxa"/>
                  <w:tcBorders>
                    <w:tl2br w:val="nil"/>
                    <w:tr2bl w:val="nil"/>
                  </w:tcBorders>
                  <w:noWrap w:val="0"/>
                  <w:vAlign w:val="center"/>
                </w:tcPr>
                <w:p w14:paraId="055C655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新增设备</w:t>
                  </w:r>
                  <w:r>
                    <w:rPr>
                      <w:rFonts w:hint="default" w:ascii="Times New Roman" w:hAnsi="Times New Roman" w:eastAsia="宋体" w:cs="Times New Roman"/>
                      <w:color w:val="auto"/>
                      <w:kern w:val="2"/>
                      <w:sz w:val="21"/>
                      <w:szCs w:val="21"/>
                      <w:highlight w:val="none"/>
                      <w:lang w:val="zh-CN" w:eastAsia="zh-CN"/>
                    </w:rPr>
                    <w:t>底座安装减震垫等减震措施</w:t>
                  </w:r>
                  <w:r>
                    <w:rPr>
                      <w:rFonts w:hint="eastAsia" w:ascii="Times New Roman" w:hAnsi="Times New Roman" w:eastAsia="宋体" w:cs="Times New Roman"/>
                      <w:color w:val="auto"/>
                      <w:kern w:val="2"/>
                      <w:sz w:val="21"/>
                      <w:szCs w:val="21"/>
                      <w:highlight w:val="none"/>
                      <w:lang w:val="zh-CN" w:eastAsia="zh-CN"/>
                    </w:rPr>
                    <w:t>。</w:t>
                  </w:r>
                </w:p>
              </w:tc>
            </w:tr>
            <w:tr w14:paraId="0E46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noWrap w:val="0"/>
                  <w:vAlign w:val="center"/>
                </w:tcPr>
                <w:p w14:paraId="1892547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1180" w:type="dxa"/>
                  <w:gridSpan w:val="2"/>
                  <w:noWrap w:val="0"/>
                  <w:vAlign w:val="center"/>
                </w:tcPr>
                <w:p w14:paraId="5B98EBB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固废治理</w:t>
                  </w:r>
                </w:p>
              </w:tc>
              <w:tc>
                <w:tcPr>
                  <w:tcW w:w="4066" w:type="dxa"/>
                  <w:noWrap w:val="0"/>
                  <w:vAlign w:val="center"/>
                </w:tcPr>
                <w:p w14:paraId="54663B1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在</w:t>
                  </w:r>
                  <w:r>
                    <w:rPr>
                      <w:rFonts w:hint="eastAsia" w:ascii="Times New Roman" w:hAnsi="Times New Roman" w:eastAsia="宋体" w:cs="Times New Roman"/>
                      <w:color w:val="auto"/>
                      <w:kern w:val="2"/>
                      <w:sz w:val="21"/>
                      <w:szCs w:val="21"/>
                      <w:highlight w:val="none"/>
                      <w:lang w:val="en-US" w:eastAsia="zh-CN"/>
                    </w:rPr>
                    <w:t>机械化</w:t>
                  </w:r>
                  <w:r>
                    <w:rPr>
                      <w:rFonts w:hint="default" w:ascii="Times New Roman" w:hAnsi="Times New Roman" w:eastAsia="宋体" w:cs="Times New Roman"/>
                      <w:color w:val="auto"/>
                      <w:kern w:val="2"/>
                      <w:sz w:val="21"/>
                      <w:szCs w:val="21"/>
                      <w:highlight w:val="none"/>
                      <w:lang w:val="en-US" w:eastAsia="zh-CN"/>
                    </w:rPr>
                    <w:t>车间东侧设置1座50m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一般固废暂存区和1座10m</w:t>
                  </w:r>
                  <w:r>
                    <w:rPr>
                      <w:rFonts w:hint="default" w:ascii="Times New Roman" w:hAnsi="Times New Roman" w:eastAsia="宋体" w:cs="Times New Roman"/>
                      <w:color w:val="auto"/>
                      <w:kern w:val="2"/>
                      <w:sz w:val="21"/>
                      <w:szCs w:val="21"/>
                      <w:highlight w:val="none"/>
                      <w:vertAlign w:val="superscript"/>
                      <w:lang w:val="en-US" w:eastAsia="zh-CN"/>
                    </w:rPr>
                    <w:t>2</w:t>
                  </w:r>
                  <w:r>
                    <w:rPr>
                      <w:rFonts w:hint="eastAsia" w:cs="Times New Roman"/>
                      <w:color w:val="auto"/>
                      <w:kern w:val="2"/>
                      <w:sz w:val="21"/>
                      <w:szCs w:val="21"/>
                      <w:highlight w:val="none"/>
                      <w:lang w:val="en-US" w:eastAsia="zh-CN"/>
                    </w:rPr>
                    <w:t>危废库</w:t>
                  </w:r>
                  <w:r>
                    <w:rPr>
                      <w:rFonts w:hint="eastAsia" w:ascii="Times New Roman" w:hAnsi="Times New Roman" w:eastAsia="宋体" w:cs="Times New Roman"/>
                      <w:color w:val="auto"/>
                      <w:kern w:val="2"/>
                      <w:sz w:val="21"/>
                      <w:szCs w:val="21"/>
                      <w:highlight w:val="none"/>
                      <w:lang w:val="en-US" w:eastAsia="zh-CN"/>
                    </w:rPr>
                    <w:t>。</w:t>
                  </w:r>
                </w:p>
              </w:tc>
              <w:tc>
                <w:tcPr>
                  <w:tcW w:w="5670" w:type="dxa"/>
                  <w:noWrap w:val="0"/>
                  <w:vAlign w:val="center"/>
                </w:tcPr>
                <w:p w14:paraId="3C32876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依托现有</w:t>
                  </w:r>
                  <w:r>
                    <w:rPr>
                      <w:rFonts w:hint="default" w:ascii="Times New Roman" w:hAnsi="Times New Roman" w:eastAsia="宋体" w:cs="Times New Roman"/>
                      <w:color w:val="auto"/>
                      <w:kern w:val="2"/>
                      <w:sz w:val="21"/>
                      <w:szCs w:val="21"/>
                      <w:highlight w:val="none"/>
                      <w:lang w:val="en-US" w:eastAsia="zh-CN"/>
                    </w:rPr>
                    <w:t>一般固废暂存</w:t>
                  </w:r>
                  <w:r>
                    <w:rPr>
                      <w:rFonts w:hint="eastAsia" w:ascii="Times New Roman" w:hAnsi="Times New Roman" w:eastAsia="宋体" w:cs="Times New Roman"/>
                      <w:color w:val="auto"/>
                      <w:kern w:val="2"/>
                      <w:sz w:val="21"/>
                      <w:szCs w:val="21"/>
                      <w:highlight w:val="none"/>
                      <w:lang w:val="en-US" w:eastAsia="zh-CN"/>
                    </w:rPr>
                    <w:t>库（</w:t>
                  </w:r>
                  <w:r>
                    <w:rPr>
                      <w:rFonts w:hint="default" w:ascii="Times New Roman" w:hAnsi="Times New Roman" w:eastAsia="宋体" w:cs="Times New Roman"/>
                      <w:color w:val="auto"/>
                      <w:kern w:val="2"/>
                      <w:sz w:val="21"/>
                      <w:szCs w:val="21"/>
                      <w:highlight w:val="none"/>
                      <w:lang w:val="en-US" w:eastAsia="zh-CN"/>
                    </w:rPr>
                    <w:t>50m</w:t>
                  </w:r>
                  <w:r>
                    <w:rPr>
                      <w:rFonts w:hint="default" w:ascii="Times New Roman" w:hAnsi="Times New Roman" w:eastAsia="宋体" w:cs="Times New Roman"/>
                      <w:color w:val="auto"/>
                      <w:kern w:val="2"/>
                      <w:sz w:val="21"/>
                      <w:szCs w:val="21"/>
                      <w:highlight w:val="none"/>
                      <w:vertAlign w:val="superscript"/>
                      <w:lang w:val="en-US" w:eastAsia="zh-CN"/>
                    </w:rPr>
                    <w:t>2</w:t>
                  </w:r>
                  <w:r>
                    <w:rPr>
                      <w:rFonts w:hint="eastAsia" w:ascii="Times New Roman" w:hAnsi="Times New Roman" w:eastAsia="宋体" w:cs="Times New Roman"/>
                      <w:color w:val="auto"/>
                      <w:kern w:val="2"/>
                      <w:sz w:val="21"/>
                      <w:szCs w:val="21"/>
                      <w:highlight w:val="none"/>
                      <w:lang w:val="en-US" w:eastAsia="zh-CN"/>
                    </w:rPr>
                    <w:t>）</w:t>
                  </w:r>
                  <w:r>
                    <w:rPr>
                      <w:rFonts w:hint="default" w:ascii="Times New Roman" w:hAnsi="Times New Roman" w:eastAsia="宋体" w:cs="Times New Roman"/>
                      <w:color w:val="auto"/>
                      <w:kern w:val="2"/>
                      <w:sz w:val="21"/>
                      <w:szCs w:val="21"/>
                      <w:highlight w:val="none"/>
                      <w:lang w:val="en-US" w:eastAsia="zh-CN"/>
                    </w:rPr>
                    <w:t>和</w:t>
                  </w:r>
                  <w:r>
                    <w:rPr>
                      <w:rFonts w:hint="eastAsia" w:cs="Times New Roman"/>
                      <w:color w:val="auto"/>
                      <w:kern w:val="2"/>
                      <w:sz w:val="21"/>
                      <w:szCs w:val="21"/>
                      <w:highlight w:val="none"/>
                      <w:lang w:val="en-US" w:eastAsia="zh-CN"/>
                    </w:rPr>
                    <w:t>危废</w:t>
                  </w:r>
                  <w:r>
                    <w:rPr>
                      <w:rFonts w:hint="eastAsia" w:ascii="Times New Roman" w:hAnsi="Times New Roman" w:eastAsia="宋体" w:cs="Times New Roman"/>
                      <w:color w:val="auto"/>
                      <w:kern w:val="2"/>
                      <w:sz w:val="21"/>
                      <w:szCs w:val="21"/>
                      <w:highlight w:val="none"/>
                      <w:lang w:val="en-US" w:eastAsia="zh-CN"/>
                    </w:rPr>
                    <w:t>库（</w:t>
                  </w:r>
                  <w:r>
                    <w:rPr>
                      <w:rFonts w:hint="eastAsia" w:cs="Times New Roman"/>
                      <w:color w:val="auto"/>
                      <w:kern w:val="2"/>
                      <w:sz w:val="21"/>
                      <w:szCs w:val="21"/>
                      <w:highlight w:val="none"/>
                      <w:lang w:val="en-US" w:eastAsia="zh-CN"/>
                    </w:rPr>
                    <w:t>10</w:t>
                  </w:r>
                  <w:r>
                    <w:rPr>
                      <w:rFonts w:hint="default" w:ascii="Times New Roman" w:hAnsi="Times New Roman" w:eastAsia="宋体" w:cs="Times New Roman"/>
                      <w:color w:val="auto"/>
                      <w:kern w:val="2"/>
                      <w:sz w:val="21"/>
                      <w:szCs w:val="21"/>
                      <w:highlight w:val="none"/>
                      <w:lang w:val="en-US" w:eastAsia="zh-CN"/>
                    </w:rPr>
                    <w:t>m</w:t>
                  </w:r>
                  <w:r>
                    <w:rPr>
                      <w:rFonts w:hint="default" w:ascii="Times New Roman" w:hAnsi="Times New Roman" w:eastAsia="宋体" w:cs="Times New Roman"/>
                      <w:color w:val="auto"/>
                      <w:kern w:val="2"/>
                      <w:sz w:val="21"/>
                      <w:szCs w:val="21"/>
                      <w:highlight w:val="none"/>
                      <w:vertAlign w:val="superscript"/>
                      <w:lang w:val="en-US" w:eastAsia="zh-CN"/>
                    </w:rPr>
                    <w:t>2</w:t>
                  </w:r>
                  <w:r>
                    <w:rPr>
                      <w:rFonts w:hint="eastAsia" w:ascii="Times New Roman" w:hAnsi="Times New Roman" w:eastAsia="宋体" w:cs="Times New Roman"/>
                      <w:color w:val="auto"/>
                      <w:kern w:val="2"/>
                      <w:sz w:val="21"/>
                      <w:szCs w:val="21"/>
                      <w:highlight w:val="none"/>
                      <w:lang w:val="en-US" w:eastAsia="zh-CN"/>
                    </w:rPr>
                    <w:t>）。</w:t>
                  </w:r>
                </w:p>
              </w:tc>
              <w:tc>
                <w:tcPr>
                  <w:tcW w:w="2061" w:type="dxa"/>
                  <w:noWrap w:val="0"/>
                  <w:vAlign w:val="center"/>
                </w:tcPr>
                <w:p w14:paraId="25A7E92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依托现有</w:t>
                  </w:r>
                </w:p>
              </w:tc>
            </w:tr>
            <w:tr w14:paraId="476C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vMerge w:val="continue"/>
                  <w:noWrap w:val="0"/>
                  <w:vAlign w:val="center"/>
                </w:tcPr>
                <w:p w14:paraId="5A62550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FF0000"/>
                      <w:kern w:val="2"/>
                      <w:sz w:val="21"/>
                      <w:szCs w:val="21"/>
                      <w:highlight w:val="none"/>
                      <w:lang w:val="en-US" w:eastAsia="zh-CN"/>
                    </w:rPr>
                  </w:pPr>
                </w:p>
              </w:tc>
              <w:tc>
                <w:tcPr>
                  <w:tcW w:w="1180" w:type="dxa"/>
                  <w:gridSpan w:val="2"/>
                  <w:noWrap w:val="0"/>
                  <w:vAlign w:val="center"/>
                </w:tcPr>
                <w:p w14:paraId="41A9096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绿化</w:t>
                  </w:r>
                </w:p>
              </w:tc>
              <w:tc>
                <w:tcPr>
                  <w:tcW w:w="4066" w:type="dxa"/>
                  <w:noWrap w:val="0"/>
                  <w:vAlign w:val="center"/>
                </w:tcPr>
                <w:p w14:paraId="22D20FB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绿化面积500m</w:t>
                  </w:r>
                  <w:r>
                    <w:rPr>
                      <w:rFonts w:hint="default" w:ascii="Times New Roman" w:hAnsi="Times New Roman" w:eastAsia="宋体" w:cs="Times New Roman"/>
                      <w:color w:val="auto"/>
                      <w:kern w:val="2"/>
                      <w:sz w:val="21"/>
                      <w:szCs w:val="21"/>
                      <w:highlight w:val="none"/>
                      <w:vertAlign w:val="superscript"/>
                      <w:lang w:val="en-US" w:eastAsia="zh-CN"/>
                    </w:rPr>
                    <w:t>2</w:t>
                  </w:r>
                  <w:r>
                    <w:rPr>
                      <w:rFonts w:hint="default" w:ascii="Times New Roman" w:hAnsi="Times New Roman" w:eastAsia="宋体" w:cs="Times New Roman"/>
                      <w:color w:val="auto"/>
                      <w:kern w:val="2"/>
                      <w:sz w:val="21"/>
                      <w:szCs w:val="21"/>
                      <w:highlight w:val="none"/>
                      <w:lang w:val="en-US" w:eastAsia="zh-CN"/>
                    </w:rPr>
                    <w:t>。</w:t>
                  </w:r>
                </w:p>
              </w:tc>
              <w:tc>
                <w:tcPr>
                  <w:tcW w:w="5670" w:type="dxa"/>
                  <w:noWrap w:val="0"/>
                  <w:vAlign w:val="center"/>
                </w:tcPr>
                <w:p w14:paraId="12A543E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不变</w:t>
                  </w:r>
                </w:p>
              </w:tc>
              <w:tc>
                <w:tcPr>
                  <w:tcW w:w="2061" w:type="dxa"/>
                  <w:noWrap w:val="0"/>
                  <w:vAlign w:val="center"/>
                </w:tcPr>
                <w:p w14:paraId="73B5869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不变</w:t>
                  </w:r>
                </w:p>
              </w:tc>
            </w:tr>
          </w:tbl>
          <w:p w14:paraId="5D031AD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color w:val="FF0000"/>
                <w:sz w:val="24"/>
                <w:highlight w:val="none"/>
                <w:lang w:val="en-US" w:eastAsia="zh-CN"/>
              </w:rPr>
            </w:pPr>
          </w:p>
        </w:tc>
      </w:tr>
    </w:tbl>
    <w:p w14:paraId="7C39667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bCs/>
          <w:color w:val="FF0000"/>
          <w:sz w:val="21"/>
          <w:szCs w:val="21"/>
          <w:highlight w:val="none"/>
          <w:vertAlign w:val="baseline"/>
          <w:lang w:val="en-US" w:eastAsia="zh-CN"/>
        </w:rPr>
      </w:pPr>
    </w:p>
    <w:p w14:paraId="0CAD495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color w:val="FF0000"/>
          <w:sz w:val="21"/>
          <w:szCs w:val="21"/>
          <w:highlight w:val="none"/>
          <w:vertAlign w:val="baseline"/>
          <w:lang w:val="en-US" w:eastAsia="zh-CN"/>
        </w:rPr>
        <w:sectPr>
          <w:pgSz w:w="16838" w:h="11906" w:orient="landscape"/>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tbl>
      <w:tblPr>
        <w:tblStyle w:val="3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5"/>
        <w:gridCol w:w="8833"/>
      </w:tblGrid>
      <w:tr w14:paraId="6A900A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455" w:type="dxa"/>
            <w:noWrap w:val="0"/>
            <w:vAlign w:val="center"/>
          </w:tcPr>
          <w:p w14:paraId="497FBFBE">
            <w:pPr>
              <w:pStyle w:val="31"/>
              <w:adjustRightInd w:val="0"/>
              <w:snapToGrid w:val="0"/>
              <w:spacing w:before="0" w:beforeAutospacing="0" w:after="0" w:afterAutospacing="0"/>
              <w:ind w:left="-63" w:leftChars="-30" w:right="-63" w:rightChars="-3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建设内容</w:t>
            </w:r>
          </w:p>
        </w:tc>
        <w:tc>
          <w:tcPr>
            <w:tcW w:w="8833" w:type="dxa"/>
            <w:noWrap w:val="0"/>
            <w:vAlign w:val="top"/>
          </w:tcPr>
          <w:p w14:paraId="0F456C3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default" w:ascii="Times New Roman" w:hAnsi="Times New Roman" w:eastAsia="宋体" w:cs="Times New Roman"/>
                <w:b/>
                <w:bCs/>
                <w:color w:val="auto"/>
                <w:kern w:val="2"/>
                <w:sz w:val="24"/>
                <w:szCs w:val="24"/>
                <w:lang w:val="en-US" w:eastAsia="zh-CN"/>
              </w:rPr>
              <w:t>产品方案</w:t>
            </w:r>
          </w:p>
          <w:p w14:paraId="7A1AD1D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w:t>
            </w:r>
            <w:r>
              <w:rPr>
                <w:rFonts w:hint="default" w:ascii="Times New Roman" w:hAnsi="Times New Roman" w:eastAsia="宋体" w:cs="Times New Roman"/>
                <w:b/>
                <w:bCs/>
                <w:color w:val="auto"/>
                <w:kern w:val="2"/>
                <w:sz w:val="24"/>
                <w:szCs w:val="24"/>
                <w:lang w:val="en-US" w:eastAsia="zh-CN"/>
              </w:rPr>
              <w:t>产品方案一览表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1270"/>
              <w:gridCol w:w="2256"/>
              <w:gridCol w:w="954"/>
              <w:gridCol w:w="2213"/>
              <w:gridCol w:w="957"/>
            </w:tblGrid>
            <w:tr w14:paraId="18B2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4" w:type="pct"/>
                  <w:vMerge w:val="restart"/>
                  <w:noWrap w:val="0"/>
                  <w:vAlign w:val="center"/>
                </w:tcPr>
                <w:p w14:paraId="282668C3">
                  <w:pPr>
                    <w:widowControl/>
                    <w:jc w:val="center"/>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序号</w:t>
                  </w:r>
                </w:p>
              </w:tc>
              <w:tc>
                <w:tcPr>
                  <w:tcW w:w="737" w:type="pct"/>
                  <w:vMerge w:val="restart"/>
                  <w:noWrap w:val="0"/>
                  <w:vAlign w:val="center"/>
                </w:tcPr>
                <w:p w14:paraId="0FF1930C">
                  <w:pPr>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rPr>
                    <w:t>产品</w:t>
                  </w:r>
                </w:p>
              </w:tc>
              <w:tc>
                <w:tcPr>
                  <w:tcW w:w="1311" w:type="pct"/>
                  <w:noWrap w:val="0"/>
                  <w:vAlign w:val="center"/>
                </w:tcPr>
                <w:p w14:paraId="4D74284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现有项目</w:t>
                  </w:r>
                </w:p>
              </w:tc>
              <w:tc>
                <w:tcPr>
                  <w:tcW w:w="2396" w:type="pct"/>
                  <w:gridSpan w:val="3"/>
                  <w:noWrap w:val="0"/>
                  <w:vAlign w:val="center"/>
                </w:tcPr>
                <w:p w14:paraId="066B10D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本项目</w:t>
                  </w:r>
                </w:p>
              </w:tc>
            </w:tr>
            <w:tr w14:paraId="6717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4" w:type="pct"/>
                  <w:vMerge w:val="continue"/>
                  <w:noWrap w:val="0"/>
                  <w:vAlign w:val="center"/>
                </w:tcPr>
                <w:p w14:paraId="484F0196">
                  <w:pPr>
                    <w:widowControl/>
                    <w:jc w:val="center"/>
                    <w:rPr>
                      <w:rFonts w:hint="default" w:ascii="Times New Roman" w:hAnsi="Times New Roman" w:eastAsia="宋体" w:cs="Times New Roman"/>
                      <w:color w:val="auto"/>
                      <w:kern w:val="0"/>
                      <w:sz w:val="21"/>
                      <w:szCs w:val="21"/>
                      <w:highlight w:val="none"/>
                    </w:rPr>
                  </w:pPr>
                </w:p>
              </w:tc>
              <w:tc>
                <w:tcPr>
                  <w:tcW w:w="737" w:type="pct"/>
                  <w:vMerge w:val="continue"/>
                  <w:noWrap w:val="0"/>
                  <w:vAlign w:val="center"/>
                </w:tcPr>
                <w:p w14:paraId="5CE50508">
                  <w:pPr>
                    <w:jc w:val="center"/>
                    <w:rPr>
                      <w:rFonts w:hint="default" w:ascii="Times New Roman" w:hAnsi="Times New Roman" w:eastAsia="宋体" w:cs="Times New Roman"/>
                      <w:b/>
                      <w:bCs/>
                      <w:color w:val="auto"/>
                      <w:kern w:val="0"/>
                      <w:sz w:val="21"/>
                      <w:szCs w:val="21"/>
                      <w:highlight w:val="none"/>
                      <w:lang w:val="en-US" w:eastAsia="zh-CN" w:bidi="ar-SA"/>
                    </w:rPr>
                  </w:pPr>
                </w:p>
              </w:tc>
              <w:tc>
                <w:tcPr>
                  <w:tcW w:w="1311" w:type="pct"/>
                  <w:noWrap w:val="0"/>
                  <w:vAlign w:val="center"/>
                </w:tcPr>
                <w:p w14:paraId="2E861A88">
                  <w:pPr>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lang w:val="en-US" w:eastAsia="zh-CN"/>
                    </w:rPr>
                    <w:t>年产量（</w:t>
                  </w:r>
                  <w:r>
                    <w:rPr>
                      <w:rFonts w:hint="default" w:ascii="Times New Roman" w:hAnsi="Times New Roman" w:eastAsia="宋体" w:cs="Times New Roman"/>
                      <w:b/>
                      <w:bCs/>
                      <w:color w:val="auto"/>
                      <w:kern w:val="0"/>
                      <w:sz w:val="21"/>
                      <w:szCs w:val="21"/>
                      <w:highlight w:val="none"/>
                      <w:lang w:bidi="ar"/>
                    </w:rPr>
                    <w:t>t/a</w:t>
                  </w:r>
                  <w:r>
                    <w:rPr>
                      <w:rFonts w:hint="default" w:ascii="Times New Roman" w:hAnsi="Times New Roman" w:eastAsia="宋体" w:cs="Times New Roman"/>
                      <w:b/>
                      <w:bCs/>
                      <w:color w:val="auto"/>
                      <w:kern w:val="0"/>
                      <w:sz w:val="21"/>
                      <w:szCs w:val="21"/>
                      <w:highlight w:val="none"/>
                      <w:lang w:eastAsia="zh-CN" w:bidi="ar"/>
                    </w:rPr>
                    <w:t>）</w:t>
                  </w:r>
                </w:p>
              </w:tc>
              <w:tc>
                <w:tcPr>
                  <w:tcW w:w="2396" w:type="pct"/>
                  <w:gridSpan w:val="3"/>
                  <w:noWrap w:val="0"/>
                  <w:vAlign w:val="center"/>
                </w:tcPr>
                <w:p w14:paraId="420B0B7F">
                  <w:pPr>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rPr>
                    <w:t>年产量（</w:t>
                  </w:r>
                  <w:r>
                    <w:rPr>
                      <w:rFonts w:hint="default" w:ascii="Times New Roman" w:hAnsi="Times New Roman" w:eastAsia="宋体" w:cs="Times New Roman"/>
                      <w:b/>
                      <w:bCs/>
                      <w:color w:val="auto"/>
                      <w:kern w:val="0"/>
                      <w:sz w:val="21"/>
                      <w:szCs w:val="21"/>
                      <w:highlight w:val="none"/>
                      <w:lang w:bidi="ar"/>
                    </w:rPr>
                    <w:t>t/a</w:t>
                  </w:r>
                  <w:r>
                    <w:rPr>
                      <w:rFonts w:hint="default" w:ascii="Times New Roman" w:hAnsi="Times New Roman" w:eastAsia="宋体" w:cs="Times New Roman"/>
                      <w:b/>
                      <w:bCs/>
                      <w:color w:val="auto"/>
                      <w:kern w:val="0"/>
                      <w:sz w:val="21"/>
                      <w:szCs w:val="21"/>
                      <w:highlight w:val="none"/>
                      <w:lang w:eastAsia="zh-CN" w:bidi="ar"/>
                    </w:rPr>
                    <w:t>）</w:t>
                  </w:r>
                </w:p>
              </w:tc>
            </w:tr>
            <w:tr w14:paraId="51CD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54" w:type="pct"/>
                  <w:noWrap w:val="0"/>
                  <w:vAlign w:val="center"/>
                </w:tcPr>
                <w:p w14:paraId="203C7577">
                  <w:pPr>
                    <w:widowControl/>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w:t>
                  </w:r>
                </w:p>
              </w:tc>
              <w:tc>
                <w:tcPr>
                  <w:tcW w:w="737" w:type="pct"/>
                  <w:vMerge w:val="restart"/>
                  <w:noWrap w:val="0"/>
                  <w:vAlign w:val="center"/>
                </w:tcPr>
                <w:p w14:paraId="1E3A53DF">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铸造件</w:t>
                  </w:r>
                </w:p>
              </w:tc>
              <w:tc>
                <w:tcPr>
                  <w:tcW w:w="1311" w:type="pct"/>
                  <w:vMerge w:val="restart"/>
                  <w:noWrap w:val="0"/>
                  <w:vAlign w:val="center"/>
                </w:tcPr>
                <w:p w14:paraId="3EE658AB">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10000</w:t>
                  </w:r>
                </w:p>
              </w:tc>
              <w:tc>
                <w:tcPr>
                  <w:tcW w:w="2396" w:type="pct"/>
                  <w:gridSpan w:val="3"/>
                  <w:noWrap w:val="0"/>
                  <w:vAlign w:val="center"/>
                </w:tcPr>
                <w:p w14:paraId="1D7A165C">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10000</w:t>
                  </w:r>
                </w:p>
              </w:tc>
            </w:tr>
            <w:tr w14:paraId="6805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4" w:type="pct"/>
                  <w:noWrap w:val="0"/>
                  <w:vAlign w:val="center"/>
                </w:tcPr>
                <w:p w14:paraId="1DAF11F1">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2</w:t>
                  </w:r>
                </w:p>
              </w:tc>
              <w:tc>
                <w:tcPr>
                  <w:tcW w:w="737" w:type="pct"/>
                  <w:vMerge w:val="continue"/>
                  <w:noWrap w:val="0"/>
                  <w:vAlign w:val="center"/>
                </w:tcPr>
                <w:p w14:paraId="439BF31F">
                  <w:pPr>
                    <w:widowControl/>
                    <w:jc w:val="center"/>
                    <w:rPr>
                      <w:rFonts w:hint="default" w:ascii="Times New Roman" w:hAnsi="Times New Roman" w:eastAsia="宋体" w:cs="Times New Roman"/>
                      <w:color w:val="auto"/>
                      <w:kern w:val="0"/>
                      <w:sz w:val="21"/>
                      <w:szCs w:val="21"/>
                      <w:highlight w:val="none"/>
                      <w:lang w:val="en-US" w:eastAsia="zh-CN"/>
                    </w:rPr>
                  </w:pPr>
                </w:p>
              </w:tc>
              <w:tc>
                <w:tcPr>
                  <w:tcW w:w="1311" w:type="pct"/>
                  <w:vMerge w:val="continue"/>
                  <w:noWrap w:val="0"/>
                  <w:vAlign w:val="center"/>
                </w:tcPr>
                <w:p w14:paraId="3B237DBB">
                  <w:pPr>
                    <w:widowControl/>
                    <w:jc w:val="center"/>
                    <w:rPr>
                      <w:rFonts w:hint="default" w:ascii="Times New Roman" w:hAnsi="Times New Roman" w:eastAsia="宋体" w:cs="Times New Roman"/>
                      <w:color w:val="auto"/>
                      <w:kern w:val="0"/>
                      <w:sz w:val="21"/>
                      <w:szCs w:val="21"/>
                      <w:highlight w:val="none"/>
                      <w:lang w:val="en-US" w:eastAsia="zh-CN"/>
                    </w:rPr>
                  </w:pPr>
                </w:p>
              </w:tc>
              <w:tc>
                <w:tcPr>
                  <w:tcW w:w="554" w:type="pct"/>
                  <w:vMerge w:val="restart"/>
                  <w:noWrap w:val="0"/>
                  <w:vAlign w:val="center"/>
                </w:tcPr>
                <w:p w14:paraId="5CD5E76F">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其中</w:t>
                  </w:r>
                </w:p>
              </w:tc>
              <w:tc>
                <w:tcPr>
                  <w:tcW w:w="1286" w:type="pct"/>
                  <w:noWrap w:val="0"/>
                  <w:vAlign w:val="center"/>
                </w:tcPr>
                <w:p w14:paraId="1139A659">
                  <w:pPr>
                    <w:widowControl/>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eastAsia" w:ascii="Times New Roman" w:hAnsi="Times New Roman" w:eastAsia="宋体" w:cs="Times New Roman"/>
                      <w:color w:val="auto"/>
                      <w:kern w:val="0"/>
                      <w:sz w:val="21"/>
                      <w:szCs w:val="21"/>
                      <w:highlight w:val="none"/>
                      <w:lang w:val="en-US" w:eastAsia="zh-CN"/>
                    </w:rPr>
                    <w:t>精密阀门</w:t>
                  </w:r>
                  <w:r>
                    <w:rPr>
                      <w:rFonts w:hint="eastAsia" w:cs="Times New Roman"/>
                      <w:color w:val="auto"/>
                      <w:kern w:val="0"/>
                      <w:sz w:val="21"/>
                      <w:szCs w:val="21"/>
                      <w:highlight w:val="none"/>
                      <w:lang w:val="en-US" w:eastAsia="zh-CN"/>
                    </w:rPr>
                    <w:t>铸件</w:t>
                  </w:r>
                </w:p>
              </w:tc>
              <w:tc>
                <w:tcPr>
                  <w:tcW w:w="555" w:type="pct"/>
                  <w:noWrap w:val="0"/>
                  <w:vAlign w:val="center"/>
                </w:tcPr>
                <w:p w14:paraId="35CF3155">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lang w:val="en-US" w:eastAsia="zh-CN" w:bidi="ar"/>
                    </w:rPr>
                  </w:pPr>
                  <w:r>
                    <w:rPr>
                      <w:rFonts w:hint="eastAsia" w:ascii="Times New Roman" w:hAnsi="Times New Roman" w:eastAsia="宋体" w:cs="Times New Roman"/>
                      <w:i w:val="0"/>
                      <w:color w:val="auto"/>
                      <w:kern w:val="0"/>
                      <w:sz w:val="21"/>
                      <w:szCs w:val="21"/>
                      <w:highlight w:val="none"/>
                      <w:u w:val="none"/>
                      <w:lang w:val="en-US" w:eastAsia="zh-CN" w:bidi="ar"/>
                    </w:rPr>
                    <w:t>1500</w:t>
                  </w:r>
                </w:p>
              </w:tc>
            </w:tr>
            <w:tr w14:paraId="7854C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4" w:type="pct"/>
                  <w:noWrap w:val="0"/>
                  <w:vAlign w:val="center"/>
                </w:tcPr>
                <w:p w14:paraId="4AB38C29">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3</w:t>
                  </w:r>
                </w:p>
              </w:tc>
              <w:tc>
                <w:tcPr>
                  <w:tcW w:w="737" w:type="pct"/>
                  <w:vMerge w:val="continue"/>
                  <w:noWrap w:val="0"/>
                  <w:vAlign w:val="center"/>
                </w:tcPr>
                <w:p w14:paraId="6FCF3456">
                  <w:pPr>
                    <w:widowControl/>
                    <w:jc w:val="center"/>
                    <w:rPr>
                      <w:rFonts w:hint="default" w:ascii="Times New Roman" w:hAnsi="Times New Roman" w:eastAsia="宋体" w:cs="Times New Roman"/>
                      <w:color w:val="auto"/>
                      <w:kern w:val="0"/>
                      <w:sz w:val="21"/>
                      <w:szCs w:val="21"/>
                      <w:highlight w:val="none"/>
                      <w:lang w:val="en-US" w:eastAsia="zh-CN"/>
                    </w:rPr>
                  </w:pPr>
                </w:p>
              </w:tc>
              <w:tc>
                <w:tcPr>
                  <w:tcW w:w="1311" w:type="pct"/>
                  <w:vMerge w:val="continue"/>
                  <w:noWrap w:val="0"/>
                  <w:vAlign w:val="center"/>
                </w:tcPr>
                <w:p w14:paraId="4417203F">
                  <w:pPr>
                    <w:widowControl/>
                    <w:jc w:val="center"/>
                    <w:rPr>
                      <w:rFonts w:hint="eastAsia" w:ascii="Times New Roman" w:hAnsi="Times New Roman" w:eastAsia="宋体" w:cs="Times New Roman"/>
                      <w:color w:val="auto"/>
                      <w:kern w:val="0"/>
                      <w:sz w:val="21"/>
                      <w:szCs w:val="21"/>
                      <w:highlight w:val="none"/>
                      <w:lang w:val="en-US" w:eastAsia="zh-CN"/>
                    </w:rPr>
                  </w:pPr>
                </w:p>
              </w:tc>
              <w:tc>
                <w:tcPr>
                  <w:tcW w:w="554" w:type="pct"/>
                  <w:vMerge w:val="continue"/>
                  <w:noWrap w:val="0"/>
                  <w:vAlign w:val="center"/>
                </w:tcPr>
                <w:p w14:paraId="4ACDD309">
                  <w:pPr>
                    <w:widowControl/>
                    <w:jc w:val="center"/>
                    <w:rPr>
                      <w:rFonts w:hint="eastAsia" w:ascii="Times New Roman" w:hAnsi="Times New Roman" w:eastAsia="宋体" w:cs="Times New Roman"/>
                      <w:color w:val="auto"/>
                      <w:kern w:val="0"/>
                      <w:sz w:val="21"/>
                      <w:szCs w:val="21"/>
                      <w:highlight w:val="none"/>
                      <w:lang w:val="en-US" w:eastAsia="zh-CN"/>
                    </w:rPr>
                  </w:pPr>
                </w:p>
              </w:tc>
              <w:tc>
                <w:tcPr>
                  <w:tcW w:w="1286" w:type="pct"/>
                  <w:noWrap w:val="0"/>
                  <w:vAlign w:val="center"/>
                </w:tcPr>
                <w:p w14:paraId="38D09C90">
                  <w:pPr>
                    <w:widowControl/>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eastAsia" w:ascii="Times New Roman" w:hAnsi="Times New Roman" w:eastAsia="宋体" w:cs="Times New Roman"/>
                      <w:color w:val="auto"/>
                      <w:kern w:val="0"/>
                      <w:sz w:val="21"/>
                      <w:szCs w:val="21"/>
                      <w:highlight w:val="none"/>
                      <w:lang w:val="en-US" w:eastAsia="zh-CN"/>
                    </w:rPr>
                    <w:t>工程机械</w:t>
                  </w:r>
                  <w:r>
                    <w:rPr>
                      <w:rFonts w:hint="eastAsia" w:cs="Times New Roman"/>
                      <w:color w:val="auto"/>
                      <w:kern w:val="0"/>
                      <w:sz w:val="21"/>
                      <w:szCs w:val="21"/>
                      <w:highlight w:val="none"/>
                      <w:lang w:val="en-US" w:eastAsia="zh-CN"/>
                    </w:rPr>
                    <w:t>铸件</w:t>
                  </w:r>
                </w:p>
              </w:tc>
              <w:tc>
                <w:tcPr>
                  <w:tcW w:w="555" w:type="pct"/>
                  <w:noWrap w:val="0"/>
                  <w:vAlign w:val="center"/>
                </w:tcPr>
                <w:p w14:paraId="505F75A5">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lang w:val="en-US" w:eastAsia="zh-CN" w:bidi="ar"/>
                    </w:rPr>
                  </w:pPr>
                  <w:r>
                    <w:rPr>
                      <w:rFonts w:hint="eastAsia" w:ascii="Times New Roman" w:hAnsi="Times New Roman" w:eastAsia="宋体" w:cs="Times New Roman"/>
                      <w:i w:val="0"/>
                      <w:color w:val="auto"/>
                      <w:kern w:val="0"/>
                      <w:sz w:val="21"/>
                      <w:szCs w:val="21"/>
                      <w:highlight w:val="none"/>
                      <w:u w:val="none"/>
                      <w:lang w:val="en-US" w:eastAsia="zh-CN" w:bidi="ar"/>
                    </w:rPr>
                    <w:t>3500</w:t>
                  </w:r>
                </w:p>
              </w:tc>
            </w:tr>
            <w:tr w14:paraId="0BE4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4" w:type="pct"/>
                  <w:noWrap w:val="0"/>
                  <w:vAlign w:val="center"/>
                </w:tcPr>
                <w:p w14:paraId="375A6233">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w:t>
                  </w:r>
                </w:p>
              </w:tc>
              <w:tc>
                <w:tcPr>
                  <w:tcW w:w="737" w:type="pct"/>
                  <w:vMerge w:val="continue"/>
                  <w:noWrap w:val="0"/>
                  <w:vAlign w:val="center"/>
                </w:tcPr>
                <w:p w14:paraId="2BC118E7">
                  <w:pPr>
                    <w:widowControl/>
                    <w:jc w:val="center"/>
                    <w:rPr>
                      <w:rFonts w:hint="default" w:ascii="Times New Roman" w:hAnsi="Times New Roman" w:eastAsia="宋体" w:cs="Times New Roman"/>
                      <w:color w:val="auto"/>
                      <w:kern w:val="0"/>
                      <w:sz w:val="21"/>
                      <w:szCs w:val="21"/>
                      <w:highlight w:val="none"/>
                      <w:lang w:val="en-US" w:eastAsia="zh-CN"/>
                    </w:rPr>
                  </w:pPr>
                </w:p>
              </w:tc>
              <w:tc>
                <w:tcPr>
                  <w:tcW w:w="1311" w:type="pct"/>
                  <w:vMerge w:val="continue"/>
                  <w:noWrap w:val="0"/>
                  <w:vAlign w:val="center"/>
                </w:tcPr>
                <w:p w14:paraId="6EE563F4">
                  <w:pPr>
                    <w:widowControl/>
                    <w:jc w:val="center"/>
                    <w:rPr>
                      <w:rFonts w:hint="default" w:ascii="Times New Roman" w:hAnsi="Times New Roman" w:eastAsia="宋体" w:cs="Times New Roman"/>
                      <w:color w:val="auto"/>
                      <w:kern w:val="0"/>
                      <w:sz w:val="21"/>
                      <w:szCs w:val="21"/>
                      <w:highlight w:val="none"/>
                      <w:lang w:val="en-US" w:eastAsia="zh-CN"/>
                    </w:rPr>
                  </w:pPr>
                </w:p>
              </w:tc>
              <w:tc>
                <w:tcPr>
                  <w:tcW w:w="554" w:type="pct"/>
                  <w:vMerge w:val="continue"/>
                  <w:noWrap w:val="0"/>
                  <w:vAlign w:val="center"/>
                </w:tcPr>
                <w:p w14:paraId="6ED2BED4">
                  <w:pPr>
                    <w:widowControl/>
                    <w:jc w:val="center"/>
                    <w:rPr>
                      <w:rFonts w:hint="default" w:ascii="Times New Roman" w:hAnsi="Times New Roman" w:eastAsia="宋体" w:cs="Times New Roman"/>
                      <w:color w:val="auto"/>
                      <w:kern w:val="0"/>
                      <w:sz w:val="21"/>
                      <w:szCs w:val="21"/>
                      <w:highlight w:val="none"/>
                      <w:lang w:val="en-US" w:eastAsia="zh-CN"/>
                    </w:rPr>
                  </w:pPr>
                </w:p>
              </w:tc>
              <w:tc>
                <w:tcPr>
                  <w:tcW w:w="1286" w:type="pct"/>
                  <w:noWrap w:val="0"/>
                  <w:vAlign w:val="center"/>
                </w:tcPr>
                <w:p w14:paraId="55A97FFC">
                  <w:pPr>
                    <w:widowControl/>
                    <w:jc w:val="center"/>
                    <w:rPr>
                      <w:rFonts w:hint="default" w:ascii="Times New Roman" w:hAnsi="Times New Roman" w:eastAsia="宋体" w:cs="Times New Roman"/>
                      <w:i w:val="0"/>
                      <w:color w:val="auto"/>
                      <w:kern w:val="0"/>
                      <w:sz w:val="21"/>
                      <w:szCs w:val="21"/>
                      <w:highlight w:val="none"/>
                      <w:u w:val="none"/>
                      <w:lang w:val="en-US" w:eastAsia="zh-CN" w:bidi="ar"/>
                    </w:rPr>
                  </w:pPr>
                  <w:r>
                    <w:rPr>
                      <w:rFonts w:hint="eastAsia" w:ascii="Times New Roman" w:hAnsi="Times New Roman" w:eastAsia="宋体" w:cs="Times New Roman"/>
                      <w:color w:val="auto"/>
                      <w:kern w:val="0"/>
                      <w:sz w:val="21"/>
                      <w:szCs w:val="21"/>
                      <w:highlight w:val="none"/>
                      <w:lang w:val="en-US" w:eastAsia="zh-CN"/>
                    </w:rPr>
                    <w:t>汽车零部件</w:t>
                  </w:r>
                  <w:r>
                    <w:rPr>
                      <w:rFonts w:hint="eastAsia" w:cs="Times New Roman"/>
                      <w:color w:val="auto"/>
                      <w:kern w:val="0"/>
                      <w:sz w:val="21"/>
                      <w:szCs w:val="21"/>
                      <w:highlight w:val="none"/>
                      <w:lang w:val="en-US" w:eastAsia="zh-CN"/>
                    </w:rPr>
                    <w:t>铸件</w:t>
                  </w:r>
                </w:p>
              </w:tc>
              <w:tc>
                <w:tcPr>
                  <w:tcW w:w="555" w:type="pct"/>
                  <w:noWrap w:val="0"/>
                  <w:vAlign w:val="center"/>
                </w:tcPr>
                <w:p w14:paraId="22589178">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lang w:val="en-US" w:eastAsia="zh-CN" w:bidi="ar"/>
                    </w:rPr>
                  </w:pPr>
                  <w:r>
                    <w:rPr>
                      <w:rFonts w:hint="eastAsia" w:ascii="Times New Roman" w:hAnsi="Times New Roman" w:eastAsia="宋体" w:cs="Times New Roman"/>
                      <w:i w:val="0"/>
                      <w:color w:val="auto"/>
                      <w:kern w:val="0"/>
                      <w:sz w:val="21"/>
                      <w:szCs w:val="21"/>
                      <w:highlight w:val="none"/>
                      <w:u w:val="none"/>
                      <w:lang w:val="en-US" w:eastAsia="zh-CN" w:bidi="ar"/>
                    </w:rPr>
                    <w:t>5000</w:t>
                  </w:r>
                </w:p>
              </w:tc>
            </w:tr>
            <w:tr w14:paraId="091C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92" w:type="pct"/>
                  <w:gridSpan w:val="2"/>
                  <w:noWrap w:val="0"/>
                  <w:vAlign w:val="center"/>
                </w:tcPr>
                <w:p w14:paraId="3547FF4D">
                  <w:pPr>
                    <w:widowControl/>
                    <w:jc w:val="center"/>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小计</w:t>
                  </w:r>
                </w:p>
              </w:tc>
              <w:tc>
                <w:tcPr>
                  <w:tcW w:w="1311" w:type="pct"/>
                  <w:noWrap w:val="0"/>
                  <w:vAlign w:val="center"/>
                </w:tcPr>
                <w:p w14:paraId="20C752BA">
                  <w:pPr>
                    <w:widowControl/>
                    <w:jc w:val="center"/>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10000</w:t>
                  </w:r>
                </w:p>
              </w:tc>
              <w:tc>
                <w:tcPr>
                  <w:tcW w:w="2396" w:type="pct"/>
                  <w:gridSpan w:val="3"/>
                  <w:noWrap w:val="0"/>
                  <w:vAlign w:val="center"/>
                </w:tcPr>
                <w:p w14:paraId="44FFF3D1">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lang w:val="en-US" w:eastAsia="zh-CN" w:bidi="ar"/>
                    </w:rPr>
                  </w:pPr>
                  <w:r>
                    <w:rPr>
                      <w:rFonts w:hint="eastAsia" w:ascii="Times New Roman" w:hAnsi="Times New Roman" w:eastAsia="宋体" w:cs="Times New Roman"/>
                      <w:b/>
                      <w:bCs/>
                      <w:i w:val="0"/>
                      <w:color w:val="auto"/>
                      <w:kern w:val="0"/>
                      <w:sz w:val="21"/>
                      <w:szCs w:val="21"/>
                      <w:highlight w:val="none"/>
                      <w:u w:val="none"/>
                      <w:lang w:val="en-US" w:eastAsia="zh-CN" w:bidi="ar"/>
                    </w:rPr>
                    <w:t>10000</w:t>
                  </w:r>
                </w:p>
              </w:tc>
            </w:tr>
          </w:tbl>
          <w:p w14:paraId="3513C331">
            <w:pPr>
              <w:widowControl/>
              <w:jc w:val="left"/>
              <w:rPr>
                <w:rFonts w:hint="default" w:ascii="Times New Roman" w:hAnsi="Times New Roman" w:eastAsia="宋体" w:cs="Times New Roman"/>
                <w:color w:val="auto"/>
                <w:kern w:val="0"/>
                <w:sz w:val="18"/>
                <w:szCs w:val="18"/>
                <w:highlight w:val="none"/>
                <w:lang w:val="en-US" w:eastAsia="zh-CN"/>
              </w:rPr>
            </w:pPr>
            <w:r>
              <w:rPr>
                <w:rFonts w:hint="default" w:ascii="Times New Roman" w:hAnsi="Times New Roman" w:eastAsia="宋体" w:cs="Times New Roman"/>
                <w:b/>
                <w:bCs/>
                <w:color w:val="auto"/>
                <w:kern w:val="0"/>
                <w:sz w:val="18"/>
                <w:szCs w:val="18"/>
                <w:highlight w:val="none"/>
                <w:lang w:val="en-US" w:eastAsia="zh-CN"/>
              </w:rPr>
              <w:t>注：</w:t>
            </w:r>
            <w:r>
              <w:rPr>
                <w:rFonts w:hint="eastAsia" w:ascii="Times New Roman" w:hAnsi="Times New Roman" w:eastAsia="宋体" w:cs="Times New Roman"/>
                <w:color w:val="auto"/>
                <w:kern w:val="0"/>
                <w:sz w:val="18"/>
                <w:szCs w:val="18"/>
                <w:highlight w:val="none"/>
                <w:lang w:val="en-US" w:eastAsia="zh-CN"/>
              </w:rPr>
              <w:t>年铸造</w:t>
            </w:r>
            <w:r>
              <w:rPr>
                <w:rFonts w:hint="default" w:ascii="Times New Roman" w:hAnsi="Times New Roman" w:eastAsia="宋体" w:cs="Times New Roman"/>
                <w:color w:val="auto"/>
                <w:kern w:val="0"/>
                <w:sz w:val="18"/>
                <w:szCs w:val="18"/>
                <w:highlight w:val="none"/>
                <w:lang w:val="en-US" w:eastAsia="zh-CN"/>
              </w:rPr>
              <w:t>产能不变</w:t>
            </w:r>
            <w:r>
              <w:rPr>
                <w:rFonts w:hint="eastAsia" w:ascii="Times New Roman" w:hAnsi="Times New Roman" w:eastAsia="宋体" w:cs="Times New Roman"/>
                <w:color w:val="auto"/>
                <w:kern w:val="0"/>
                <w:sz w:val="18"/>
                <w:szCs w:val="18"/>
                <w:highlight w:val="none"/>
                <w:lang w:val="en-US" w:eastAsia="zh-CN"/>
              </w:rPr>
              <w:t>。</w:t>
            </w:r>
          </w:p>
          <w:p w14:paraId="702BE6CE">
            <w:pPr>
              <w:widowControl/>
              <w:jc w:val="left"/>
              <w:rPr>
                <w:rFonts w:hint="default" w:ascii="Times New Roman" w:hAnsi="Times New Roman" w:eastAsia="宋体" w:cs="Times New Roman"/>
                <w:i w:val="0"/>
                <w:color w:val="auto"/>
                <w:kern w:val="0"/>
                <w:sz w:val="18"/>
                <w:szCs w:val="18"/>
                <w:highlight w:val="none"/>
                <w:u w:val="none"/>
                <w:lang w:val="en-US" w:eastAsia="zh-CN" w:bidi="ar"/>
              </w:rPr>
            </w:pPr>
          </w:p>
          <w:p w14:paraId="42B054C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主要原辅材料</w:t>
            </w:r>
          </w:p>
          <w:p w14:paraId="21693DF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 xml:space="preserve">4 </w:t>
            </w:r>
            <w:r>
              <w:rPr>
                <w:rFonts w:hint="default" w:ascii="Times New Roman" w:hAnsi="Times New Roman" w:eastAsia="宋体" w:cs="Times New Roman"/>
                <w:b/>
                <w:bCs/>
                <w:color w:val="auto"/>
                <w:kern w:val="2"/>
                <w:sz w:val="24"/>
                <w:szCs w:val="24"/>
                <w:lang w:val="en-US" w:eastAsia="zh-CN"/>
              </w:rPr>
              <w:t xml:space="preserve"> 主要原辅材料及能源消耗一览表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53"/>
              <w:gridCol w:w="1310"/>
              <w:gridCol w:w="533"/>
              <w:gridCol w:w="1058"/>
              <w:gridCol w:w="1149"/>
              <w:gridCol w:w="906"/>
              <w:gridCol w:w="933"/>
              <w:gridCol w:w="676"/>
              <w:gridCol w:w="901"/>
              <w:gridCol w:w="688"/>
            </w:tblGrid>
            <w:tr w14:paraId="63D7AC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64" w:hRule="atLeast"/>
                <w:jc w:val="center"/>
              </w:trPr>
              <w:tc>
                <w:tcPr>
                  <w:tcW w:w="453" w:type="dxa"/>
                  <w:vMerge w:val="restart"/>
                  <w:noWrap w:val="0"/>
                  <w:vAlign w:val="center"/>
                </w:tcPr>
                <w:p w14:paraId="3B057BB3">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t>序号</w:t>
                  </w:r>
                </w:p>
              </w:tc>
              <w:tc>
                <w:tcPr>
                  <w:tcW w:w="1310" w:type="dxa"/>
                  <w:vMerge w:val="restart"/>
                  <w:noWrap w:val="0"/>
                  <w:vAlign w:val="center"/>
                </w:tcPr>
                <w:p w14:paraId="74A2D96E">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t>名称</w:t>
                  </w:r>
                </w:p>
              </w:tc>
              <w:tc>
                <w:tcPr>
                  <w:tcW w:w="533" w:type="dxa"/>
                  <w:vMerge w:val="restart"/>
                  <w:noWrap w:val="0"/>
                  <w:vAlign w:val="center"/>
                </w:tcPr>
                <w:p w14:paraId="0765F16D">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t>单位</w:t>
                  </w:r>
                </w:p>
              </w:tc>
              <w:tc>
                <w:tcPr>
                  <w:tcW w:w="3113" w:type="dxa"/>
                  <w:gridSpan w:val="3"/>
                  <w:tcBorders>
                    <w:bottom w:val="single" w:color="auto" w:sz="6" w:space="0"/>
                    <w:right w:val="single" w:color="auto" w:sz="4" w:space="0"/>
                  </w:tcBorders>
                  <w:noWrap w:val="0"/>
                  <w:vAlign w:val="center"/>
                </w:tcPr>
                <w:p w14:paraId="053130E8">
                  <w:pPr>
                    <w:keepNext w:val="0"/>
                    <w:keepLines w:val="0"/>
                    <w:widowControl/>
                    <w:suppressLineNumbers w:val="0"/>
                    <w:jc w:val="center"/>
                    <w:textAlignment w:val="cente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年用量</w:t>
                  </w:r>
                </w:p>
              </w:tc>
              <w:tc>
                <w:tcPr>
                  <w:tcW w:w="933" w:type="dxa"/>
                  <w:vMerge w:val="restart"/>
                  <w:tcBorders>
                    <w:left w:val="single" w:color="auto" w:sz="4" w:space="0"/>
                  </w:tcBorders>
                  <w:noWrap w:val="0"/>
                  <w:vAlign w:val="center"/>
                </w:tcPr>
                <w:p w14:paraId="04A4F8E0">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t>最大储存量</w:t>
                  </w:r>
                </w:p>
              </w:tc>
              <w:tc>
                <w:tcPr>
                  <w:tcW w:w="676" w:type="dxa"/>
                  <w:vMerge w:val="restart"/>
                  <w:tcBorders>
                    <w:left w:val="single" w:color="auto" w:sz="4" w:space="0"/>
                  </w:tcBorders>
                  <w:noWrap w:val="0"/>
                  <w:vAlign w:val="center"/>
                </w:tcPr>
                <w:p w14:paraId="2073CE13">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t>包装方式</w:t>
                  </w:r>
                </w:p>
              </w:tc>
              <w:tc>
                <w:tcPr>
                  <w:tcW w:w="901" w:type="dxa"/>
                  <w:vMerge w:val="restart"/>
                  <w:tcBorders>
                    <w:left w:val="single" w:color="auto" w:sz="4" w:space="0"/>
                  </w:tcBorders>
                  <w:noWrap w:val="0"/>
                  <w:vAlign w:val="center"/>
                </w:tcPr>
                <w:p w14:paraId="739E6770">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t>储存</w:t>
                  </w:r>
                </w:p>
                <w:p w14:paraId="347E3776">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周期</w:t>
                  </w:r>
                </w:p>
              </w:tc>
              <w:tc>
                <w:tcPr>
                  <w:tcW w:w="688" w:type="dxa"/>
                  <w:vMerge w:val="restart"/>
                  <w:tcBorders>
                    <w:left w:val="single" w:color="auto" w:sz="4" w:space="0"/>
                  </w:tcBorders>
                  <w:noWrap w:val="0"/>
                  <w:vAlign w:val="center"/>
                </w:tcPr>
                <w:p w14:paraId="77E87D8D">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储存位置</w:t>
                  </w:r>
                </w:p>
              </w:tc>
            </w:tr>
            <w:tr w14:paraId="6F8078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64" w:hRule="atLeast"/>
                <w:jc w:val="center"/>
              </w:trPr>
              <w:tc>
                <w:tcPr>
                  <w:tcW w:w="453" w:type="dxa"/>
                  <w:vMerge w:val="continue"/>
                  <w:tcBorders>
                    <w:bottom w:val="single" w:color="auto" w:sz="6" w:space="0"/>
                  </w:tcBorders>
                  <w:noWrap w:val="0"/>
                  <w:vAlign w:val="center"/>
                </w:tcPr>
                <w:p w14:paraId="627CB95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1310" w:type="dxa"/>
                  <w:vMerge w:val="continue"/>
                  <w:tcBorders>
                    <w:bottom w:val="single" w:color="auto" w:sz="6" w:space="0"/>
                  </w:tcBorders>
                  <w:noWrap w:val="0"/>
                  <w:vAlign w:val="center"/>
                </w:tcPr>
                <w:p w14:paraId="3B73258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533" w:type="dxa"/>
                  <w:vMerge w:val="continue"/>
                  <w:tcBorders>
                    <w:bottom w:val="single" w:color="auto" w:sz="6" w:space="0"/>
                  </w:tcBorders>
                  <w:noWrap w:val="0"/>
                  <w:vAlign w:val="center"/>
                </w:tcPr>
                <w:p w14:paraId="09EE68A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1058" w:type="dxa"/>
                  <w:tcBorders>
                    <w:bottom w:val="single" w:color="auto" w:sz="6" w:space="0"/>
                    <w:right w:val="single" w:color="auto" w:sz="4" w:space="0"/>
                  </w:tcBorders>
                  <w:noWrap w:val="0"/>
                  <w:vAlign w:val="center"/>
                </w:tcPr>
                <w:p w14:paraId="6EB83691">
                  <w:pPr>
                    <w:keepNext w:val="0"/>
                    <w:keepLines w:val="0"/>
                    <w:widowControl/>
                    <w:suppressLineNumbers w:val="0"/>
                    <w:jc w:val="center"/>
                    <w:textAlignment w:val="cente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现有</w:t>
                  </w:r>
                </w:p>
                <w:p w14:paraId="076681BC">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项目</w:t>
                  </w:r>
                </w:p>
              </w:tc>
              <w:tc>
                <w:tcPr>
                  <w:tcW w:w="1149" w:type="dxa"/>
                  <w:tcBorders>
                    <w:bottom w:val="single" w:color="auto" w:sz="6" w:space="0"/>
                    <w:right w:val="single" w:color="auto" w:sz="4" w:space="0"/>
                  </w:tcBorders>
                  <w:noWrap w:val="0"/>
                  <w:vAlign w:val="center"/>
                </w:tcPr>
                <w:p w14:paraId="719E157E">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技改项目</w:t>
                  </w:r>
                </w:p>
              </w:tc>
              <w:tc>
                <w:tcPr>
                  <w:tcW w:w="906" w:type="dxa"/>
                  <w:tcBorders>
                    <w:bottom w:val="single" w:color="auto" w:sz="6" w:space="0"/>
                    <w:right w:val="single" w:color="auto" w:sz="4" w:space="0"/>
                  </w:tcBorders>
                  <w:noWrap w:val="0"/>
                  <w:vAlign w:val="center"/>
                </w:tcPr>
                <w:p w14:paraId="27FD1AFF">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bCs/>
                      <w:i w:val="0"/>
                      <w:color w:val="auto"/>
                      <w:kern w:val="0"/>
                      <w:sz w:val="21"/>
                      <w:szCs w:val="21"/>
                      <w:highlight w:val="none"/>
                      <w:u w:val="none"/>
                      <w:shd w:val="clear" w:color="auto" w:fill="auto"/>
                      <w:lang w:val="en-US" w:eastAsia="zh-CN" w:bidi="ar"/>
                    </w:rPr>
                    <w:t>技改后全厂</w:t>
                  </w:r>
                </w:p>
              </w:tc>
              <w:tc>
                <w:tcPr>
                  <w:tcW w:w="933" w:type="dxa"/>
                  <w:vMerge w:val="continue"/>
                  <w:tcBorders>
                    <w:left w:val="single" w:color="auto" w:sz="4" w:space="0"/>
                    <w:bottom w:val="single" w:color="auto" w:sz="6" w:space="0"/>
                  </w:tcBorders>
                  <w:noWrap w:val="0"/>
                  <w:vAlign w:val="center"/>
                </w:tcPr>
                <w:p w14:paraId="2DA8624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676" w:type="dxa"/>
                  <w:vMerge w:val="continue"/>
                  <w:tcBorders>
                    <w:left w:val="single" w:color="auto" w:sz="4" w:space="0"/>
                    <w:bottom w:val="single" w:color="auto" w:sz="6" w:space="0"/>
                  </w:tcBorders>
                  <w:noWrap w:val="0"/>
                  <w:vAlign w:val="center"/>
                </w:tcPr>
                <w:p w14:paraId="02D8199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901" w:type="dxa"/>
                  <w:vMerge w:val="continue"/>
                  <w:tcBorders>
                    <w:left w:val="single" w:color="auto" w:sz="4" w:space="0"/>
                    <w:bottom w:val="single" w:color="auto" w:sz="6" w:space="0"/>
                  </w:tcBorders>
                  <w:noWrap w:val="0"/>
                  <w:vAlign w:val="center"/>
                </w:tcPr>
                <w:p w14:paraId="3EFD87C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688" w:type="dxa"/>
                  <w:vMerge w:val="continue"/>
                  <w:tcBorders>
                    <w:left w:val="single" w:color="auto" w:sz="4" w:space="0"/>
                    <w:bottom w:val="single" w:color="auto" w:sz="6" w:space="0"/>
                  </w:tcBorders>
                  <w:noWrap w:val="0"/>
                  <w:vAlign w:val="center"/>
                </w:tcPr>
                <w:p w14:paraId="284FCB0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4DDCBF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noWrap w:val="0"/>
                  <w:vAlign w:val="center"/>
                </w:tcPr>
                <w:p w14:paraId="0D0CC2F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1310" w:type="dxa"/>
                  <w:tcBorders>
                    <w:top w:val="single" w:color="auto" w:sz="6" w:space="0"/>
                    <w:bottom w:val="single" w:color="auto" w:sz="6" w:space="0"/>
                  </w:tcBorders>
                  <w:noWrap w:val="0"/>
                  <w:vAlign w:val="center"/>
                </w:tcPr>
                <w:p w14:paraId="0CC4774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生铁</w:t>
                  </w:r>
                </w:p>
              </w:tc>
              <w:tc>
                <w:tcPr>
                  <w:tcW w:w="533" w:type="dxa"/>
                  <w:tcBorders>
                    <w:top w:val="single" w:color="auto" w:sz="6" w:space="0"/>
                    <w:bottom w:val="single" w:color="auto" w:sz="6" w:space="0"/>
                  </w:tcBorders>
                  <w:noWrap w:val="0"/>
                  <w:vAlign w:val="center"/>
                </w:tcPr>
                <w:p w14:paraId="5AD589F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710FF77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5200</w:t>
                  </w:r>
                </w:p>
              </w:tc>
              <w:tc>
                <w:tcPr>
                  <w:tcW w:w="1149" w:type="dxa"/>
                  <w:tcBorders>
                    <w:top w:val="single" w:color="auto" w:sz="6" w:space="0"/>
                    <w:bottom w:val="single" w:color="auto" w:sz="6" w:space="0"/>
                    <w:right w:val="single" w:color="auto" w:sz="4" w:space="0"/>
                  </w:tcBorders>
                  <w:noWrap w:val="0"/>
                  <w:vAlign w:val="center"/>
                </w:tcPr>
                <w:p w14:paraId="1383B2E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w:t>
                  </w:r>
                </w:p>
              </w:tc>
              <w:tc>
                <w:tcPr>
                  <w:tcW w:w="906" w:type="dxa"/>
                  <w:tcBorders>
                    <w:top w:val="single" w:color="auto" w:sz="6" w:space="0"/>
                    <w:bottom w:val="single" w:color="auto" w:sz="6" w:space="0"/>
                    <w:right w:val="single" w:color="auto" w:sz="4" w:space="0"/>
                  </w:tcBorders>
                  <w:noWrap w:val="0"/>
                  <w:vAlign w:val="center"/>
                </w:tcPr>
                <w:p w14:paraId="5D39ED2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5200</w:t>
                  </w:r>
                </w:p>
              </w:tc>
              <w:tc>
                <w:tcPr>
                  <w:tcW w:w="933" w:type="dxa"/>
                  <w:tcBorders>
                    <w:top w:val="single" w:color="auto" w:sz="6" w:space="0"/>
                    <w:left w:val="single" w:color="auto" w:sz="4" w:space="0"/>
                    <w:bottom w:val="single" w:color="auto" w:sz="6" w:space="0"/>
                  </w:tcBorders>
                  <w:noWrap w:val="0"/>
                  <w:vAlign w:val="center"/>
                </w:tcPr>
                <w:p w14:paraId="59004B7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200</w:t>
                  </w:r>
                </w:p>
              </w:tc>
              <w:tc>
                <w:tcPr>
                  <w:tcW w:w="676" w:type="dxa"/>
                  <w:tcBorders>
                    <w:top w:val="single" w:color="auto" w:sz="6" w:space="0"/>
                    <w:left w:val="single" w:color="auto" w:sz="4" w:space="0"/>
                    <w:bottom w:val="single" w:color="auto" w:sz="6" w:space="0"/>
                  </w:tcBorders>
                  <w:noWrap w:val="0"/>
                  <w:vAlign w:val="center"/>
                </w:tcPr>
                <w:p w14:paraId="48A06A7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散装</w:t>
                  </w:r>
                </w:p>
              </w:tc>
              <w:tc>
                <w:tcPr>
                  <w:tcW w:w="901" w:type="dxa"/>
                  <w:tcBorders>
                    <w:top w:val="single" w:color="auto" w:sz="6" w:space="0"/>
                    <w:left w:val="single" w:color="auto" w:sz="4" w:space="0"/>
                    <w:bottom w:val="single" w:color="auto" w:sz="6" w:space="0"/>
                  </w:tcBorders>
                  <w:noWrap w:val="0"/>
                  <w:vAlign w:val="center"/>
                </w:tcPr>
                <w:p w14:paraId="17AD72A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一周</w:t>
                  </w:r>
                </w:p>
              </w:tc>
              <w:tc>
                <w:tcPr>
                  <w:tcW w:w="688" w:type="dxa"/>
                  <w:vMerge w:val="restart"/>
                  <w:tcBorders>
                    <w:top w:val="single" w:color="auto" w:sz="6" w:space="0"/>
                    <w:left w:val="single" w:color="auto" w:sz="4" w:space="0"/>
                  </w:tcBorders>
                  <w:noWrap w:val="0"/>
                  <w:vAlign w:val="center"/>
                </w:tcPr>
                <w:p w14:paraId="79948A7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原料仓库</w:t>
                  </w:r>
                </w:p>
              </w:tc>
            </w:tr>
            <w:tr w14:paraId="5643B7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noWrap w:val="0"/>
                  <w:vAlign w:val="center"/>
                </w:tcPr>
                <w:p w14:paraId="58F6763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2</w:t>
                  </w:r>
                </w:p>
              </w:tc>
              <w:tc>
                <w:tcPr>
                  <w:tcW w:w="1310" w:type="dxa"/>
                  <w:tcBorders>
                    <w:top w:val="single" w:color="auto" w:sz="6" w:space="0"/>
                    <w:bottom w:val="single" w:color="auto" w:sz="6" w:space="0"/>
                  </w:tcBorders>
                  <w:noWrap w:val="0"/>
                  <w:vAlign w:val="center"/>
                </w:tcPr>
                <w:p w14:paraId="4255631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废钢</w:t>
                  </w:r>
                </w:p>
              </w:tc>
              <w:tc>
                <w:tcPr>
                  <w:tcW w:w="533" w:type="dxa"/>
                  <w:tcBorders>
                    <w:top w:val="single" w:color="auto" w:sz="6" w:space="0"/>
                    <w:bottom w:val="single" w:color="auto" w:sz="6" w:space="0"/>
                  </w:tcBorders>
                  <w:noWrap w:val="0"/>
                  <w:vAlign w:val="center"/>
                </w:tcPr>
                <w:p w14:paraId="3E06079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39A1849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5200</w:t>
                  </w:r>
                </w:p>
              </w:tc>
              <w:tc>
                <w:tcPr>
                  <w:tcW w:w="1149" w:type="dxa"/>
                  <w:tcBorders>
                    <w:top w:val="single" w:color="auto" w:sz="6" w:space="0"/>
                    <w:bottom w:val="single" w:color="auto" w:sz="6" w:space="0"/>
                    <w:right w:val="single" w:color="auto" w:sz="4" w:space="0"/>
                  </w:tcBorders>
                  <w:noWrap w:val="0"/>
                  <w:vAlign w:val="center"/>
                </w:tcPr>
                <w:p w14:paraId="2999BE4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w:t>
                  </w:r>
                </w:p>
              </w:tc>
              <w:tc>
                <w:tcPr>
                  <w:tcW w:w="906" w:type="dxa"/>
                  <w:tcBorders>
                    <w:top w:val="single" w:color="auto" w:sz="6" w:space="0"/>
                    <w:bottom w:val="single" w:color="auto" w:sz="6" w:space="0"/>
                    <w:right w:val="single" w:color="auto" w:sz="4" w:space="0"/>
                  </w:tcBorders>
                  <w:noWrap w:val="0"/>
                  <w:vAlign w:val="center"/>
                </w:tcPr>
                <w:p w14:paraId="78BC881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5200</w:t>
                  </w:r>
                </w:p>
              </w:tc>
              <w:tc>
                <w:tcPr>
                  <w:tcW w:w="933" w:type="dxa"/>
                  <w:tcBorders>
                    <w:top w:val="single" w:color="auto" w:sz="6" w:space="0"/>
                    <w:left w:val="single" w:color="auto" w:sz="4" w:space="0"/>
                    <w:bottom w:val="single" w:color="auto" w:sz="6" w:space="0"/>
                  </w:tcBorders>
                  <w:noWrap w:val="0"/>
                  <w:vAlign w:val="center"/>
                </w:tcPr>
                <w:p w14:paraId="3D3C58B6">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200</w:t>
                  </w:r>
                </w:p>
              </w:tc>
              <w:tc>
                <w:tcPr>
                  <w:tcW w:w="676" w:type="dxa"/>
                  <w:tcBorders>
                    <w:top w:val="single" w:color="auto" w:sz="6" w:space="0"/>
                    <w:left w:val="single" w:color="auto" w:sz="4" w:space="0"/>
                    <w:bottom w:val="single" w:color="auto" w:sz="6" w:space="0"/>
                  </w:tcBorders>
                  <w:noWrap w:val="0"/>
                  <w:vAlign w:val="center"/>
                </w:tcPr>
                <w:p w14:paraId="7FD3025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散装</w:t>
                  </w:r>
                </w:p>
              </w:tc>
              <w:tc>
                <w:tcPr>
                  <w:tcW w:w="901" w:type="dxa"/>
                  <w:tcBorders>
                    <w:top w:val="single" w:color="auto" w:sz="6" w:space="0"/>
                    <w:left w:val="single" w:color="auto" w:sz="4" w:space="0"/>
                    <w:bottom w:val="single" w:color="auto" w:sz="6" w:space="0"/>
                  </w:tcBorders>
                  <w:noWrap w:val="0"/>
                  <w:vAlign w:val="center"/>
                </w:tcPr>
                <w:p w14:paraId="49F8453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一周</w:t>
                  </w:r>
                </w:p>
              </w:tc>
              <w:tc>
                <w:tcPr>
                  <w:tcW w:w="688" w:type="dxa"/>
                  <w:vMerge w:val="continue"/>
                  <w:tcBorders>
                    <w:left w:val="single" w:color="auto" w:sz="4" w:space="0"/>
                  </w:tcBorders>
                  <w:noWrap w:val="0"/>
                  <w:vAlign w:val="center"/>
                </w:tcPr>
                <w:p w14:paraId="18BB35E5">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56DD6D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noWrap w:val="0"/>
                  <w:vAlign w:val="center"/>
                </w:tcPr>
                <w:p w14:paraId="29CA9EB8">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b w:val="0"/>
                      <w:bCs w:val="0"/>
                      <w:color w:val="auto"/>
                      <w:sz w:val="21"/>
                      <w:szCs w:val="21"/>
                      <w:highlight w:val="none"/>
                      <w:lang w:val="en-US" w:eastAsia="zh-CN"/>
                    </w:rPr>
                    <w:t>3</w:t>
                  </w:r>
                </w:p>
              </w:tc>
              <w:tc>
                <w:tcPr>
                  <w:tcW w:w="1310" w:type="dxa"/>
                  <w:tcBorders>
                    <w:top w:val="single" w:color="auto" w:sz="6" w:space="0"/>
                    <w:bottom w:val="single" w:color="auto" w:sz="6" w:space="0"/>
                  </w:tcBorders>
                  <w:noWrap w:val="0"/>
                  <w:vAlign w:val="center"/>
                </w:tcPr>
                <w:p w14:paraId="07EC0966">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eastAsia="宋体"/>
                      <w:b w:val="0"/>
                      <w:bCs w:val="0"/>
                      <w:color w:val="auto"/>
                      <w:sz w:val="21"/>
                      <w:szCs w:val="21"/>
                      <w:highlight w:val="none"/>
                      <w:lang w:val="en-US" w:eastAsia="zh-CN"/>
                    </w:rPr>
                    <w:t>球化剂</w:t>
                  </w:r>
                </w:p>
              </w:tc>
              <w:tc>
                <w:tcPr>
                  <w:tcW w:w="533" w:type="dxa"/>
                  <w:tcBorders>
                    <w:top w:val="single" w:color="auto" w:sz="6" w:space="0"/>
                    <w:bottom w:val="single" w:color="auto" w:sz="6" w:space="0"/>
                  </w:tcBorders>
                  <w:noWrap w:val="0"/>
                  <w:vAlign w:val="center"/>
                </w:tcPr>
                <w:p w14:paraId="6D0A153A">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b w:val="0"/>
                      <w:bCs w:val="0"/>
                      <w:color w:val="auto"/>
                      <w:sz w:val="21"/>
                      <w:szCs w:val="21"/>
                      <w:highlight w:val="none"/>
                    </w:rPr>
                    <w:t>t/a</w:t>
                  </w:r>
                </w:p>
              </w:tc>
              <w:tc>
                <w:tcPr>
                  <w:tcW w:w="1058" w:type="dxa"/>
                  <w:tcBorders>
                    <w:top w:val="single" w:color="auto" w:sz="6" w:space="0"/>
                    <w:bottom w:val="single" w:color="auto" w:sz="6" w:space="0"/>
                    <w:right w:val="single" w:color="auto" w:sz="4" w:space="0"/>
                  </w:tcBorders>
                  <w:noWrap w:val="0"/>
                  <w:vAlign w:val="center"/>
                </w:tcPr>
                <w:p w14:paraId="3525E197">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val="0"/>
                      <w:bCs w:val="0"/>
                      <w:color w:val="auto"/>
                      <w:sz w:val="21"/>
                      <w:szCs w:val="21"/>
                      <w:highlight w:val="none"/>
                      <w:lang w:val="en-US" w:eastAsia="zh-CN"/>
                    </w:rPr>
                    <w:t>120</w:t>
                  </w:r>
                </w:p>
              </w:tc>
              <w:tc>
                <w:tcPr>
                  <w:tcW w:w="1149" w:type="dxa"/>
                  <w:tcBorders>
                    <w:top w:val="single" w:color="auto" w:sz="6" w:space="0"/>
                    <w:bottom w:val="single" w:color="auto" w:sz="6" w:space="0"/>
                    <w:right w:val="single" w:color="auto" w:sz="4" w:space="0"/>
                  </w:tcBorders>
                  <w:noWrap w:val="0"/>
                  <w:vAlign w:val="center"/>
                </w:tcPr>
                <w:p w14:paraId="3188C7A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906" w:type="dxa"/>
                  <w:tcBorders>
                    <w:top w:val="single" w:color="auto" w:sz="6" w:space="0"/>
                    <w:bottom w:val="single" w:color="auto" w:sz="6" w:space="0"/>
                    <w:right w:val="single" w:color="auto" w:sz="4" w:space="0"/>
                  </w:tcBorders>
                  <w:noWrap w:val="0"/>
                  <w:vAlign w:val="center"/>
                </w:tcPr>
                <w:p w14:paraId="7B5E0FA1">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val="0"/>
                      <w:bCs w:val="0"/>
                      <w:color w:val="auto"/>
                      <w:sz w:val="21"/>
                      <w:szCs w:val="21"/>
                      <w:highlight w:val="none"/>
                      <w:lang w:val="en-US" w:eastAsia="zh-CN"/>
                    </w:rPr>
                    <w:t>120</w:t>
                  </w:r>
                </w:p>
              </w:tc>
              <w:tc>
                <w:tcPr>
                  <w:tcW w:w="933" w:type="dxa"/>
                  <w:tcBorders>
                    <w:top w:val="single" w:color="auto" w:sz="6" w:space="0"/>
                    <w:left w:val="single" w:color="auto" w:sz="4" w:space="0"/>
                    <w:bottom w:val="single" w:color="auto" w:sz="6" w:space="0"/>
                  </w:tcBorders>
                  <w:noWrap w:val="0"/>
                  <w:vAlign w:val="center"/>
                </w:tcPr>
                <w:p w14:paraId="1AEE55D9">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10</w:t>
                  </w:r>
                </w:p>
              </w:tc>
              <w:tc>
                <w:tcPr>
                  <w:tcW w:w="676" w:type="dxa"/>
                  <w:tcBorders>
                    <w:top w:val="single" w:color="auto" w:sz="6" w:space="0"/>
                    <w:left w:val="single" w:color="auto" w:sz="4" w:space="0"/>
                    <w:bottom w:val="single" w:color="auto" w:sz="6" w:space="0"/>
                  </w:tcBorders>
                  <w:noWrap w:val="0"/>
                  <w:vAlign w:val="center"/>
                </w:tcPr>
                <w:p w14:paraId="408E6EB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0D1683D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一个月</w:t>
                  </w:r>
                </w:p>
              </w:tc>
              <w:tc>
                <w:tcPr>
                  <w:tcW w:w="688" w:type="dxa"/>
                  <w:vMerge w:val="continue"/>
                  <w:tcBorders>
                    <w:left w:val="single" w:color="auto" w:sz="4" w:space="0"/>
                  </w:tcBorders>
                  <w:noWrap w:val="0"/>
                  <w:vAlign w:val="center"/>
                </w:tcPr>
                <w:p w14:paraId="73160C57">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2F18B7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noWrap w:val="0"/>
                  <w:vAlign w:val="center"/>
                </w:tcPr>
                <w:p w14:paraId="27C5FE76">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b w:val="0"/>
                      <w:bCs w:val="0"/>
                      <w:color w:val="auto"/>
                      <w:sz w:val="21"/>
                      <w:szCs w:val="21"/>
                      <w:highlight w:val="none"/>
                      <w:lang w:val="en-US" w:eastAsia="zh-CN"/>
                    </w:rPr>
                    <w:t>4</w:t>
                  </w:r>
                </w:p>
              </w:tc>
              <w:tc>
                <w:tcPr>
                  <w:tcW w:w="1310" w:type="dxa"/>
                  <w:tcBorders>
                    <w:top w:val="single" w:color="auto" w:sz="6" w:space="0"/>
                    <w:bottom w:val="single" w:color="auto" w:sz="6" w:space="0"/>
                  </w:tcBorders>
                  <w:noWrap w:val="0"/>
                  <w:vAlign w:val="center"/>
                </w:tcPr>
                <w:p w14:paraId="29D28AF1">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eastAsia="宋体"/>
                      <w:b w:val="0"/>
                      <w:bCs w:val="0"/>
                      <w:color w:val="auto"/>
                      <w:sz w:val="21"/>
                      <w:szCs w:val="21"/>
                      <w:highlight w:val="none"/>
                      <w:lang w:val="en-US" w:eastAsia="zh-CN"/>
                    </w:rPr>
                    <w:t>孕育剂</w:t>
                  </w:r>
                </w:p>
              </w:tc>
              <w:tc>
                <w:tcPr>
                  <w:tcW w:w="533" w:type="dxa"/>
                  <w:tcBorders>
                    <w:top w:val="single" w:color="auto" w:sz="6" w:space="0"/>
                    <w:bottom w:val="single" w:color="auto" w:sz="6" w:space="0"/>
                  </w:tcBorders>
                  <w:noWrap w:val="0"/>
                  <w:vAlign w:val="center"/>
                </w:tcPr>
                <w:p w14:paraId="37F4952F">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b w:val="0"/>
                      <w:bCs w:val="0"/>
                      <w:color w:val="auto"/>
                      <w:sz w:val="21"/>
                      <w:szCs w:val="21"/>
                      <w:highlight w:val="none"/>
                    </w:rPr>
                    <w:t>t/a</w:t>
                  </w:r>
                </w:p>
              </w:tc>
              <w:tc>
                <w:tcPr>
                  <w:tcW w:w="1058" w:type="dxa"/>
                  <w:tcBorders>
                    <w:top w:val="single" w:color="auto" w:sz="6" w:space="0"/>
                    <w:bottom w:val="single" w:color="auto" w:sz="6" w:space="0"/>
                    <w:right w:val="single" w:color="auto" w:sz="4" w:space="0"/>
                  </w:tcBorders>
                  <w:noWrap w:val="0"/>
                  <w:vAlign w:val="center"/>
                </w:tcPr>
                <w:p w14:paraId="5B4E9BE5">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val="0"/>
                      <w:bCs w:val="0"/>
                      <w:color w:val="auto"/>
                      <w:sz w:val="21"/>
                      <w:szCs w:val="21"/>
                      <w:highlight w:val="none"/>
                      <w:lang w:val="en-US" w:eastAsia="zh-CN"/>
                    </w:rPr>
                    <w:t>80</w:t>
                  </w:r>
                </w:p>
              </w:tc>
              <w:tc>
                <w:tcPr>
                  <w:tcW w:w="1149" w:type="dxa"/>
                  <w:tcBorders>
                    <w:top w:val="single" w:color="auto" w:sz="6" w:space="0"/>
                    <w:bottom w:val="single" w:color="auto" w:sz="6" w:space="0"/>
                    <w:right w:val="single" w:color="auto" w:sz="4" w:space="0"/>
                  </w:tcBorders>
                  <w:noWrap w:val="0"/>
                  <w:vAlign w:val="center"/>
                </w:tcPr>
                <w:p w14:paraId="319AF9C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c>
                <w:tcPr>
                  <w:tcW w:w="906" w:type="dxa"/>
                  <w:tcBorders>
                    <w:top w:val="single" w:color="auto" w:sz="6" w:space="0"/>
                    <w:bottom w:val="single" w:color="auto" w:sz="6" w:space="0"/>
                    <w:right w:val="single" w:color="auto" w:sz="4" w:space="0"/>
                  </w:tcBorders>
                  <w:noWrap w:val="0"/>
                  <w:vAlign w:val="center"/>
                </w:tcPr>
                <w:p w14:paraId="0B2D3E77">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b w:val="0"/>
                      <w:bCs w:val="0"/>
                      <w:color w:val="auto"/>
                      <w:sz w:val="21"/>
                      <w:szCs w:val="21"/>
                      <w:highlight w:val="none"/>
                      <w:lang w:val="en-US" w:eastAsia="zh-CN"/>
                    </w:rPr>
                    <w:t>80</w:t>
                  </w:r>
                </w:p>
              </w:tc>
              <w:tc>
                <w:tcPr>
                  <w:tcW w:w="933" w:type="dxa"/>
                  <w:tcBorders>
                    <w:top w:val="single" w:color="auto" w:sz="6" w:space="0"/>
                    <w:left w:val="single" w:color="auto" w:sz="4" w:space="0"/>
                    <w:bottom w:val="single" w:color="auto" w:sz="6" w:space="0"/>
                  </w:tcBorders>
                  <w:noWrap w:val="0"/>
                  <w:vAlign w:val="center"/>
                </w:tcPr>
                <w:p w14:paraId="65671B5F">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6.7</w:t>
                  </w:r>
                </w:p>
              </w:tc>
              <w:tc>
                <w:tcPr>
                  <w:tcW w:w="676" w:type="dxa"/>
                  <w:tcBorders>
                    <w:top w:val="single" w:color="auto" w:sz="6" w:space="0"/>
                    <w:left w:val="single" w:color="auto" w:sz="4" w:space="0"/>
                    <w:bottom w:val="single" w:color="auto" w:sz="6" w:space="0"/>
                  </w:tcBorders>
                  <w:noWrap w:val="0"/>
                  <w:vAlign w:val="center"/>
                </w:tcPr>
                <w:p w14:paraId="606700F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shd w:val="clear" w:color="auto" w:fill="auto"/>
                  <w:noWrap w:val="0"/>
                  <w:vAlign w:val="center"/>
                </w:tcPr>
                <w:p w14:paraId="4BD38D1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一个月</w:t>
                  </w:r>
                </w:p>
              </w:tc>
              <w:tc>
                <w:tcPr>
                  <w:tcW w:w="688" w:type="dxa"/>
                  <w:vMerge w:val="continue"/>
                  <w:tcBorders>
                    <w:left w:val="single" w:color="auto" w:sz="4" w:space="0"/>
                  </w:tcBorders>
                  <w:noWrap w:val="0"/>
                  <w:vAlign w:val="center"/>
                </w:tcPr>
                <w:p w14:paraId="3D1AEE53">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57C4D5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3" w:type="dxa"/>
                  <w:tcBorders>
                    <w:top w:val="single" w:color="auto" w:sz="6" w:space="0"/>
                    <w:bottom w:val="single" w:color="auto" w:sz="6" w:space="0"/>
                  </w:tcBorders>
                  <w:noWrap w:val="0"/>
                  <w:vAlign w:val="center"/>
                </w:tcPr>
                <w:p w14:paraId="5800D66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w:t>
                  </w:r>
                </w:p>
              </w:tc>
              <w:tc>
                <w:tcPr>
                  <w:tcW w:w="1310" w:type="dxa"/>
                  <w:tcBorders>
                    <w:top w:val="single" w:color="auto" w:sz="6" w:space="0"/>
                    <w:bottom w:val="single" w:color="auto" w:sz="6" w:space="0"/>
                  </w:tcBorders>
                  <w:noWrap w:val="0"/>
                  <w:vAlign w:val="center"/>
                </w:tcPr>
                <w:p w14:paraId="6527551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石英砂</w:t>
                  </w:r>
                </w:p>
              </w:tc>
              <w:tc>
                <w:tcPr>
                  <w:tcW w:w="533" w:type="dxa"/>
                  <w:tcBorders>
                    <w:top w:val="single" w:color="auto" w:sz="6" w:space="0"/>
                    <w:bottom w:val="single" w:color="auto" w:sz="6" w:space="0"/>
                  </w:tcBorders>
                  <w:noWrap w:val="0"/>
                  <w:vAlign w:val="center"/>
                </w:tcPr>
                <w:p w14:paraId="44B5F95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6C2FC8C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8000</w:t>
                  </w:r>
                </w:p>
              </w:tc>
              <w:tc>
                <w:tcPr>
                  <w:tcW w:w="1149" w:type="dxa"/>
                  <w:tcBorders>
                    <w:top w:val="single" w:color="auto" w:sz="6" w:space="0"/>
                    <w:bottom w:val="single" w:color="auto" w:sz="6" w:space="0"/>
                    <w:right w:val="single" w:color="auto" w:sz="4" w:space="0"/>
                  </w:tcBorders>
                  <w:noWrap w:val="0"/>
                  <w:vAlign w:val="center"/>
                </w:tcPr>
                <w:p w14:paraId="14E7E01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500</w:t>
                  </w:r>
                </w:p>
              </w:tc>
              <w:tc>
                <w:tcPr>
                  <w:tcW w:w="906" w:type="dxa"/>
                  <w:tcBorders>
                    <w:top w:val="single" w:color="auto" w:sz="6" w:space="0"/>
                    <w:bottom w:val="single" w:color="auto" w:sz="6" w:space="0"/>
                    <w:right w:val="single" w:color="auto" w:sz="4" w:space="0"/>
                  </w:tcBorders>
                  <w:noWrap w:val="0"/>
                  <w:vAlign w:val="center"/>
                </w:tcPr>
                <w:p w14:paraId="088F701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8500</w:t>
                  </w:r>
                </w:p>
              </w:tc>
              <w:tc>
                <w:tcPr>
                  <w:tcW w:w="933" w:type="dxa"/>
                  <w:tcBorders>
                    <w:top w:val="single" w:color="auto" w:sz="6" w:space="0"/>
                    <w:left w:val="single" w:color="auto" w:sz="4" w:space="0"/>
                    <w:bottom w:val="single" w:color="auto" w:sz="6" w:space="0"/>
                  </w:tcBorders>
                  <w:noWrap w:val="0"/>
                  <w:vAlign w:val="center"/>
                </w:tcPr>
                <w:p w14:paraId="7F7100A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200</w:t>
                  </w:r>
                </w:p>
              </w:tc>
              <w:tc>
                <w:tcPr>
                  <w:tcW w:w="676" w:type="dxa"/>
                  <w:tcBorders>
                    <w:top w:val="single" w:color="auto" w:sz="6" w:space="0"/>
                    <w:left w:val="single" w:color="auto" w:sz="4" w:space="0"/>
                    <w:bottom w:val="single" w:color="auto" w:sz="6" w:space="0"/>
                  </w:tcBorders>
                  <w:noWrap w:val="0"/>
                  <w:vAlign w:val="center"/>
                </w:tcPr>
                <w:p w14:paraId="092201C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02BC700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一周</w:t>
                  </w:r>
                </w:p>
              </w:tc>
              <w:tc>
                <w:tcPr>
                  <w:tcW w:w="688" w:type="dxa"/>
                  <w:vMerge w:val="continue"/>
                  <w:tcBorders>
                    <w:left w:val="single" w:color="auto" w:sz="4" w:space="0"/>
                  </w:tcBorders>
                  <w:noWrap w:val="0"/>
                  <w:vAlign w:val="center"/>
                </w:tcPr>
                <w:p w14:paraId="7A3460E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495AEE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3" w:type="dxa"/>
                  <w:tcBorders>
                    <w:top w:val="single" w:color="auto" w:sz="6" w:space="0"/>
                    <w:bottom w:val="single" w:color="auto" w:sz="6" w:space="0"/>
                  </w:tcBorders>
                  <w:noWrap w:val="0"/>
                  <w:vAlign w:val="center"/>
                </w:tcPr>
                <w:p w14:paraId="77323C5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6</w:t>
                  </w:r>
                </w:p>
              </w:tc>
              <w:tc>
                <w:tcPr>
                  <w:tcW w:w="1310" w:type="dxa"/>
                  <w:tcBorders>
                    <w:top w:val="single" w:color="auto" w:sz="6" w:space="0"/>
                    <w:bottom w:val="single" w:color="auto" w:sz="6" w:space="0"/>
                  </w:tcBorders>
                  <w:noWrap w:val="0"/>
                  <w:vAlign w:val="center"/>
                </w:tcPr>
                <w:p w14:paraId="0517017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覆膜砂</w:t>
                  </w:r>
                </w:p>
              </w:tc>
              <w:tc>
                <w:tcPr>
                  <w:tcW w:w="533" w:type="dxa"/>
                  <w:tcBorders>
                    <w:top w:val="single" w:color="auto" w:sz="6" w:space="0"/>
                    <w:bottom w:val="single" w:color="auto" w:sz="6" w:space="0"/>
                  </w:tcBorders>
                  <w:noWrap w:val="0"/>
                  <w:vAlign w:val="center"/>
                </w:tcPr>
                <w:p w14:paraId="2C9ADE6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3A0B782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800</w:t>
                  </w:r>
                </w:p>
              </w:tc>
              <w:tc>
                <w:tcPr>
                  <w:tcW w:w="1149" w:type="dxa"/>
                  <w:tcBorders>
                    <w:top w:val="single" w:color="auto" w:sz="6" w:space="0"/>
                    <w:bottom w:val="single" w:color="auto" w:sz="6" w:space="0"/>
                    <w:right w:val="single" w:color="auto" w:sz="4" w:space="0"/>
                  </w:tcBorders>
                  <w:noWrap w:val="0"/>
                  <w:vAlign w:val="center"/>
                </w:tcPr>
                <w:p w14:paraId="1BE4437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350</w:t>
                  </w:r>
                </w:p>
              </w:tc>
              <w:tc>
                <w:tcPr>
                  <w:tcW w:w="906" w:type="dxa"/>
                  <w:tcBorders>
                    <w:top w:val="single" w:color="auto" w:sz="6" w:space="0"/>
                    <w:bottom w:val="single" w:color="auto" w:sz="6" w:space="0"/>
                    <w:right w:val="single" w:color="auto" w:sz="4" w:space="0"/>
                  </w:tcBorders>
                  <w:noWrap w:val="0"/>
                  <w:vAlign w:val="center"/>
                </w:tcPr>
                <w:p w14:paraId="423D196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1150</w:t>
                  </w:r>
                </w:p>
              </w:tc>
              <w:tc>
                <w:tcPr>
                  <w:tcW w:w="933" w:type="dxa"/>
                  <w:tcBorders>
                    <w:top w:val="single" w:color="auto" w:sz="6" w:space="0"/>
                    <w:left w:val="single" w:color="auto" w:sz="4" w:space="0"/>
                    <w:bottom w:val="single" w:color="auto" w:sz="6" w:space="0"/>
                  </w:tcBorders>
                  <w:noWrap w:val="0"/>
                  <w:vAlign w:val="center"/>
                </w:tcPr>
                <w:p w14:paraId="527ED61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100</w:t>
                  </w:r>
                </w:p>
              </w:tc>
              <w:tc>
                <w:tcPr>
                  <w:tcW w:w="676" w:type="dxa"/>
                  <w:tcBorders>
                    <w:top w:val="single" w:color="auto" w:sz="6" w:space="0"/>
                    <w:left w:val="single" w:color="auto" w:sz="4" w:space="0"/>
                    <w:bottom w:val="single" w:color="auto" w:sz="6" w:space="0"/>
                  </w:tcBorders>
                  <w:noWrap w:val="0"/>
                  <w:vAlign w:val="center"/>
                </w:tcPr>
                <w:p w14:paraId="6152316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5BE257A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一个月</w:t>
                  </w:r>
                </w:p>
              </w:tc>
              <w:tc>
                <w:tcPr>
                  <w:tcW w:w="688" w:type="dxa"/>
                  <w:vMerge w:val="continue"/>
                  <w:tcBorders>
                    <w:left w:val="single" w:color="auto" w:sz="4" w:space="0"/>
                  </w:tcBorders>
                  <w:noWrap w:val="0"/>
                  <w:vAlign w:val="center"/>
                </w:tcPr>
                <w:p w14:paraId="28A1A46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67CC35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3" w:type="dxa"/>
                  <w:tcBorders>
                    <w:top w:val="single" w:color="auto" w:sz="6" w:space="0"/>
                    <w:bottom w:val="single" w:color="auto" w:sz="6" w:space="0"/>
                  </w:tcBorders>
                  <w:shd w:val="clear" w:color="auto" w:fill="auto"/>
                  <w:noWrap w:val="0"/>
                  <w:vAlign w:val="center"/>
                </w:tcPr>
                <w:p w14:paraId="4637612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7</w:t>
                  </w:r>
                </w:p>
              </w:tc>
              <w:tc>
                <w:tcPr>
                  <w:tcW w:w="1310" w:type="dxa"/>
                  <w:tcBorders>
                    <w:top w:val="single" w:color="auto" w:sz="6" w:space="0"/>
                    <w:bottom w:val="single" w:color="auto" w:sz="6" w:space="0"/>
                  </w:tcBorders>
                  <w:noWrap w:val="0"/>
                  <w:vAlign w:val="center"/>
                </w:tcPr>
                <w:p w14:paraId="225FF55F">
                  <w:pPr>
                    <w:keepNext w:val="0"/>
                    <w:keepLines w:val="0"/>
                    <w:widowControl/>
                    <w:suppressLineNumbers w:val="0"/>
                    <w:jc w:val="center"/>
                    <w:textAlignment w:val="center"/>
                    <w:rPr>
                      <w:rFonts w:hint="default"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三乙胺</w:t>
                  </w:r>
                </w:p>
              </w:tc>
              <w:tc>
                <w:tcPr>
                  <w:tcW w:w="533" w:type="dxa"/>
                  <w:tcBorders>
                    <w:top w:val="single" w:color="auto" w:sz="6" w:space="0"/>
                    <w:bottom w:val="single" w:color="auto" w:sz="6" w:space="0"/>
                  </w:tcBorders>
                  <w:noWrap w:val="0"/>
                  <w:vAlign w:val="center"/>
                </w:tcPr>
                <w:p w14:paraId="46F96E1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71CD11A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0</w:t>
                  </w:r>
                </w:p>
              </w:tc>
              <w:tc>
                <w:tcPr>
                  <w:tcW w:w="1149" w:type="dxa"/>
                  <w:tcBorders>
                    <w:top w:val="single" w:color="auto" w:sz="6" w:space="0"/>
                    <w:bottom w:val="single" w:color="auto" w:sz="6" w:space="0"/>
                    <w:right w:val="single" w:color="auto" w:sz="4" w:space="0"/>
                  </w:tcBorders>
                  <w:noWrap w:val="0"/>
                  <w:vAlign w:val="center"/>
                </w:tcPr>
                <w:p w14:paraId="728A538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0.5</w:t>
                  </w:r>
                </w:p>
              </w:tc>
              <w:tc>
                <w:tcPr>
                  <w:tcW w:w="906" w:type="dxa"/>
                  <w:tcBorders>
                    <w:top w:val="single" w:color="auto" w:sz="6" w:space="0"/>
                    <w:bottom w:val="single" w:color="auto" w:sz="6" w:space="0"/>
                    <w:right w:val="single" w:color="auto" w:sz="4" w:space="0"/>
                  </w:tcBorders>
                  <w:noWrap w:val="0"/>
                  <w:vAlign w:val="center"/>
                </w:tcPr>
                <w:p w14:paraId="064C88C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0.5</w:t>
                  </w:r>
                </w:p>
              </w:tc>
              <w:tc>
                <w:tcPr>
                  <w:tcW w:w="933" w:type="dxa"/>
                  <w:tcBorders>
                    <w:top w:val="single" w:color="auto" w:sz="6" w:space="0"/>
                    <w:left w:val="single" w:color="auto" w:sz="4" w:space="0"/>
                    <w:bottom w:val="single" w:color="auto" w:sz="6" w:space="0"/>
                  </w:tcBorders>
                  <w:noWrap w:val="0"/>
                  <w:vAlign w:val="center"/>
                </w:tcPr>
                <w:p w14:paraId="7F6B313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0.05</w:t>
                  </w:r>
                </w:p>
              </w:tc>
              <w:tc>
                <w:tcPr>
                  <w:tcW w:w="676" w:type="dxa"/>
                  <w:tcBorders>
                    <w:top w:val="single" w:color="auto" w:sz="6" w:space="0"/>
                    <w:left w:val="single" w:color="auto" w:sz="4" w:space="0"/>
                    <w:bottom w:val="single" w:color="auto" w:sz="6" w:space="0"/>
                  </w:tcBorders>
                  <w:noWrap w:val="0"/>
                  <w:vAlign w:val="center"/>
                </w:tcPr>
                <w:p w14:paraId="3F54E9D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灌装</w:t>
                  </w:r>
                </w:p>
              </w:tc>
              <w:tc>
                <w:tcPr>
                  <w:tcW w:w="901" w:type="dxa"/>
                  <w:tcBorders>
                    <w:top w:val="single" w:color="auto" w:sz="6" w:space="0"/>
                    <w:left w:val="single" w:color="auto" w:sz="4" w:space="0"/>
                    <w:bottom w:val="single" w:color="auto" w:sz="6" w:space="0"/>
                  </w:tcBorders>
                  <w:noWrap w:val="0"/>
                  <w:vAlign w:val="center"/>
                </w:tcPr>
                <w:p w14:paraId="4496A9ED">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一个月</w:t>
                  </w:r>
                </w:p>
              </w:tc>
              <w:tc>
                <w:tcPr>
                  <w:tcW w:w="688" w:type="dxa"/>
                  <w:vMerge w:val="continue"/>
                  <w:tcBorders>
                    <w:left w:val="single" w:color="auto" w:sz="4" w:space="0"/>
                  </w:tcBorders>
                  <w:noWrap w:val="0"/>
                  <w:vAlign w:val="center"/>
                </w:tcPr>
                <w:p w14:paraId="64FE224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0B0156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3" w:type="dxa"/>
                  <w:tcBorders>
                    <w:top w:val="single" w:color="auto" w:sz="6" w:space="0"/>
                    <w:bottom w:val="single" w:color="auto" w:sz="6" w:space="0"/>
                  </w:tcBorders>
                  <w:shd w:val="clear" w:color="auto" w:fill="auto"/>
                  <w:noWrap w:val="0"/>
                  <w:vAlign w:val="center"/>
                </w:tcPr>
                <w:p w14:paraId="1989A30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8</w:t>
                  </w:r>
                </w:p>
              </w:tc>
              <w:tc>
                <w:tcPr>
                  <w:tcW w:w="1310" w:type="dxa"/>
                  <w:tcBorders>
                    <w:top w:val="single" w:color="auto" w:sz="6" w:space="0"/>
                    <w:bottom w:val="single" w:color="auto" w:sz="6" w:space="0"/>
                  </w:tcBorders>
                  <w:noWrap w:val="0"/>
                  <w:vAlign w:val="center"/>
                </w:tcPr>
                <w:p w14:paraId="65F1A0A5">
                  <w:pPr>
                    <w:keepNext w:val="0"/>
                    <w:keepLines w:val="0"/>
                    <w:widowControl/>
                    <w:suppressLineNumbers w:val="0"/>
                    <w:jc w:val="center"/>
                    <w:textAlignment w:val="center"/>
                    <w:rPr>
                      <w:rFonts w:hint="default"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酚醛树脂</w:t>
                  </w:r>
                </w:p>
              </w:tc>
              <w:tc>
                <w:tcPr>
                  <w:tcW w:w="533" w:type="dxa"/>
                  <w:tcBorders>
                    <w:top w:val="single" w:color="auto" w:sz="6" w:space="0"/>
                    <w:bottom w:val="single" w:color="auto" w:sz="6" w:space="0"/>
                  </w:tcBorders>
                  <w:noWrap w:val="0"/>
                  <w:vAlign w:val="center"/>
                </w:tcPr>
                <w:p w14:paraId="28DB198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5D9D446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0</w:t>
                  </w:r>
                </w:p>
              </w:tc>
              <w:tc>
                <w:tcPr>
                  <w:tcW w:w="1149" w:type="dxa"/>
                  <w:tcBorders>
                    <w:top w:val="single" w:color="auto" w:sz="6" w:space="0"/>
                    <w:bottom w:val="single" w:color="auto" w:sz="6" w:space="0"/>
                    <w:right w:val="single" w:color="auto" w:sz="4" w:space="0"/>
                  </w:tcBorders>
                  <w:noWrap w:val="0"/>
                  <w:vAlign w:val="center"/>
                </w:tcPr>
                <w:p w14:paraId="78F3C2B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10</w:t>
                  </w:r>
                </w:p>
              </w:tc>
              <w:tc>
                <w:tcPr>
                  <w:tcW w:w="906" w:type="dxa"/>
                  <w:tcBorders>
                    <w:top w:val="single" w:color="auto" w:sz="6" w:space="0"/>
                    <w:bottom w:val="single" w:color="auto" w:sz="6" w:space="0"/>
                    <w:right w:val="single" w:color="auto" w:sz="4" w:space="0"/>
                  </w:tcBorders>
                  <w:noWrap w:val="0"/>
                  <w:vAlign w:val="center"/>
                </w:tcPr>
                <w:p w14:paraId="2871498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10</w:t>
                  </w:r>
                </w:p>
              </w:tc>
              <w:tc>
                <w:tcPr>
                  <w:tcW w:w="933" w:type="dxa"/>
                  <w:tcBorders>
                    <w:top w:val="single" w:color="auto" w:sz="6" w:space="0"/>
                    <w:left w:val="single" w:color="auto" w:sz="4" w:space="0"/>
                    <w:bottom w:val="single" w:color="auto" w:sz="6" w:space="0"/>
                  </w:tcBorders>
                  <w:noWrap w:val="0"/>
                  <w:vAlign w:val="center"/>
                </w:tcPr>
                <w:p w14:paraId="1BC9861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1</w:t>
                  </w:r>
                </w:p>
              </w:tc>
              <w:tc>
                <w:tcPr>
                  <w:tcW w:w="676" w:type="dxa"/>
                  <w:tcBorders>
                    <w:top w:val="single" w:color="auto" w:sz="6" w:space="0"/>
                    <w:left w:val="single" w:color="auto" w:sz="4" w:space="0"/>
                    <w:bottom w:val="single" w:color="auto" w:sz="6" w:space="0"/>
                  </w:tcBorders>
                  <w:noWrap w:val="0"/>
                  <w:vAlign w:val="center"/>
                </w:tcPr>
                <w:p w14:paraId="2C7E0B0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桶装</w:t>
                  </w:r>
                </w:p>
              </w:tc>
              <w:tc>
                <w:tcPr>
                  <w:tcW w:w="901" w:type="dxa"/>
                  <w:tcBorders>
                    <w:top w:val="single" w:color="auto" w:sz="6" w:space="0"/>
                    <w:left w:val="single" w:color="auto" w:sz="4" w:space="0"/>
                    <w:bottom w:val="single" w:color="auto" w:sz="6" w:space="0"/>
                  </w:tcBorders>
                  <w:noWrap w:val="0"/>
                  <w:vAlign w:val="center"/>
                </w:tcPr>
                <w:p w14:paraId="49642C41">
                  <w:pPr>
                    <w:keepNext w:val="0"/>
                    <w:keepLines w:val="0"/>
                    <w:widowControl/>
                    <w:suppressLineNumbers w:val="0"/>
                    <w:jc w:val="center"/>
                    <w:textAlignment w:val="cente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一个月</w:t>
                  </w:r>
                </w:p>
              </w:tc>
              <w:tc>
                <w:tcPr>
                  <w:tcW w:w="688" w:type="dxa"/>
                  <w:vMerge w:val="continue"/>
                  <w:tcBorders>
                    <w:left w:val="single" w:color="auto" w:sz="4" w:space="0"/>
                  </w:tcBorders>
                  <w:noWrap w:val="0"/>
                  <w:vAlign w:val="center"/>
                </w:tcPr>
                <w:p w14:paraId="5058969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2610CA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3" w:type="dxa"/>
                  <w:tcBorders>
                    <w:top w:val="single" w:color="auto" w:sz="6" w:space="0"/>
                    <w:bottom w:val="single" w:color="auto" w:sz="6" w:space="0"/>
                  </w:tcBorders>
                  <w:shd w:val="clear" w:color="auto" w:fill="auto"/>
                  <w:noWrap w:val="0"/>
                  <w:vAlign w:val="center"/>
                </w:tcPr>
                <w:p w14:paraId="4A395F5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9</w:t>
                  </w:r>
                </w:p>
              </w:tc>
              <w:tc>
                <w:tcPr>
                  <w:tcW w:w="1310" w:type="dxa"/>
                  <w:tcBorders>
                    <w:top w:val="single" w:color="auto" w:sz="6" w:space="0"/>
                    <w:bottom w:val="single" w:color="auto" w:sz="6" w:space="0"/>
                  </w:tcBorders>
                  <w:noWrap w:val="0"/>
                  <w:vAlign w:val="center"/>
                </w:tcPr>
                <w:p w14:paraId="371B5EF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膨润土</w:t>
                  </w:r>
                </w:p>
              </w:tc>
              <w:tc>
                <w:tcPr>
                  <w:tcW w:w="533" w:type="dxa"/>
                  <w:tcBorders>
                    <w:top w:val="single" w:color="auto" w:sz="6" w:space="0"/>
                    <w:bottom w:val="single" w:color="auto" w:sz="6" w:space="0"/>
                  </w:tcBorders>
                  <w:noWrap w:val="0"/>
                  <w:vAlign w:val="center"/>
                </w:tcPr>
                <w:p w14:paraId="0A54F0F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1A3C480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500</w:t>
                  </w:r>
                </w:p>
              </w:tc>
              <w:tc>
                <w:tcPr>
                  <w:tcW w:w="1149" w:type="dxa"/>
                  <w:tcBorders>
                    <w:top w:val="single" w:color="auto" w:sz="6" w:space="0"/>
                    <w:bottom w:val="single" w:color="auto" w:sz="6" w:space="0"/>
                    <w:right w:val="single" w:color="auto" w:sz="4" w:space="0"/>
                  </w:tcBorders>
                  <w:noWrap w:val="0"/>
                  <w:vAlign w:val="center"/>
                </w:tcPr>
                <w:p w14:paraId="390552B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w:t>
                  </w:r>
                </w:p>
              </w:tc>
              <w:tc>
                <w:tcPr>
                  <w:tcW w:w="906" w:type="dxa"/>
                  <w:tcBorders>
                    <w:top w:val="single" w:color="auto" w:sz="6" w:space="0"/>
                    <w:bottom w:val="single" w:color="auto" w:sz="6" w:space="0"/>
                    <w:right w:val="single" w:color="auto" w:sz="4" w:space="0"/>
                  </w:tcBorders>
                  <w:noWrap w:val="0"/>
                  <w:vAlign w:val="center"/>
                </w:tcPr>
                <w:p w14:paraId="32EE1F2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5</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w:t>
                  </w: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0</w:t>
                  </w:r>
                </w:p>
              </w:tc>
              <w:tc>
                <w:tcPr>
                  <w:tcW w:w="933" w:type="dxa"/>
                  <w:tcBorders>
                    <w:top w:val="single" w:color="auto" w:sz="6" w:space="0"/>
                    <w:left w:val="single" w:color="auto" w:sz="4" w:space="0"/>
                    <w:bottom w:val="single" w:color="auto" w:sz="6" w:space="0"/>
                  </w:tcBorders>
                  <w:noWrap w:val="0"/>
                  <w:vAlign w:val="center"/>
                </w:tcPr>
                <w:p w14:paraId="093EA01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20</w:t>
                  </w:r>
                </w:p>
              </w:tc>
              <w:tc>
                <w:tcPr>
                  <w:tcW w:w="676" w:type="dxa"/>
                  <w:tcBorders>
                    <w:top w:val="single" w:color="auto" w:sz="6" w:space="0"/>
                    <w:left w:val="single" w:color="auto" w:sz="4" w:space="0"/>
                    <w:bottom w:val="single" w:color="auto" w:sz="6" w:space="0"/>
                  </w:tcBorders>
                  <w:noWrap w:val="0"/>
                  <w:vAlign w:val="center"/>
                </w:tcPr>
                <w:p w14:paraId="7D05F8D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4EF1A07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一周</w:t>
                  </w:r>
                </w:p>
              </w:tc>
              <w:tc>
                <w:tcPr>
                  <w:tcW w:w="688" w:type="dxa"/>
                  <w:vMerge w:val="continue"/>
                  <w:tcBorders>
                    <w:left w:val="single" w:color="auto" w:sz="4" w:space="0"/>
                  </w:tcBorders>
                  <w:noWrap w:val="0"/>
                  <w:vAlign w:val="center"/>
                </w:tcPr>
                <w:p w14:paraId="69B0995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0DAAC1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shd w:val="clear" w:color="auto" w:fill="auto"/>
                  <w:noWrap w:val="0"/>
                  <w:vAlign w:val="center"/>
                </w:tcPr>
                <w:p w14:paraId="100D964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10</w:t>
                  </w:r>
                </w:p>
              </w:tc>
              <w:tc>
                <w:tcPr>
                  <w:tcW w:w="1310" w:type="dxa"/>
                  <w:tcBorders>
                    <w:top w:val="single" w:color="auto" w:sz="6" w:space="0"/>
                    <w:bottom w:val="single" w:color="auto" w:sz="6" w:space="0"/>
                  </w:tcBorders>
                  <w:noWrap w:val="0"/>
                  <w:vAlign w:val="center"/>
                </w:tcPr>
                <w:p w14:paraId="5374078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煤粉</w:t>
                  </w:r>
                </w:p>
              </w:tc>
              <w:tc>
                <w:tcPr>
                  <w:tcW w:w="533" w:type="dxa"/>
                  <w:tcBorders>
                    <w:top w:val="single" w:color="auto" w:sz="6" w:space="0"/>
                    <w:bottom w:val="single" w:color="auto" w:sz="6" w:space="0"/>
                  </w:tcBorders>
                  <w:noWrap w:val="0"/>
                  <w:vAlign w:val="center"/>
                </w:tcPr>
                <w:p w14:paraId="7701423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777BBE2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40</w:t>
                  </w:r>
                </w:p>
              </w:tc>
              <w:tc>
                <w:tcPr>
                  <w:tcW w:w="1149" w:type="dxa"/>
                  <w:tcBorders>
                    <w:top w:val="single" w:color="auto" w:sz="6" w:space="0"/>
                    <w:bottom w:val="single" w:color="auto" w:sz="6" w:space="0"/>
                    <w:right w:val="single" w:color="auto" w:sz="4" w:space="0"/>
                  </w:tcBorders>
                  <w:noWrap w:val="0"/>
                  <w:vAlign w:val="center"/>
                </w:tcPr>
                <w:p w14:paraId="4DC341A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w:t>
                  </w:r>
                </w:p>
              </w:tc>
              <w:tc>
                <w:tcPr>
                  <w:tcW w:w="906" w:type="dxa"/>
                  <w:tcBorders>
                    <w:top w:val="single" w:color="auto" w:sz="6" w:space="0"/>
                    <w:bottom w:val="single" w:color="auto" w:sz="6" w:space="0"/>
                    <w:right w:val="single" w:color="auto" w:sz="4" w:space="0"/>
                  </w:tcBorders>
                  <w:noWrap w:val="0"/>
                  <w:vAlign w:val="center"/>
                </w:tcPr>
                <w:p w14:paraId="79BC1BB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4</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w:t>
                  </w:r>
                </w:p>
              </w:tc>
              <w:tc>
                <w:tcPr>
                  <w:tcW w:w="933" w:type="dxa"/>
                  <w:tcBorders>
                    <w:top w:val="single" w:color="auto" w:sz="6" w:space="0"/>
                    <w:left w:val="single" w:color="auto" w:sz="4" w:space="0"/>
                    <w:bottom w:val="single" w:color="auto" w:sz="6" w:space="0"/>
                  </w:tcBorders>
                  <w:noWrap w:val="0"/>
                  <w:vAlign w:val="center"/>
                </w:tcPr>
                <w:p w14:paraId="41CC8C9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7</w:t>
                  </w:r>
                </w:p>
              </w:tc>
              <w:tc>
                <w:tcPr>
                  <w:tcW w:w="676" w:type="dxa"/>
                  <w:tcBorders>
                    <w:top w:val="single" w:color="auto" w:sz="6" w:space="0"/>
                    <w:left w:val="single" w:color="auto" w:sz="4" w:space="0"/>
                    <w:bottom w:val="single" w:color="auto" w:sz="6" w:space="0"/>
                  </w:tcBorders>
                  <w:noWrap w:val="0"/>
                  <w:vAlign w:val="center"/>
                </w:tcPr>
                <w:p w14:paraId="47966B3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000CDC7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两</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个月</w:t>
                  </w:r>
                </w:p>
              </w:tc>
              <w:tc>
                <w:tcPr>
                  <w:tcW w:w="688" w:type="dxa"/>
                  <w:vMerge w:val="continue"/>
                  <w:tcBorders>
                    <w:left w:val="single" w:color="auto" w:sz="4" w:space="0"/>
                  </w:tcBorders>
                  <w:noWrap w:val="0"/>
                  <w:vAlign w:val="center"/>
                </w:tcPr>
                <w:p w14:paraId="59430CF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002EAF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shd w:val="clear" w:color="auto" w:fill="auto"/>
                  <w:noWrap w:val="0"/>
                  <w:vAlign w:val="center"/>
                </w:tcPr>
                <w:p w14:paraId="5CED9D1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11</w:t>
                  </w:r>
                </w:p>
              </w:tc>
              <w:tc>
                <w:tcPr>
                  <w:tcW w:w="1310" w:type="dxa"/>
                  <w:tcBorders>
                    <w:top w:val="single" w:color="auto" w:sz="6" w:space="0"/>
                    <w:bottom w:val="single" w:color="auto" w:sz="6" w:space="0"/>
                  </w:tcBorders>
                  <w:noWrap w:val="0"/>
                  <w:vAlign w:val="center"/>
                </w:tcPr>
                <w:p w14:paraId="40E3A2F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钢丸</w:t>
                  </w:r>
                </w:p>
              </w:tc>
              <w:tc>
                <w:tcPr>
                  <w:tcW w:w="533" w:type="dxa"/>
                  <w:tcBorders>
                    <w:top w:val="single" w:color="auto" w:sz="6" w:space="0"/>
                    <w:bottom w:val="single" w:color="auto" w:sz="6" w:space="0"/>
                  </w:tcBorders>
                  <w:noWrap w:val="0"/>
                  <w:vAlign w:val="center"/>
                </w:tcPr>
                <w:p w14:paraId="624E112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2A247E2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100</w:t>
                  </w:r>
                </w:p>
              </w:tc>
              <w:tc>
                <w:tcPr>
                  <w:tcW w:w="1149" w:type="dxa"/>
                  <w:tcBorders>
                    <w:top w:val="single" w:color="auto" w:sz="6" w:space="0"/>
                    <w:bottom w:val="single" w:color="auto" w:sz="6" w:space="0"/>
                    <w:right w:val="single" w:color="auto" w:sz="4" w:space="0"/>
                  </w:tcBorders>
                  <w:noWrap w:val="0"/>
                  <w:vAlign w:val="center"/>
                </w:tcPr>
                <w:p w14:paraId="13AF1036">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10</w:t>
                  </w:r>
                </w:p>
              </w:tc>
              <w:tc>
                <w:tcPr>
                  <w:tcW w:w="906" w:type="dxa"/>
                  <w:tcBorders>
                    <w:top w:val="single" w:color="auto" w:sz="6" w:space="0"/>
                    <w:bottom w:val="single" w:color="auto" w:sz="6" w:space="0"/>
                    <w:right w:val="single" w:color="auto" w:sz="4" w:space="0"/>
                  </w:tcBorders>
                  <w:noWrap w:val="0"/>
                  <w:vAlign w:val="center"/>
                </w:tcPr>
                <w:p w14:paraId="3EDDC93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110</w:t>
                  </w:r>
                </w:p>
              </w:tc>
              <w:tc>
                <w:tcPr>
                  <w:tcW w:w="933" w:type="dxa"/>
                  <w:tcBorders>
                    <w:top w:val="single" w:color="auto" w:sz="6" w:space="0"/>
                    <w:left w:val="single" w:color="auto" w:sz="4" w:space="0"/>
                    <w:bottom w:val="single" w:color="auto" w:sz="6" w:space="0"/>
                  </w:tcBorders>
                  <w:noWrap w:val="0"/>
                  <w:vAlign w:val="center"/>
                </w:tcPr>
                <w:p w14:paraId="580A108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10</w:t>
                  </w:r>
                </w:p>
              </w:tc>
              <w:tc>
                <w:tcPr>
                  <w:tcW w:w="676" w:type="dxa"/>
                  <w:tcBorders>
                    <w:top w:val="single" w:color="auto" w:sz="6" w:space="0"/>
                    <w:left w:val="single" w:color="auto" w:sz="4" w:space="0"/>
                    <w:bottom w:val="single" w:color="auto" w:sz="6" w:space="0"/>
                  </w:tcBorders>
                  <w:noWrap w:val="0"/>
                  <w:vAlign w:val="center"/>
                </w:tcPr>
                <w:p w14:paraId="1FB8B17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282BE6B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一个月</w:t>
                  </w:r>
                </w:p>
              </w:tc>
              <w:tc>
                <w:tcPr>
                  <w:tcW w:w="688" w:type="dxa"/>
                  <w:vMerge w:val="continue"/>
                  <w:tcBorders>
                    <w:left w:val="single" w:color="auto" w:sz="4" w:space="0"/>
                  </w:tcBorders>
                  <w:noWrap w:val="0"/>
                  <w:vAlign w:val="center"/>
                </w:tcPr>
                <w:p w14:paraId="7D0FD39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3CD354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shd w:val="clear" w:color="auto" w:fill="auto"/>
                  <w:noWrap w:val="0"/>
                  <w:vAlign w:val="center"/>
                </w:tcPr>
                <w:p w14:paraId="3517281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12</w:t>
                  </w:r>
                </w:p>
              </w:tc>
              <w:tc>
                <w:tcPr>
                  <w:tcW w:w="1310" w:type="dxa"/>
                  <w:tcBorders>
                    <w:top w:val="single" w:color="auto" w:sz="6" w:space="0"/>
                    <w:bottom w:val="single" w:color="auto" w:sz="6" w:space="0"/>
                  </w:tcBorders>
                  <w:noWrap w:val="0"/>
                  <w:vAlign w:val="center"/>
                </w:tcPr>
                <w:p w14:paraId="4694D60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机油</w:t>
                  </w:r>
                </w:p>
              </w:tc>
              <w:tc>
                <w:tcPr>
                  <w:tcW w:w="533" w:type="dxa"/>
                  <w:tcBorders>
                    <w:top w:val="single" w:color="auto" w:sz="6" w:space="0"/>
                    <w:bottom w:val="single" w:color="auto" w:sz="6" w:space="0"/>
                  </w:tcBorders>
                  <w:noWrap w:val="0"/>
                  <w:vAlign w:val="center"/>
                </w:tcPr>
                <w:p w14:paraId="3A2E5AA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1F279EE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1149" w:type="dxa"/>
                  <w:tcBorders>
                    <w:top w:val="single" w:color="auto" w:sz="6" w:space="0"/>
                    <w:bottom w:val="single" w:color="auto" w:sz="6" w:space="0"/>
                    <w:right w:val="single" w:color="auto" w:sz="4" w:space="0"/>
                  </w:tcBorders>
                  <w:noWrap w:val="0"/>
                  <w:vAlign w:val="center"/>
                </w:tcPr>
                <w:p w14:paraId="0FADFFA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0.</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906" w:type="dxa"/>
                  <w:tcBorders>
                    <w:top w:val="single" w:color="auto" w:sz="6" w:space="0"/>
                    <w:bottom w:val="single" w:color="auto" w:sz="6" w:space="0"/>
                    <w:right w:val="single" w:color="auto" w:sz="4" w:space="0"/>
                  </w:tcBorders>
                  <w:noWrap w:val="0"/>
                  <w:vAlign w:val="center"/>
                </w:tcPr>
                <w:p w14:paraId="16B498B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933" w:type="dxa"/>
                  <w:tcBorders>
                    <w:top w:val="single" w:color="auto" w:sz="6" w:space="0"/>
                    <w:left w:val="single" w:color="auto" w:sz="4" w:space="0"/>
                    <w:bottom w:val="single" w:color="auto" w:sz="6" w:space="0"/>
                  </w:tcBorders>
                  <w:noWrap w:val="0"/>
                  <w:vAlign w:val="center"/>
                </w:tcPr>
                <w:p w14:paraId="6B7245B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0.5</w:t>
                  </w:r>
                </w:p>
              </w:tc>
              <w:tc>
                <w:tcPr>
                  <w:tcW w:w="676" w:type="dxa"/>
                  <w:tcBorders>
                    <w:top w:val="single" w:color="auto" w:sz="6" w:space="0"/>
                    <w:left w:val="single" w:color="auto" w:sz="4" w:space="0"/>
                    <w:bottom w:val="single" w:color="auto" w:sz="6" w:space="0"/>
                  </w:tcBorders>
                  <w:noWrap w:val="0"/>
                  <w:vAlign w:val="center"/>
                </w:tcPr>
                <w:p w14:paraId="2A93F89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桶装</w:t>
                  </w:r>
                </w:p>
              </w:tc>
              <w:tc>
                <w:tcPr>
                  <w:tcW w:w="901" w:type="dxa"/>
                  <w:tcBorders>
                    <w:top w:val="single" w:color="auto" w:sz="6" w:space="0"/>
                    <w:left w:val="single" w:color="auto" w:sz="4" w:space="0"/>
                    <w:bottom w:val="single" w:color="auto" w:sz="6" w:space="0"/>
                  </w:tcBorders>
                  <w:noWrap w:val="0"/>
                  <w:vAlign w:val="center"/>
                </w:tcPr>
                <w:p w14:paraId="4299709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一季度</w:t>
                  </w:r>
                </w:p>
              </w:tc>
              <w:tc>
                <w:tcPr>
                  <w:tcW w:w="688" w:type="dxa"/>
                  <w:vMerge w:val="continue"/>
                  <w:tcBorders>
                    <w:left w:val="single" w:color="auto" w:sz="4" w:space="0"/>
                  </w:tcBorders>
                  <w:noWrap w:val="0"/>
                  <w:vAlign w:val="center"/>
                </w:tcPr>
                <w:p w14:paraId="2264326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5D2CD6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shd w:val="clear" w:color="auto" w:fill="auto"/>
                  <w:noWrap w:val="0"/>
                  <w:vAlign w:val="center"/>
                </w:tcPr>
                <w:p w14:paraId="7C42C54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13</w:t>
                  </w:r>
                </w:p>
              </w:tc>
              <w:tc>
                <w:tcPr>
                  <w:tcW w:w="1310" w:type="dxa"/>
                  <w:tcBorders>
                    <w:top w:val="single" w:color="auto" w:sz="6" w:space="0"/>
                    <w:bottom w:val="single" w:color="auto" w:sz="6" w:space="0"/>
                  </w:tcBorders>
                  <w:noWrap w:val="0"/>
                  <w:vAlign w:val="center"/>
                </w:tcPr>
                <w:p w14:paraId="1139E01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润滑油</w:t>
                  </w:r>
                </w:p>
              </w:tc>
              <w:tc>
                <w:tcPr>
                  <w:tcW w:w="533" w:type="dxa"/>
                  <w:tcBorders>
                    <w:top w:val="single" w:color="auto" w:sz="6" w:space="0"/>
                    <w:bottom w:val="single" w:color="auto" w:sz="6" w:space="0"/>
                  </w:tcBorders>
                  <w:noWrap w:val="0"/>
                  <w:vAlign w:val="center"/>
                </w:tcPr>
                <w:p w14:paraId="7C39572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24FEB9B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1149" w:type="dxa"/>
                  <w:tcBorders>
                    <w:top w:val="single" w:color="auto" w:sz="6" w:space="0"/>
                    <w:bottom w:val="single" w:color="auto" w:sz="6" w:space="0"/>
                    <w:right w:val="single" w:color="auto" w:sz="4" w:space="0"/>
                  </w:tcBorders>
                  <w:noWrap w:val="0"/>
                  <w:vAlign w:val="center"/>
                </w:tcPr>
                <w:p w14:paraId="5DE2047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0.</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906" w:type="dxa"/>
                  <w:tcBorders>
                    <w:top w:val="single" w:color="auto" w:sz="6" w:space="0"/>
                    <w:bottom w:val="single" w:color="auto" w:sz="6" w:space="0"/>
                    <w:right w:val="single" w:color="auto" w:sz="4" w:space="0"/>
                  </w:tcBorders>
                  <w:noWrap w:val="0"/>
                  <w:vAlign w:val="center"/>
                </w:tcPr>
                <w:p w14:paraId="2E1F5FF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1.</w:t>
                  </w: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933" w:type="dxa"/>
                  <w:tcBorders>
                    <w:top w:val="single" w:color="auto" w:sz="6" w:space="0"/>
                    <w:left w:val="single" w:color="auto" w:sz="4" w:space="0"/>
                    <w:bottom w:val="single" w:color="auto" w:sz="6" w:space="0"/>
                  </w:tcBorders>
                  <w:noWrap w:val="0"/>
                  <w:vAlign w:val="center"/>
                </w:tcPr>
                <w:p w14:paraId="24296BF6">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0.5</w:t>
                  </w:r>
                </w:p>
              </w:tc>
              <w:tc>
                <w:tcPr>
                  <w:tcW w:w="676" w:type="dxa"/>
                  <w:tcBorders>
                    <w:top w:val="single" w:color="auto" w:sz="6" w:space="0"/>
                    <w:left w:val="single" w:color="auto" w:sz="4" w:space="0"/>
                    <w:bottom w:val="single" w:color="auto" w:sz="6" w:space="0"/>
                  </w:tcBorders>
                  <w:noWrap w:val="0"/>
                  <w:vAlign w:val="center"/>
                </w:tcPr>
                <w:p w14:paraId="5BDC814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桶装</w:t>
                  </w:r>
                </w:p>
              </w:tc>
              <w:tc>
                <w:tcPr>
                  <w:tcW w:w="901" w:type="dxa"/>
                  <w:tcBorders>
                    <w:top w:val="single" w:color="auto" w:sz="6" w:space="0"/>
                    <w:left w:val="single" w:color="auto" w:sz="4" w:space="0"/>
                    <w:bottom w:val="single" w:color="auto" w:sz="6" w:space="0"/>
                  </w:tcBorders>
                  <w:noWrap w:val="0"/>
                  <w:vAlign w:val="center"/>
                </w:tcPr>
                <w:p w14:paraId="54962A4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一季度</w:t>
                  </w:r>
                </w:p>
              </w:tc>
              <w:tc>
                <w:tcPr>
                  <w:tcW w:w="688" w:type="dxa"/>
                  <w:vMerge w:val="continue"/>
                  <w:tcBorders>
                    <w:left w:val="single" w:color="auto" w:sz="4" w:space="0"/>
                  </w:tcBorders>
                  <w:noWrap w:val="0"/>
                  <w:vAlign w:val="center"/>
                </w:tcPr>
                <w:p w14:paraId="21998656">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2CC75A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shd w:val="clear" w:color="auto" w:fill="auto"/>
                  <w:noWrap w:val="0"/>
                  <w:vAlign w:val="center"/>
                </w:tcPr>
                <w:p w14:paraId="0634D11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14</w:t>
                  </w:r>
                </w:p>
              </w:tc>
              <w:tc>
                <w:tcPr>
                  <w:tcW w:w="1310" w:type="dxa"/>
                  <w:tcBorders>
                    <w:top w:val="single" w:color="auto" w:sz="6" w:space="0"/>
                    <w:bottom w:val="single" w:color="auto" w:sz="6" w:space="0"/>
                  </w:tcBorders>
                  <w:noWrap w:val="0"/>
                  <w:vAlign w:val="center"/>
                </w:tcPr>
                <w:p w14:paraId="2543D23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除渣剂</w:t>
                  </w:r>
                </w:p>
              </w:tc>
              <w:tc>
                <w:tcPr>
                  <w:tcW w:w="533" w:type="dxa"/>
                  <w:tcBorders>
                    <w:top w:val="single" w:color="auto" w:sz="6" w:space="0"/>
                    <w:bottom w:val="single" w:color="auto" w:sz="6" w:space="0"/>
                  </w:tcBorders>
                  <w:noWrap w:val="0"/>
                  <w:vAlign w:val="center"/>
                </w:tcPr>
                <w:p w14:paraId="297A38C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274B341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w:t>
                  </w:r>
                </w:p>
              </w:tc>
              <w:tc>
                <w:tcPr>
                  <w:tcW w:w="1149" w:type="dxa"/>
                  <w:tcBorders>
                    <w:top w:val="single" w:color="auto" w:sz="6" w:space="0"/>
                    <w:bottom w:val="single" w:color="auto" w:sz="6" w:space="0"/>
                    <w:right w:val="single" w:color="auto" w:sz="4" w:space="0"/>
                  </w:tcBorders>
                  <w:noWrap w:val="0"/>
                  <w:vAlign w:val="center"/>
                </w:tcPr>
                <w:p w14:paraId="1FC4279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1.7</w:t>
                  </w:r>
                </w:p>
              </w:tc>
              <w:tc>
                <w:tcPr>
                  <w:tcW w:w="906" w:type="dxa"/>
                  <w:tcBorders>
                    <w:top w:val="single" w:color="auto" w:sz="6" w:space="0"/>
                    <w:bottom w:val="single" w:color="auto" w:sz="6" w:space="0"/>
                    <w:right w:val="single" w:color="auto" w:sz="4" w:space="0"/>
                  </w:tcBorders>
                  <w:noWrap w:val="0"/>
                  <w:vAlign w:val="center"/>
                </w:tcPr>
                <w:p w14:paraId="7BAB4DF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1.7</w:t>
                  </w:r>
                </w:p>
              </w:tc>
              <w:tc>
                <w:tcPr>
                  <w:tcW w:w="933" w:type="dxa"/>
                  <w:tcBorders>
                    <w:top w:val="single" w:color="auto" w:sz="6" w:space="0"/>
                    <w:left w:val="single" w:color="auto" w:sz="4" w:space="0"/>
                    <w:bottom w:val="single" w:color="auto" w:sz="6" w:space="0"/>
                  </w:tcBorders>
                  <w:noWrap w:val="0"/>
                  <w:vAlign w:val="center"/>
                </w:tcPr>
                <w:p w14:paraId="383269C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w:t>
                  </w:r>
                </w:p>
              </w:tc>
              <w:tc>
                <w:tcPr>
                  <w:tcW w:w="676" w:type="dxa"/>
                  <w:tcBorders>
                    <w:top w:val="single" w:color="auto" w:sz="6" w:space="0"/>
                    <w:left w:val="single" w:color="auto" w:sz="4" w:space="0"/>
                    <w:bottom w:val="single" w:color="auto" w:sz="6" w:space="0"/>
                  </w:tcBorders>
                  <w:noWrap w:val="0"/>
                  <w:vAlign w:val="center"/>
                </w:tcPr>
                <w:p w14:paraId="13A0941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袋装</w:t>
                  </w:r>
                </w:p>
              </w:tc>
              <w:tc>
                <w:tcPr>
                  <w:tcW w:w="901" w:type="dxa"/>
                  <w:tcBorders>
                    <w:top w:val="single" w:color="auto" w:sz="6" w:space="0"/>
                    <w:left w:val="single" w:color="auto" w:sz="4" w:space="0"/>
                    <w:bottom w:val="single" w:color="auto" w:sz="6" w:space="0"/>
                  </w:tcBorders>
                  <w:noWrap w:val="0"/>
                  <w:vAlign w:val="center"/>
                </w:tcPr>
                <w:p w14:paraId="2234436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半年</w:t>
                  </w:r>
                </w:p>
              </w:tc>
              <w:tc>
                <w:tcPr>
                  <w:tcW w:w="688" w:type="dxa"/>
                  <w:vMerge w:val="continue"/>
                  <w:tcBorders>
                    <w:left w:val="single" w:color="auto" w:sz="4" w:space="0"/>
                  </w:tcBorders>
                  <w:noWrap w:val="0"/>
                  <w:vAlign w:val="center"/>
                </w:tcPr>
                <w:p w14:paraId="1BC5E0D1">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r w14:paraId="3D64E3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dxa"/>
                  <w:tcBorders>
                    <w:top w:val="single" w:color="auto" w:sz="6" w:space="0"/>
                    <w:bottom w:val="single" w:color="auto" w:sz="6" w:space="0"/>
                  </w:tcBorders>
                  <w:shd w:val="clear" w:color="auto" w:fill="auto"/>
                  <w:noWrap w:val="0"/>
                  <w:vAlign w:val="center"/>
                </w:tcPr>
                <w:p w14:paraId="0112047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cs="Times New Roman"/>
                      <w:i w:val="0"/>
                      <w:color w:val="auto"/>
                      <w:kern w:val="0"/>
                      <w:sz w:val="21"/>
                      <w:szCs w:val="21"/>
                      <w:highlight w:val="none"/>
                      <w:u w:val="none"/>
                      <w:shd w:val="clear" w:color="auto" w:fill="auto"/>
                      <w:lang w:val="en-US" w:eastAsia="zh-CN" w:bidi="ar"/>
                    </w:rPr>
                    <w:t>15</w:t>
                  </w:r>
                </w:p>
              </w:tc>
              <w:tc>
                <w:tcPr>
                  <w:tcW w:w="1310" w:type="dxa"/>
                  <w:tcBorders>
                    <w:top w:val="single" w:color="auto" w:sz="6" w:space="0"/>
                    <w:bottom w:val="single" w:color="auto" w:sz="6" w:space="0"/>
                  </w:tcBorders>
                  <w:noWrap w:val="0"/>
                  <w:vAlign w:val="center"/>
                </w:tcPr>
                <w:p w14:paraId="5970136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脱模剂</w:t>
                  </w:r>
                </w:p>
              </w:tc>
              <w:tc>
                <w:tcPr>
                  <w:tcW w:w="533" w:type="dxa"/>
                  <w:tcBorders>
                    <w:top w:val="single" w:color="auto" w:sz="6" w:space="0"/>
                    <w:bottom w:val="single" w:color="auto" w:sz="6" w:space="0"/>
                  </w:tcBorders>
                  <w:noWrap w:val="0"/>
                  <w:vAlign w:val="center"/>
                </w:tcPr>
                <w:p w14:paraId="47579446">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t/a</w:t>
                  </w:r>
                </w:p>
              </w:tc>
              <w:tc>
                <w:tcPr>
                  <w:tcW w:w="1058" w:type="dxa"/>
                  <w:tcBorders>
                    <w:top w:val="single" w:color="auto" w:sz="6" w:space="0"/>
                    <w:bottom w:val="single" w:color="auto" w:sz="6" w:space="0"/>
                    <w:right w:val="single" w:color="auto" w:sz="4" w:space="0"/>
                  </w:tcBorders>
                  <w:noWrap w:val="0"/>
                  <w:vAlign w:val="center"/>
                </w:tcPr>
                <w:p w14:paraId="4449FBE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w:t>
                  </w:r>
                </w:p>
              </w:tc>
              <w:tc>
                <w:tcPr>
                  <w:tcW w:w="1149" w:type="dxa"/>
                  <w:tcBorders>
                    <w:top w:val="single" w:color="auto" w:sz="6" w:space="0"/>
                    <w:bottom w:val="single" w:color="auto" w:sz="6" w:space="0"/>
                    <w:right w:val="single" w:color="auto" w:sz="4" w:space="0"/>
                  </w:tcBorders>
                  <w:noWrap w:val="0"/>
                  <w:vAlign w:val="center"/>
                </w:tcPr>
                <w:p w14:paraId="4E74E2C7">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0.3</w:t>
                  </w:r>
                </w:p>
              </w:tc>
              <w:tc>
                <w:tcPr>
                  <w:tcW w:w="906" w:type="dxa"/>
                  <w:tcBorders>
                    <w:top w:val="single" w:color="auto" w:sz="6" w:space="0"/>
                    <w:bottom w:val="single" w:color="auto" w:sz="6" w:space="0"/>
                    <w:right w:val="single" w:color="auto" w:sz="4" w:space="0"/>
                  </w:tcBorders>
                  <w:noWrap w:val="0"/>
                  <w:vAlign w:val="center"/>
                </w:tcPr>
                <w:p w14:paraId="4D0F8E5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0.3</w:t>
                  </w:r>
                </w:p>
              </w:tc>
              <w:tc>
                <w:tcPr>
                  <w:tcW w:w="933" w:type="dxa"/>
                  <w:tcBorders>
                    <w:top w:val="single" w:color="auto" w:sz="6" w:space="0"/>
                    <w:left w:val="single" w:color="auto" w:sz="4" w:space="0"/>
                    <w:bottom w:val="single" w:color="auto" w:sz="6" w:space="0"/>
                  </w:tcBorders>
                  <w:noWrap w:val="0"/>
                  <w:vAlign w:val="center"/>
                </w:tcPr>
                <w:p w14:paraId="4A1DFE9E">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0.3</w:t>
                  </w:r>
                </w:p>
              </w:tc>
              <w:tc>
                <w:tcPr>
                  <w:tcW w:w="676" w:type="dxa"/>
                  <w:tcBorders>
                    <w:top w:val="single" w:color="auto" w:sz="6" w:space="0"/>
                    <w:left w:val="single" w:color="auto" w:sz="4" w:space="0"/>
                    <w:bottom w:val="single" w:color="auto" w:sz="6" w:space="0"/>
                  </w:tcBorders>
                  <w:noWrap w:val="0"/>
                  <w:vAlign w:val="center"/>
                </w:tcPr>
                <w:p w14:paraId="34DA445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桶装</w:t>
                  </w:r>
                </w:p>
              </w:tc>
              <w:tc>
                <w:tcPr>
                  <w:tcW w:w="901" w:type="dxa"/>
                  <w:tcBorders>
                    <w:top w:val="single" w:color="auto" w:sz="6" w:space="0"/>
                    <w:left w:val="single" w:color="auto" w:sz="4" w:space="0"/>
                    <w:bottom w:val="single" w:color="auto" w:sz="6" w:space="0"/>
                  </w:tcBorders>
                  <w:noWrap w:val="0"/>
                  <w:vAlign w:val="center"/>
                </w:tcPr>
                <w:p w14:paraId="03F4F61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一年</w:t>
                  </w:r>
                </w:p>
              </w:tc>
              <w:tc>
                <w:tcPr>
                  <w:tcW w:w="688" w:type="dxa"/>
                  <w:vMerge w:val="continue"/>
                  <w:tcBorders>
                    <w:left w:val="single" w:color="auto" w:sz="4" w:space="0"/>
                  </w:tcBorders>
                  <w:noWrap w:val="0"/>
                  <w:vAlign w:val="center"/>
                </w:tcPr>
                <w:p w14:paraId="396DE34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p>
              </w:tc>
            </w:tr>
          </w:tbl>
          <w:p w14:paraId="2D32D1BB">
            <w:pPr>
              <w:keepNext w:val="0"/>
              <w:keepLines w:val="0"/>
              <w:pageBreakBefore w:val="0"/>
              <w:widowControl w:val="0"/>
              <w:numPr>
                <w:ilvl w:val="0"/>
                <w:numId w:val="0"/>
              </w:numPr>
              <w:kinsoku/>
              <w:wordWrap/>
              <w:overflowPunct/>
              <w:topLinePunct w:val="0"/>
              <w:autoSpaceDE/>
              <w:autoSpaceDN/>
              <w:bidi w:val="0"/>
              <w:spacing w:line="360" w:lineRule="auto"/>
              <w:ind w:firstLine="480" w:firstLineChars="200"/>
              <w:rPr>
                <w:rFonts w:hint="default" w:ascii="Times New Roman" w:hAnsi="Times New Roman" w:eastAsia="宋体" w:cs="Times New Roman"/>
                <w:b w:val="0"/>
                <w:bCs w:val="0"/>
                <w:snapToGrid w:val="0"/>
                <w:color w:val="auto"/>
                <w:kern w:val="0"/>
                <w:sz w:val="24"/>
                <w:szCs w:val="24"/>
                <w:highlight w:val="none"/>
                <w:lang w:val="en-US" w:eastAsia="zh-CN"/>
              </w:rPr>
            </w:pPr>
            <w:r>
              <w:rPr>
                <w:rFonts w:hint="eastAsia" w:ascii="Times New Roman" w:hAnsi="Times New Roman" w:eastAsia="宋体" w:cs="Times New Roman"/>
                <w:b w:val="0"/>
                <w:bCs w:val="0"/>
                <w:snapToGrid w:val="0"/>
                <w:color w:val="auto"/>
                <w:kern w:val="0"/>
                <w:sz w:val="24"/>
                <w:szCs w:val="24"/>
                <w:highlight w:val="none"/>
                <w:lang w:val="en-US" w:eastAsia="zh-CN"/>
              </w:rPr>
              <w:t>企业主要原辅料理化性质见下表：</w:t>
            </w:r>
          </w:p>
          <w:p w14:paraId="7EC0310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5</w:t>
            </w:r>
            <w:r>
              <w:rPr>
                <w:rFonts w:hint="default" w:ascii="Times New Roman" w:hAnsi="Times New Roman" w:eastAsia="宋体" w:cs="Times New Roman"/>
                <w:b/>
                <w:bCs/>
                <w:color w:val="auto"/>
                <w:kern w:val="2"/>
                <w:sz w:val="24"/>
                <w:szCs w:val="24"/>
                <w:lang w:val="en-US" w:eastAsia="zh-CN"/>
              </w:rPr>
              <w:t xml:space="preserve">  原辅材料理化性质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7631"/>
            </w:tblGrid>
            <w:tr w14:paraId="6314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66" w:type="pct"/>
                  <w:noWrap w:val="0"/>
                  <w:vAlign w:val="center"/>
                </w:tcPr>
                <w:p w14:paraId="62EB3950">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lang w:val="en-US" w:eastAsia="zh-CN" w:bidi="ar"/>
                    </w:rPr>
                  </w:pPr>
                  <w:r>
                    <w:rPr>
                      <w:rFonts w:hint="default" w:ascii="Times New Roman" w:hAnsi="Times New Roman" w:eastAsia="宋体" w:cs="Times New Roman"/>
                      <w:b/>
                      <w:bCs/>
                      <w:i w:val="0"/>
                      <w:color w:val="auto"/>
                      <w:kern w:val="0"/>
                      <w:sz w:val="21"/>
                      <w:szCs w:val="21"/>
                      <w:highlight w:val="none"/>
                      <w:u w:val="none"/>
                      <w:lang w:val="en-US" w:eastAsia="zh-CN" w:bidi="ar"/>
                    </w:rPr>
                    <w:t>名称</w:t>
                  </w:r>
                </w:p>
              </w:tc>
              <w:tc>
                <w:tcPr>
                  <w:tcW w:w="4433" w:type="pct"/>
                  <w:noWrap w:val="0"/>
                  <w:vAlign w:val="center"/>
                </w:tcPr>
                <w:p w14:paraId="082DD3D9">
                  <w:pPr>
                    <w:keepNext w:val="0"/>
                    <w:keepLines w:val="0"/>
                    <w:widowControl/>
                    <w:suppressLineNumbers w:val="0"/>
                    <w:jc w:val="center"/>
                    <w:textAlignment w:val="center"/>
                    <w:rPr>
                      <w:rFonts w:hint="default" w:ascii="Times New Roman" w:hAnsi="Times New Roman" w:eastAsia="宋体" w:cs="Times New Roman"/>
                      <w:b/>
                      <w:bCs/>
                      <w:i w:val="0"/>
                      <w:color w:val="auto"/>
                      <w:kern w:val="0"/>
                      <w:sz w:val="21"/>
                      <w:szCs w:val="21"/>
                      <w:highlight w:val="none"/>
                      <w:u w:val="none"/>
                      <w:lang w:val="en-US" w:eastAsia="zh-CN" w:bidi="ar"/>
                    </w:rPr>
                  </w:pPr>
                  <w:r>
                    <w:rPr>
                      <w:rFonts w:hint="default" w:ascii="Times New Roman" w:hAnsi="Times New Roman" w:eastAsia="宋体" w:cs="Times New Roman"/>
                      <w:b/>
                      <w:bCs/>
                      <w:i w:val="0"/>
                      <w:color w:val="auto"/>
                      <w:kern w:val="0"/>
                      <w:sz w:val="21"/>
                      <w:szCs w:val="21"/>
                      <w:highlight w:val="none"/>
                      <w:u w:val="none"/>
                      <w:lang w:val="en-US" w:eastAsia="zh-CN" w:bidi="ar"/>
                    </w:rPr>
                    <w:t>理化性质</w:t>
                  </w:r>
                </w:p>
              </w:tc>
            </w:tr>
            <w:tr w14:paraId="78B1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66" w:type="pct"/>
                  <w:noWrap w:val="0"/>
                  <w:vAlign w:val="center"/>
                </w:tcPr>
                <w:p w14:paraId="5083BD53">
                  <w:pPr>
                    <w:pStyle w:val="2"/>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b w:val="0"/>
                      <w:bCs w:val="0"/>
                      <w:i w:val="0"/>
                      <w:color w:val="auto"/>
                      <w:kern w:val="0"/>
                      <w:sz w:val="21"/>
                      <w:szCs w:val="21"/>
                      <w:highlight w:val="none"/>
                      <w:u w:val="none"/>
                      <w:lang w:val="en-US" w:eastAsia="zh-CN" w:bidi="ar"/>
                    </w:rPr>
                  </w:pPr>
                  <w:r>
                    <w:rPr>
                      <w:rFonts w:hint="eastAsia" w:ascii="Times New Roman" w:hAnsi="Times New Roman" w:cs="Times New Roman"/>
                      <w:b w:val="0"/>
                      <w:bCs w:val="0"/>
                      <w:i w:val="0"/>
                      <w:color w:val="auto"/>
                      <w:kern w:val="0"/>
                      <w:sz w:val="21"/>
                      <w:szCs w:val="21"/>
                      <w:highlight w:val="none"/>
                      <w:u w:val="none"/>
                      <w:lang w:val="en-US" w:eastAsia="zh-CN" w:bidi="ar"/>
                    </w:rPr>
                    <w:t>废钢</w:t>
                  </w:r>
                </w:p>
              </w:tc>
              <w:tc>
                <w:tcPr>
                  <w:tcW w:w="4433" w:type="pct"/>
                  <w:noWrap w:val="0"/>
                  <w:vAlign w:val="center"/>
                </w:tcPr>
                <w:p w14:paraId="4014A8DB">
                  <w:pPr>
                    <w:keepNext w:val="0"/>
                    <w:keepLines w:val="0"/>
                    <w:suppressLineNumbers w:val="0"/>
                    <w:spacing w:before="0" w:beforeAutospacing="0" w:after="0" w:afterAutospacing="0"/>
                    <w:ind w:left="0" w:leftChars="0" w:right="0" w:rightChars="0"/>
                    <w:jc w:val="left"/>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本项目铸造用钢主要为外购的废钢，废钢是在生产活动过程中淘汰或者损坏的作为回收利用的废旧钢铁。其含碳量一般小于2.0%，磷、硫含量均不大于0.05%，钢含碳量较低，有很好的韧性。根据含碳量，低碳钢≤0.25%，中碳钢0.25%~0.6%，高碳钢&gt;0.6%。</w:t>
                  </w:r>
                </w:p>
                <w:p w14:paraId="0945FE7D">
                  <w:pPr>
                    <w:keepNext w:val="0"/>
                    <w:keepLines w:val="0"/>
                    <w:suppressLineNumbers w:val="0"/>
                    <w:spacing w:before="0" w:beforeAutospacing="0" w:after="0" w:afterAutospacing="0"/>
                    <w:ind w:left="0" w:leftChars="0" w:right="0" w:rightChars="0"/>
                    <w:jc w:val="left"/>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根据《废钢铁加工行业准入条件》：①废钢铁加工行业的产品需达到废钢铁国家标准和行业标准。不得销售给生产建筑用钢的工频炉、中频炉企业，以及使用30吨及以下电炉（高合金电炉除外）等落后生产设备的企业。②废钢铁加工配送企业应配备专职质量管理人员，建立质量管理制度。应通过ISO质量管理体系认证。池州</w:t>
                  </w:r>
                  <w:r>
                    <w:rPr>
                      <w:rFonts w:hint="eastAsia" w:cs="Times New Roman"/>
                      <w:b w:val="0"/>
                      <w:bCs w:val="0"/>
                      <w:color w:val="auto"/>
                      <w:sz w:val="21"/>
                      <w:szCs w:val="21"/>
                      <w:highlight w:val="none"/>
                      <w:lang w:val="en-US" w:eastAsia="zh-CN"/>
                    </w:rPr>
                    <w:t>市锋达金属铸造</w:t>
                  </w:r>
                  <w:r>
                    <w:rPr>
                      <w:rFonts w:hint="eastAsia" w:ascii="Times New Roman" w:hAnsi="Times New Roman" w:cs="Times New Roman"/>
                      <w:b w:val="0"/>
                      <w:bCs w:val="0"/>
                      <w:color w:val="auto"/>
                      <w:sz w:val="21"/>
                      <w:szCs w:val="21"/>
                      <w:highlight w:val="none"/>
                      <w:lang w:val="en-US" w:eastAsia="zh-CN"/>
                    </w:rPr>
                    <w:t>有限公司不属于建筑用钢的工频炉、中频炉企业，且项目所用设备属于先进生产设备，可以有广泛的采购来源。采购原料时，</w:t>
                  </w:r>
                  <w:r>
                    <w:rPr>
                      <w:rFonts w:hint="eastAsia" w:cs="Times New Roman"/>
                      <w:b w:val="0"/>
                      <w:bCs w:val="0"/>
                      <w:color w:val="auto"/>
                      <w:sz w:val="21"/>
                      <w:szCs w:val="21"/>
                      <w:highlight w:val="none"/>
                      <w:lang w:val="en-US" w:eastAsia="zh-CN"/>
                    </w:rPr>
                    <w:t>锋达</w:t>
                  </w:r>
                  <w:r>
                    <w:rPr>
                      <w:rFonts w:hint="eastAsia" w:ascii="Times New Roman" w:hAnsi="Times New Roman" w:cs="Times New Roman"/>
                      <w:b w:val="0"/>
                      <w:bCs w:val="0"/>
                      <w:color w:val="auto"/>
                      <w:sz w:val="21"/>
                      <w:szCs w:val="21"/>
                      <w:highlight w:val="none"/>
                      <w:lang w:val="en-US" w:eastAsia="zh-CN"/>
                    </w:rPr>
                    <w:t>公司要求钢铁供应商提供相应的原料检测报告，对符合相关标准的原料进行采购，不符合标准的原料一律退回，项目的原料采购人员将对供货商装车进行监督，到达现场后质量检查人员全程跟踪卸车，并做质检日志，对检验时间、地点、供货商名称、车号、重量、计量单编号、质量检查情况等项目进行记录。因此不锈钢品质具有可靠保证。</w:t>
                  </w:r>
                </w:p>
                <w:p w14:paraId="665697B8">
                  <w:pPr>
                    <w:keepNext w:val="0"/>
                    <w:keepLines w:val="0"/>
                    <w:suppressLineNumbers w:val="0"/>
                    <w:spacing w:before="0" w:beforeAutospacing="0" w:after="0" w:afterAutospacing="0"/>
                    <w:ind w:left="0" w:leftChars="0" w:right="0" w:rightChars="0"/>
                    <w:jc w:val="left"/>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建设单位制定了严格的原料采购制度，所有进厂的物资必须提供相关的质保单，供应部应严格核对质保单技术参数和材料型号规格，并由质量部进行核对，并根据采购验收规程进行验收。如发现质保单或物资与采购技术要求不一致则予以拒收。所有上述规定要求检验的物资必须经过公司化验室的抽样检验，合格后才可入库。如一次抽检不合格，则双倍取样化验，化验结果合格，则视这批次产品合格。如二次抽检不合格，则视这批次的物资为不合格，做退货处理。非关键类物资100%核对质保单，质保单和实物相符，并符合技术要求，质保单数据符合采购技术要求。</w:t>
                  </w:r>
                </w:p>
                <w:p w14:paraId="151249CE">
                  <w:pPr>
                    <w:keepNext w:val="0"/>
                    <w:keepLines w:val="0"/>
                    <w:suppressLineNumbers w:val="0"/>
                    <w:spacing w:before="0" w:beforeAutospacing="0" w:after="0" w:afterAutospacing="0"/>
                    <w:ind w:left="0" w:leftChars="0" w:right="0" w:rightChars="0"/>
                    <w:jc w:val="left"/>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针对不锈钢原料，主要以打包料，其他边角料尺寸不大于长度800mm、宽度300mm、厚度100mm。表面干净，不得沾有泥土、油污等杂物。不锈钢中禁止混有易燃易爆物品。禁止混有两端封闭的管状物、封闭器皿等物品，禁止混有橡胶、塑料制品。</w:t>
                  </w:r>
                </w:p>
              </w:tc>
            </w:tr>
            <w:tr w14:paraId="559C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66" w:type="pct"/>
                  <w:noWrap w:val="0"/>
                  <w:vAlign w:val="center"/>
                </w:tcPr>
                <w:p w14:paraId="26608911">
                  <w:pPr>
                    <w:pStyle w:val="2"/>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cs="Times New Roman"/>
                      <w:color w:val="auto"/>
                      <w:sz w:val="21"/>
                      <w:szCs w:val="21"/>
                      <w:highlight w:val="none"/>
                    </w:rPr>
                  </w:pPr>
                  <w:r>
                    <w:rPr>
                      <w:rFonts w:hint="eastAsia" w:ascii="Times New Roman" w:hAnsi="Times New Roman" w:cs="Times New Roman"/>
                      <w:b w:val="0"/>
                      <w:bCs w:val="0"/>
                      <w:i w:val="0"/>
                      <w:color w:val="auto"/>
                      <w:kern w:val="0"/>
                      <w:sz w:val="21"/>
                      <w:szCs w:val="21"/>
                      <w:highlight w:val="none"/>
                      <w:u w:val="none"/>
                      <w:lang w:val="en-US" w:eastAsia="zh-CN" w:bidi="ar"/>
                    </w:rPr>
                    <w:t>覆膜砂</w:t>
                  </w:r>
                </w:p>
              </w:tc>
              <w:tc>
                <w:tcPr>
                  <w:tcW w:w="4433" w:type="pct"/>
                  <w:noWrap w:val="0"/>
                  <w:vAlign w:val="center"/>
                </w:tcPr>
                <w:p w14:paraId="2ECE08A5">
                  <w:pPr>
                    <w:pStyle w:val="2"/>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石英砂占 98%，</w:t>
                  </w:r>
                  <w:r>
                    <w:rPr>
                      <w:rFonts w:hint="eastAsia" w:ascii="Times New Roman" w:hAnsi="Times New Roman" w:cs="Times New Roman"/>
                      <w:b w:val="0"/>
                      <w:bCs w:val="0"/>
                      <w:color w:val="auto"/>
                      <w:sz w:val="21"/>
                      <w:szCs w:val="21"/>
                      <w:highlight w:val="none"/>
                      <w:lang w:val="en-US" w:eastAsia="zh-CN"/>
                    </w:rPr>
                    <w:t>其他</w:t>
                  </w:r>
                  <w:r>
                    <w:rPr>
                      <w:rFonts w:hint="default" w:ascii="Times New Roman" w:hAnsi="Times New Roman" w:eastAsia="宋体" w:cs="Times New Roman"/>
                      <w:b w:val="0"/>
                      <w:bCs w:val="0"/>
                      <w:color w:val="auto"/>
                      <w:sz w:val="21"/>
                      <w:szCs w:val="21"/>
                      <w:highlight w:val="none"/>
                      <w:lang w:val="en-US" w:eastAsia="zh-CN"/>
                    </w:rPr>
                    <w:t>2%是环保树脂、固化剂、水、润滑剂</w:t>
                  </w:r>
                  <w:r>
                    <w:rPr>
                      <w:rFonts w:hint="eastAsia" w:ascii="Times New Roman" w:hAnsi="Times New Roman" w:cs="Times New Roman"/>
                      <w:b w:val="0"/>
                      <w:bCs w:val="0"/>
                      <w:color w:val="auto"/>
                      <w:sz w:val="21"/>
                      <w:szCs w:val="21"/>
                      <w:highlight w:val="none"/>
                      <w:lang w:val="en-US" w:eastAsia="zh-CN"/>
                    </w:rPr>
                    <w:t>。</w:t>
                  </w:r>
                </w:p>
                <w:p w14:paraId="296B5B77">
                  <w:pPr>
                    <w:pStyle w:val="2"/>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表面覆有一层固体树脂（环保树脂）的石英砂。</w:t>
                  </w:r>
                </w:p>
                <w:p w14:paraId="3FED6E56">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环保</w:t>
                  </w:r>
                  <w:r>
                    <w:rPr>
                      <w:rFonts w:hint="default" w:ascii="Times New Roman" w:hAnsi="Times New Roman" w:eastAsia="宋体" w:cs="Times New Roman"/>
                      <w:b w:val="0"/>
                      <w:bCs w:val="0"/>
                      <w:color w:val="auto"/>
                      <w:sz w:val="21"/>
                      <w:szCs w:val="21"/>
                      <w:highlight w:val="none"/>
                      <w:lang w:val="en-US" w:eastAsia="zh-CN"/>
                    </w:rPr>
                    <w:t>树脂：</w:t>
                  </w:r>
                  <w:r>
                    <w:rPr>
                      <w:rFonts w:hint="eastAsia" w:cs="Times New Roman"/>
                      <w:b w:val="0"/>
                      <w:bCs w:val="0"/>
                      <w:color w:val="auto"/>
                      <w:sz w:val="21"/>
                      <w:szCs w:val="21"/>
                      <w:highlight w:val="none"/>
                      <w:lang w:val="en-US" w:eastAsia="zh-CN"/>
                    </w:rPr>
                    <w:t>根据《</w:t>
                  </w:r>
                  <w:r>
                    <w:rPr>
                      <w:rFonts w:hint="default" w:ascii="Times New Roman" w:hAnsi="Times New Roman" w:eastAsia="宋体" w:cs="Times New Roman"/>
                      <w:b w:val="0"/>
                      <w:bCs w:val="0"/>
                      <w:color w:val="auto"/>
                      <w:sz w:val="21"/>
                      <w:szCs w:val="21"/>
                      <w:highlight w:val="none"/>
                      <w:lang w:val="en-US" w:eastAsia="zh-CN"/>
                    </w:rPr>
                    <w:t>通用铸造用酚醛树脂</w:t>
                  </w:r>
                  <w:r>
                    <w:rPr>
                      <w:rFonts w:hint="eastAsia"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‌标准号‌：‌GB/T 24413-2009</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‌适用范围‌：涵盖液态与粉状酚醛树脂，适用于壳型、冷/热芯盒等工艺</w:t>
                  </w:r>
                  <w:r>
                    <w:rPr>
                      <w:rFonts w:hint="eastAsia"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w:t>
                  </w:r>
                </w:p>
                <w:p w14:paraId="353BED01">
                  <w:pPr>
                    <w:keepNext w:val="0"/>
                    <w:keepLines w:val="0"/>
                    <w:suppressLineNumbers w:val="0"/>
                    <w:spacing w:before="0" w:beforeAutospacing="0" w:after="0" w:afterAutospacing="0"/>
                    <w:ind w:left="0" w:leftChars="0" w:right="0" w:rightChars="0"/>
                    <w:jc w:val="left"/>
                    <w:rPr>
                      <w:rFonts w:hint="default" w:ascii="Times New Roman" w:hAnsi="Times New Roman" w:cs="Times New Roman"/>
                      <w:bCs/>
                      <w:color w:val="auto"/>
                      <w:sz w:val="21"/>
                      <w:szCs w:val="21"/>
                      <w:highlight w:val="none"/>
                      <w:vertAlign w:val="baseline"/>
                      <w:lang w:eastAsia="zh-CN"/>
                    </w:rPr>
                  </w:pPr>
                  <w:r>
                    <w:rPr>
                      <w:rFonts w:hint="eastAsia" w:ascii="Times New Roman" w:hAnsi="Times New Roman" w:cs="Times New Roman"/>
                      <w:b w:val="0"/>
                      <w:bCs w:val="0"/>
                      <w:color w:val="auto"/>
                      <w:sz w:val="21"/>
                      <w:szCs w:val="21"/>
                      <w:highlight w:val="none"/>
                      <w:lang w:val="en-US" w:eastAsia="zh-CN"/>
                    </w:rPr>
                    <w:t>铸造用环保型酚醛树脂</w:t>
                  </w:r>
                  <w:r>
                    <w:rPr>
                      <w:rFonts w:hint="eastAsia" w:ascii="Times New Roman" w:hAnsi="Times New Roman" w:eastAsia="宋体" w:cs="Times New Roman"/>
                      <w:b w:val="0"/>
                      <w:bCs w:val="0"/>
                      <w:color w:val="auto"/>
                      <w:sz w:val="21"/>
                      <w:szCs w:val="21"/>
                      <w:highlight w:val="none"/>
                      <w:lang w:val="en-US" w:eastAsia="zh-CN"/>
                    </w:rPr>
                    <w:t>中游离甲醛</w:t>
                  </w:r>
                  <w:r>
                    <w:rPr>
                      <w:rFonts w:hint="eastAsia" w:cs="Times New Roman"/>
                      <w:b w:val="0"/>
                      <w:bCs w:val="0"/>
                      <w:color w:val="auto"/>
                      <w:sz w:val="21"/>
                      <w:szCs w:val="21"/>
                      <w:highlight w:val="none"/>
                      <w:lang w:val="en-US" w:eastAsia="zh-CN"/>
                    </w:rPr>
                    <w:t>≤0.3%</w:t>
                  </w:r>
                  <w:r>
                    <w:rPr>
                      <w:rFonts w:hint="eastAsia" w:ascii="Times New Roman" w:hAnsi="Times New Roman" w:eastAsia="宋体" w:cs="Times New Roman"/>
                      <w:b w:val="0"/>
                      <w:bCs w:val="0"/>
                      <w:color w:val="auto"/>
                      <w:sz w:val="21"/>
                      <w:szCs w:val="21"/>
                      <w:highlight w:val="none"/>
                      <w:lang w:val="en-US" w:eastAsia="zh-CN"/>
                    </w:rPr>
                    <w:t>，</w:t>
                  </w:r>
                  <w:r>
                    <w:rPr>
                      <w:rFonts w:hint="eastAsia" w:cs="Times New Roman"/>
                      <w:b w:val="0"/>
                      <w:bCs w:val="0"/>
                      <w:color w:val="auto"/>
                      <w:sz w:val="21"/>
                      <w:szCs w:val="21"/>
                      <w:highlight w:val="none"/>
                      <w:lang w:val="en-US" w:eastAsia="zh-CN"/>
                    </w:rPr>
                    <w:t>本项目</w:t>
                  </w:r>
                  <w:r>
                    <w:rPr>
                      <w:rFonts w:hint="eastAsia" w:ascii="Times New Roman" w:hAnsi="Times New Roman" w:eastAsia="宋体" w:cs="Times New Roman"/>
                      <w:b w:val="0"/>
                      <w:bCs w:val="0"/>
                      <w:color w:val="auto"/>
                      <w:sz w:val="21"/>
                      <w:szCs w:val="21"/>
                      <w:highlight w:val="none"/>
                      <w:lang w:val="en-US" w:eastAsia="zh-CN"/>
                    </w:rPr>
                    <w:t>具有</w:t>
                  </w:r>
                  <w:r>
                    <w:rPr>
                      <w:rFonts w:hint="eastAsia" w:ascii="Times New Roman" w:hAnsi="Times New Roman" w:cs="Times New Roman"/>
                      <w:b w:val="0"/>
                      <w:bCs w:val="0"/>
                      <w:color w:val="auto"/>
                      <w:sz w:val="21"/>
                      <w:szCs w:val="21"/>
                      <w:highlight w:val="none"/>
                      <w:lang w:val="en-US" w:eastAsia="zh-CN"/>
                    </w:rPr>
                    <w:t>甲阶酚醛树脂二次硬化特点的</w:t>
                  </w:r>
                  <w:r>
                    <w:rPr>
                      <w:rFonts w:hint="eastAsia" w:cs="Times New Roman"/>
                      <w:b w:val="0"/>
                      <w:bCs w:val="0"/>
                      <w:color w:val="auto"/>
                      <w:sz w:val="21"/>
                      <w:szCs w:val="21"/>
                      <w:highlight w:val="none"/>
                      <w:lang w:val="en-US" w:eastAsia="zh-CN"/>
                    </w:rPr>
                    <w:t>同时</w:t>
                  </w:r>
                  <w:r>
                    <w:rPr>
                      <w:rFonts w:hint="eastAsia" w:ascii="Times New Roman" w:hAnsi="Times New Roman" w:cs="Times New Roman"/>
                      <w:b w:val="0"/>
                      <w:bCs w:val="0"/>
                      <w:color w:val="auto"/>
                      <w:sz w:val="21"/>
                      <w:szCs w:val="21"/>
                      <w:highlight w:val="none"/>
                      <w:lang w:val="en-US" w:eastAsia="zh-CN"/>
                    </w:rPr>
                    <w:t>，具备呋喃树脂的高常温强度、高溃散性及良好的适应使用性。常见为深棕色，20℃</w:t>
                  </w:r>
                  <w:r>
                    <w:rPr>
                      <w:rFonts w:hint="eastAsia" w:cs="Times New Roman"/>
                      <w:b w:val="0"/>
                      <w:bCs w:val="0"/>
                      <w:color w:val="auto"/>
                      <w:sz w:val="21"/>
                      <w:szCs w:val="21"/>
                      <w:highlight w:val="none"/>
                      <w:lang w:val="en-US" w:eastAsia="zh-CN"/>
                    </w:rPr>
                    <w:t>黏度约</w:t>
                  </w:r>
                  <w:r>
                    <w:rPr>
                      <w:rFonts w:hint="eastAsia" w:ascii="Times New Roman" w:hAnsi="Times New Roman" w:cs="Times New Roman"/>
                      <w:b w:val="0"/>
                      <w:bCs w:val="0"/>
                      <w:color w:val="auto"/>
                      <w:sz w:val="21"/>
                      <w:szCs w:val="21"/>
                      <w:highlight w:val="none"/>
                      <w:lang w:val="en-US" w:eastAsia="zh-CN"/>
                    </w:rPr>
                    <w:t>4.5mPa.s，密度约1.007g/cm</w:t>
                  </w:r>
                  <w:r>
                    <w:rPr>
                      <w:rFonts w:hint="eastAsia" w:ascii="Times New Roman" w:hAnsi="Times New Roman" w:cs="Times New Roman"/>
                      <w:b w:val="0"/>
                      <w:bCs w:val="0"/>
                      <w:color w:val="auto"/>
                      <w:sz w:val="21"/>
                      <w:szCs w:val="21"/>
                      <w:highlight w:val="none"/>
                      <w:vertAlign w:val="superscript"/>
                      <w:lang w:val="en-US" w:eastAsia="zh-CN"/>
                    </w:rPr>
                    <w:t>3</w:t>
                  </w:r>
                  <w:r>
                    <w:rPr>
                      <w:rFonts w:hint="eastAsia" w:cs="Times New Roman"/>
                      <w:b w:val="0"/>
                      <w:bCs w:val="0"/>
                      <w:color w:val="auto"/>
                      <w:sz w:val="21"/>
                      <w:szCs w:val="21"/>
                      <w:highlight w:val="none"/>
                      <w:vertAlign w:val="superscript"/>
                      <w:lang w:val="en-US" w:eastAsia="zh-CN"/>
                    </w:rPr>
                    <w:t>，</w:t>
                  </w:r>
                </w:p>
              </w:tc>
            </w:tr>
            <w:tr w14:paraId="0761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66" w:type="pct"/>
                  <w:noWrap w:val="0"/>
                  <w:vAlign w:val="center"/>
                </w:tcPr>
                <w:p w14:paraId="08F69DDA">
                  <w:pPr>
                    <w:keepNext w:val="0"/>
                    <w:keepLines w:val="0"/>
                    <w:widowControl/>
                    <w:suppressLineNumbers w:val="0"/>
                    <w:jc w:val="center"/>
                    <w:textAlignment w:val="center"/>
                    <w:rPr>
                      <w:rFonts w:hint="default" w:ascii="Times New Roman" w:hAnsi="Times New Roman" w:cs="Times New Roman"/>
                      <w:b w:val="0"/>
                      <w:bCs w:val="0"/>
                      <w:i w:val="0"/>
                      <w:color w:val="auto"/>
                      <w:kern w:val="0"/>
                      <w:sz w:val="21"/>
                      <w:szCs w:val="21"/>
                      <w:highlight w:val="none"/>
                      <w:u w:val="none"/>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除渣剂</w:t>
                  </w:r>
                </w:p>
              </w:tc>
              <w:tc>
                <w:tcPr>
                  <w:tcW w:w="4433" w:type="pct"/>
                  <w:noWrap w:val="0"/>
                  <w:vAlign w:val="center"/>
                </w:tcPr>
                <w:p w14:paraId="3F9AF564">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复合除渣剂，铸造中用于清除铁水里，钢</w:t>
                  </w:r>
                  <w:r>
                    <w:rPr>
                      <w:rFonts w:hint="eastAsia" w:cs="Times New Roman"/>
                      <w:b w:val="0"/>
                      <w:bCs w:val="0"/>
                      <w:color w:val="auto"/>
                      <w:sz w:val="21"/>
                      <w:szCs w:val="21"/>
                      <w:highlight w:val="none"/>
                      <w:lang w:val="en-US" w:eastAsia="zh-CN"/>
                    </w:rPr>
                    <w:t>水中</w:t>
                  </w:r>
                  <w:r>
                    <w:rPr>
                      <w:rFonts w:hint="eastAsia" w:ascii="Times New Roman" w:hAnsi="Times New Roman" w:eastAsia="宋体" w:cs="Times New Roman"/>
                      <w:b w:val="0"/>
                      <w:bCs w:val="0"/>
                      <w:color w:val="auto"/>
                      <w:sz w:val="21"/>
                      <w:szCs w:val="21"/>
                      <w:highlight w:val="none"/>
                      <w:lang w:val="en-US" w:eastAsia="zh-CN"/>
                    </w:rPr>
                    <w:t>杂质的。除渣剂的规格主要有18-30目，30-50目，50-80目。主要原料为火山灰矿物质，主要成分为硅酸盐</w:t>
                  </w:r>
                  <w:r>
                    <w:rPr>
                      <w:rFonts w:hint="eastAsia" w:cs="Times New Roman"/>
                      <w:b w:val="0"/>
                      <w:bCs w:val="0"/>
                      <w:color w:val="auto"/>
                      <w:sz w:val="21"/>
                      <w:szCs w:val="21"/>
                      <w:highlight w:val="none"/>
                      <w:lang w:val="en-US" w:eastAsia="zh-CN"/>
                    </w:rPr>
                    <w:t>（如珍珠岩、硅砂等）</w:t>
                  </w:r>
                  <w:r>
                    <w:rPr>
                      <w:rFonts w:hint="eastAsia" w:ascii="Times New Roman" w:hAnsi="Times New Roman" w:eastAsia="宋体" w:cs="Times New Roman"/>
                      <w:b w:val="0"/>
                      <w:bCs w:val="0"/>
                      <w:color w:val="auto"/>
                      <w:sz w:val="21"/>
                      <w:szCs w:val="21"/>
                      <w:highlight w:val="none"/>
                      <w:lang w:val="en-US" w:eastAsia="zh-CN"/>
                    </w:rPr>
                    <w:t>，经过特殊加工配比而成，主要应用于铸造过程中铁水、钢水溶液的除渣、保温。</w:t>
                  </w:r>
                </w:p>
              </w:tc>
            </w:tr>
            <w:tr w14:paraId="0021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66" w:type="pct"/>
                  <w:noWrap w:val="0"/>
                  <w:vAlign w:val="center"/>
                </w:tcPr>
                <w:p w14:paraId="5997676B">
                  <w:pPr>
                    <w:keepNext w:val="0"/>
                    <w:keepLines w:val="0"/>
                    <w:widowControl/>
                    <w:suppressLineNumbers w:val="0"/>
                    <w:jc w:val="center"/>
                    <w:textAlignment w:val="center"/>
                    <w:rPr>
                      <w:rFonts w:hint="default" w:ascii="Times New Roman" w:hAnsi="Times New Roman" w:cs="Times New Roman"/>
                      <w:b w:val="0"/>
                      <w:bCs w:val="0"/>
                      <w:i w:val="0"/>
                      <w:color w:val="auto"/>
                      <w:kern w:val="0"/>
                      <w:sz w:val="21"/>
                      <w:szCs w:val="21"/>
                      <w:highlight w:val="none"/>
                      <w:u w:val="none"/>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脱模剂</w:t>
                  </w:r>
                </w:p>
              </w:tc>
              <w:tc>
                <w:tcPr>
                  <w:tcW w:w="4433" w:type="pct"/>
                  <w:noWrap w:val="0"/>
                  <w:vAlign w:val="center"/>
                </w:tcPr>
                <w:p w14:paraId="7578DC34">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通用型脱模剂，主要成分：悬浮剂、表面活性剂、稳定剂、有机溶剂等。由纳米颗粒反应而成的无毒无味环保产品，无毒，易挥发，但不易燃。该物质在空气中会迅速降解；该</w:t>
                  </w:r>
                  <w:r>
                    <w:rPr>
                      <w:rFonts w:hint="eastAsia" w:cs="Times New Roman"/>
                      <w:b w:val="0"/>
                      <w:bCs w:val="0"/>
                      <w:color w:val="auto"/>
                      <w:sz w:val="21"/>
                      <w:szCs w:val="21"/>
                      <w:highlight w:val="none"/>
                      <w:lang w:val="en-US" w:eastAsia="zh-CN"/>
                    </w:rPr>
                    <w:t>物质</w:t>
                  </w:r>
                  <w:r>
                    <w:rPr>
                      <w:rFonts w:hint="eastAsia" w:ascii="Times New Roman" w:hAnsi="Times New Roman" w:eastAsia="宋体" w:cs="Times New Roman"/>
                      <w:b w:val="0"/>
                      <w:bCs w:val="0"/>
                      <w:color w:val="auto"/>
                      <w:sz w:val="21"/>
                      <w:szCs w:val="21"/>
                      <w:highlight w:val="none"/>
                      <w:lang w:val="en-US" w:eastAsia="zh-CN"/>
                    </w:rPr>
                    <w:t>最大限度溶于水，不会对水生生物体形成毒性，不会对水生生物体产生长期负面影响。</w:t>
                  </w:r>
                </w:p>
                <w:p w14:paraId="77DD1DC5">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物理状态：液体                                 </w:t>
                  </w:r>
                  <w:r>
                    <w:rPr>
                      <w:rFonts w:hint="eastAsia" w:cs="Times New Roman"/>
                      <w:b w:val="0"/>
                      <w:bCs w:val="0"/>
                      <w:color w:val="auto"/>
                      <w:sz w:val="21"/>
                      <w:szCs w:val="21"/>
                      <w:highlight w:val="none"/>
                      <w:lang w:val="en-US" w:eastAsia="zh-CN"/>
                    </w:rPr>
                    <w:t>pH值</w:t>
                  </w:r>
                  <w:r>
                    <w:rPr>
                      <w:rFonts w:hint="eastAsia" w:ascii="Times New Roman" w:hAnsi="Times New Roman" w:eastAsia="宋体" w:cs="Times New Roman"/>
                      <w:b w:val="0"/>
                      <w:bCs w:val="0"/>
                      <w:color w:val="auto"/>
                      <w:sz w:val="21"/>
                      <w:szCs w:val="21"/>
                      <w:highlight w:val="none"/>
                      <w:lang w:val="en-US" w:eastAsia="zh-CN"/>
                    </w:rPr>
                    <w:t>：6.8-7.3</w:t>
                  </w:r>
                </w:p>
                <w:p w14:paraId="502F2652">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形式/颜色：银白色液体                      气味：有芳香气味</w:t>
                  </w:r>
                </w:p>
              </w:tc>
            </w:tr>
          </w:tbl>
          <w:p w14:paraId="36EFFD6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default" w:ascii="Times New Roman" w:hAnsi="Times New Roman" w:eastAsia="宋体" w:cs="Times New Roman"/>
                <w:b/>
                <w:bCs/>
                <w:color w:val="auto"/>
                <w:kern w:val="2"/>
                <w:sz w:val="24"/>
                <w:szCs w:val="24"/>
                <w:lang w:val="en-US" w:eastAsia="zh-CN"/>
              </w:rPr>
              <w:t>主要设备</w:t>
            </w:r>
          </w:p>
          <w:p w14:paraId="511E8296">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根据企业提供的资料，</w:t>
            </w:r>
            <w:r>
              <w:rPr>
                <w:rFonts w:hint="eastAsia" w:ascii="Times New Roman" w:hAnsi="Times New Roman" w:cs="Times New Roman"/>
                <w:color w:val="auto"/>
                <w:sz w:val="24"/>
                <w:szCs w:val="24"/>
                <w:highlight w:val="none"/>
                <w:lang w:val="en-US" w:eastAsia="zh-CN"/>
              </w:rPr>
              <w:t>本项目部分设备设施依托</w:t>
            </w:r>
            <w:r>
              <w:rPr>
                <w:rFonts w:hint="default" w:ascii="Times New Roman" w:hAnsi="Times New Roman" w:cs="Times New Roman"/>
                <w:color w:val="auto"/>
                <w:sz w:val="24"/>
                <w:szCs w:val="24"/>
                <w:highlight w:val="none"/>
                <w:lang w:val="en-US" w:eastAsia="zh-CN"/>
              </w:rPr>
              <w:t>企业现有项目</w:t>
            </w:r>
            <w:r>
              <w:rPr>
                <w:rFonts w:hint="eastAsia" w:ascii="Times New Roman" w:hAnsi="Times New Roman" w:cs="Times New Roman"/>
                <w:color w:val="auto"/>
                <w:sz w:val="24"/>
                <w:szCs w:val="24"/>
                <w:highlight w:val="none"/>
                <w:lang w:val="en-US" w:eastAsia="zh-CN"/>
              </w:rPr>
              <w:t>部分</w:t>
            </w:r>
            <w:r>
              <w:rPr>
                <w:rFonts w:hint="default" w:ascii="Times New Roman" w:hAnsi="Times New Roman" w:cs="Times New Roman"/>
                <w:color w:val="auto"/>
                <w:sz w:val="24"/>
                <w:szCs w:val="24"/>
                <w:highlight w:val="none"/>
                <w:lang w:val="en-US" w:eastAsia="zh-CN"/>
              </w:rPr>
              <w:t>生产设备、环保设备。</w:t>
            </w:r>
            <w:r>
              <w:rPr>
                <w:rFonts w:hint="eastAsia" w:ascii="Times New Roman" w:hAnsi="Times New Roman" w:cs="Times New Roman"/>
                <w:color w:val="auto"/>
                <w:sz w:val="24"/>
                <w:szCs w:val="24"/>
                <w:highlight w:val="none"/>
                <w:lang w:val="en-US" w:eastAsia="zh-CN"/>
              </w:rPr>
              <w:t>项目相关</w:t>
            </w:r>
            <w:r>
              <w:rPr>
                <w:rFonts w:hint="default" w:ascii="Times New Roman" w:hAnsi="Times New Roman" w:cs="Times New Roman"/>
                <w:color w:val="auto"/>
                <w:sz w:val="24"/>
                <w:szCs w:val="24"/>
                <w:highlight w:val="none"/>
                <w:lang w:val="en-US" w:eastAsia="zh-CN"/>
              </w:rPr>
              <w:t>主要设备清单见下表：</w:t>
            </w:r>
          </w:p>
          <w:p w14:paraId="227841C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2"/>
                <w:szCs w:val="22"/>
                <w:lang w:val="en-US" w:eastAsia="zh-CN"/>
              </w:rPr>
            </w:pPr>
            <w:r>
              <w:rPr>
                <w:rFonts w:hint="default" w:ascii="Times New Roman" w:hAnsi="Times New Roman" w:eastAsia="宋体" w:cs="Times New Roman"/>
                <w:b/>
                <w:bCs/>
                <w:color w:val="auto"/>
                <w:kern w:val="2"/>
                <w:sz w:val="22"/>
                <w:szCs w:val="22"/>
                <w:lang w:val="en-US" w:eastAsia="zh-CN"/>
              </w:rPr>
              <w:t>表2-</w:t>
            </w:r>
            <w:r>
              <w:rPr>
                <w:rFonts w:hint="eastAsia" w:ascii="Times New Roman" w:hAnsi="Times New Roman" w:eastAsia="宋体" w:cs="Times New Roman"/>
                <w:b/>
                <w:bCs/>
                <w:color w:val="auto"/>
                <w:kern w:val="2"/>
                <w:sz w:val="22"/>
                <w:szCs w:val="22"/>
                <w:lang w:val="en-US" w:eastAsia="zh-CN"/>
              </w:rPr>
              <w:t>6</w:t>
            </w:r>
            <w:r>
              <w:rPr>
                <w:rFonts w:hint="default" w:ascii="Times New Roman" w:hAnsi="Times New Roman" w:eastAsia="宋体" w:cs="Times New Roman"/>
                <w:b/>
                <w:bCs/>
                <w:color w:val="auto"/>
                <w:kern w:val="2"/>
                <w:sz w:val="22"/>
                <w:szCs w:val="22"/>
                <w:lang w:val="en-US" w:eastAsia="zh-CN"/>
              </w:rPr>
              <w:t xml:space="preserve"> </w:t>
            </w:r>
            <w:r>
              <w:rPr>
                <w:rFonts w:hint="eastAsia" w:ascii="Times New Roman" w:hAnsi="Times New Roman" w:eastAsia="宋体" w:cs="Times New Roman"/>
                <w:b/>
                <w:bCs/>
                <w:color w:val="auto"/>
                <w:kern w:val="2"/>
                <w:sz w:val="22"/>
                <w:szCs w:val="22"/>
                <w:lang w:val="en-US" w:eastAsia="zh-CN"/>
              </w:rPr>
              <w:t xml:space="preserve"> </w:t>
            </w:r>
            <w:r>
              <w:rPr>
                <w:rFonts w:hint="default" w:ascii="Times New Roman" w:hAnsi="Times New Roman" w:eastAsia="宋体" w:cs="Times New Roman"/>
                <w:b/>
                <w:bCs/>
                <w:color w:val="auto"/>
                <w:kern w:val="2"/>
                <w:sz w:val="22"/>
                <w:szCs w:val="22"/>
                <w:lang w:val="en-US" w:eastAsia="zh-CN"/>
              </w:rPr>
              <w:t>项目主要设备一览表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092"/>
              <w:gridCol w:w="2288"/>
              <w:gridCol w:w="608"/>
              <w:gridCol w:w="642"/>
              <w:gridCol w:w="802"/>
              <w:gridCol w:w="997"/>
              <w:gridCol w:w="662"/>
            </w:tblGrid>
            <w:tr w14:paraId="5247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98" w:type="pct"/>
                  <w:vMerge w:val="restart"/>
                  <w:noWrap w:val="0"/>
                  <w:vAlign w:val="center"/>
                </w:tcPr>
                <w:p w14:paraId="4A84DB29">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序号</w:t>
                  </w:r>
                </w:p>
              </w:tc>
              <w:tc>
                <w:tcPr>
                  <w:tcW w:w="1215" w:type="pct"/>
                  <w:vMerge w:val="restart"/>
                  <w:noWrap w:val="0"/>
                  <w:vAlign w:val="center"/>
                </w:tcPr>
                <w:p w14:paraId="2376221E">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名称</w:t>
                  </w:r>
                </w:p>
              </w:tc>
              <w:tc>
                <w:tcPr>
                  <w:tcW w:w="1329" w:type="pct"/>
                  <w:vMerge w:val="restart"/>
                  <w:noWrap w:val="0"/>
                  <w:vAlign w:val="center"/>
                </w:tcPr>
                <w:p w14:paraId="5C6928C5">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型号</w:t>
                  </w:r>
                </w:p>
              </w:tc>
              <w:tc>
                <w:tcPr>
                  <w:tcW w:w="1192" w:type="pct"/>
                  <w:gridSpan w:val="3"/>
                  <w:noWrap w:val="0"/>
                  <w:vAlign w:val="center"/>
                </w:tcPr>
                <w:p w14:paraId="6B9BD5DA">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数量</w:t>
                  </w:r>
                </w:p>
              </w:tc>
              <w:tc>
                <w:tcPr>
                  <w:tcW w:w="579" w:type="pct"/>
                  <w:vMerge w:val="restart"/>
                  <w:noWrap w:val="0"/>
                  <w:vAlign w:val="center"/>
                </w:tcPr>
                <w:p w14:paraId="61FB8002">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位置</w:t>
                  </w:r>
                </w:p>
              </w:tc>
              <w:tc>
                <w:tcPr>
                  <w:tcW w:w="384" w:type="pct"/>
                  <w:vMerge w:val="restart"/>
                  <w:noWrap w:val="0"/>
                  <w:vAlign w:val="center"/>
                </w:tcPr>
                <w:p w14:paraId="3BBA6401">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备注</w:t>
                  </w:r>
                </w:p>
              </w:tc>
            </w:tr>
            <w:tr w14:paraId="0F302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98" w:type="pct"/>
                  <w:vMerge w:val="continue"/>
                  <w:noWrap w:val="0"/>
                  <w:vAlign w:val="center"/>
                </w:tcPr>
                <w:p w14:paraId="51709709">
                  <w:pPr>
                    <w:keepNext w:val="0"/>
                    <w:keepLines w:val="0"/>
                    <w:pageBreakBefore w:val="0"/>
                    <w:widowControl w:val="0"/>
                    <w:kinsoku/>
                    <w:wordWrap/>
                    <w:overflowPunct/>
                    <w:topLinePunct w:val="0"/>
                    <w:bidi w:val="0"/>
                    <w:snapToGrid/>
                    <w:spacing w:line="240" w:lineRule="auto"/>
                    <w:jc w:val="center"/>
                    <w:textAlignment w:val="auto"/>
                    <w:rPr>
                      <w:color w:val="auto"/>
                      <w:highlight w:val="none"/>
                    </w:rPr>
                  </w:pPr>
                </w:p>
              </w:tc>
              <w:tc>
                <w:tcPr>
                  <w:tcW w:w="1215" w:type="pct"/>
                  <w:vMerge w:val="continue"/>
                  <w:noWrap w:val="0"/>
                  <w:vAlign w:val="center"/>
                </w:tcPr>
                <w:p w14:paraId="32917BC2">
                  <w:pPr>
                    <w:keepNext w:val="0"/>
                    <w:keepLines w:val="0"/>
                    <w:pageBreakBefore w:val="0"/>
                    <w:widowControl w:val="0"/>
                    <w:kinsoku/>
                    <w:wordWrap/>
                    <w:overflowPunct/>
                    <w:topLinePunct w:val="0"/>
                    <w:bidi w:val="0"/>
                    <w:snapToGrid/>
                    <w:spacing w:line="240" w:lineRule="auto"/>
                    <w:jc w:val="center"/>
                    <w:textAlignment w:val="auto"/>
                    <w:rPr>
                      <w:color w:val="auto"/>
                      <w:highlight w:val="none"/>
                    </w:rPr>
                  </w:pPr>
                </w:p>
              </w:tc>
              <w:tc>
                <w:tcPr>
                  <w:tcW w:w="1329" w:type="pct"/>
                  <w:vMerge w:val="continue"/>
                  <w:noWrap w:val="0"/>
                  <w:vAlign w:val="center"/>
                </w:tcPr>
                <w:p w14:paraId="2496CDBB">
                  <w:pPr>
                    <w:keepNext w:val="0"/>
                    <w:keepLines w:val="0"/>
                    <w:pageBreakBefore w:val="0"/>
                    <w:widowControl w:val="0"/>
                    <w:kinsoku/>
                    <w:wordWrap/>
                    <w:overflowPunct/>
                    <w:topLinePunct w:val="0"/>
                    <w:bidi w:val="0"/>
                    <w:snapToGrid/>
                    <w:spacing w:line="240" w:lineRule="auto"/>
                    <w:jc w:val="center"/>
                    <w:textAlignment w:val="auto"/>
                    <w:rPr>
                      <w:color w:val="auto"/>
                      <w:highlight w:val="none"/>
                    </w:rPr>
                  </w:pPr>
                </w:p>
              </w:tc>
              <w:tc>
                <w:tcPr>
                  <w:tcW w:w="353" w:type="pct"/>
                  <w:noWrap w:val="0"/>
                  <w:vAlign w:val="center"/>
                </w:tcPr>
                <w:p w14:paraId="773E23DD">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现有</w:t>
                  </w:r>
                </w:p>
              </w:tc>
              <w:tc>
                <w:tcPr>
                  <w:tcW w:w="373" w:type="pct"/>
                  <w:noWrap w:val="0"/>
                  <w:vAlign w:val="center"/>
                </w:tcPr>
                <w:p w14:paraId="5002BEDF">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本次</w:t>
                  </w:r>
                </w:p>
              </w:tc>
              <w:tc>
                <w:tcPr>
                  <w:tcW w:w="466" w:type="pct"/>
                  <w:noWrap w:val="0"/>
                  <w:vAlign w:val="center"/>
                </w:tcPr>
                <w:p w14:paraId="7541D0F8">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改建后</w:t>
                  </w:r>
                </w:p>
              </w:tc>
              <w:tc>
                <w:tcPr>
                  <w:tcW w:w="579" w:type="pct"/>
                  <w:vMerge w:val="continue"/>
                  <w:noWrap w:val="0"/>
                  <w:vAlign w:val="center"/>
                </w:tcPr>
                <w:p w14:paraId="12BD9192">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sz w:val="21"/>
                      <w:szCs w:val="21"/>
                      <w:highlight w:val="none"/>
                    </w:rPr>
                  </w:pPr>
                </w:p>
              </w:tc>
              <w:tc>
                <w:tcPr>
                  <w:tcW w:w="384" w:type="pct"/>
                  <w:vMerge w:val="continue"/>
                  <w:noWrap w:val="0"/>
                  <w:vAlign w:val="center"/>
                </w:tcPr>
                <w:p w14:paraId="12EF0AA3">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b/>
                      <w:bCs/>
                      <w:color w:val="auto"/>
                      <w:sz w:val="21"/>
                      <w:szCs w:val="21"/>
                      <w:highlight w:val="none"/>
                    </w:rPr>
                  </w:pPr>
                </w:p>
              </w:tc>
            </w:tr>
            <w:tr w14:paraId="284D7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8271CAA">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p>
              </w:tc>
              <w:tc>
                <w:tcPr>
                  <w:tcW w:w="1215" w:type="pct"/>
                  <w:noWrap w:val="0"/>
                  <w:vAlign w:val="center"/>
                </w:tcPr>
                <w:p w14:paraId="69E36788">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中频感应熔化电炉</w:t>
                  </w:r>
                </w:p>
              </w:tc>
              <w:tc>
                <w:tcPr>
                  <w:tcW w:w="1329" w:type="pct"/>
                  <w:noWrap w:val="0"/>
                  <w:vAlign w:val="center"/>
                </w:tcPr>
                <w:p w14:paraId="3A0EDD4D">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0.5t/h</w:t>
                  </w:r>
                </w:p>
              </w:tc>
              <w:tc>
                <w:tcPr>
                  <w:tcW w:w="353" w:type="pct"/>
                  <w:noWrap w:val="0"/>
                  <w:vAlign w:val="center"/>
                </w:tcPr>
                <w:p w14:paraId="1EC5FB6E">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2</w:t>
                  </w:r>
                </w:p>
              </w:tc>
              <w:tc>
                <w:tcPr>
                  <w:tcW w:w="373" w:type="pct"/>
                  <w:noWrap w:val="0"/>
                  <w:vAlign w:val="center"/>
                </w:tcPr>
                <w:p w14:paraId="693DD346">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7AEE3D5D">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w:t>
                  </w:r>
                </w:p>
              </w:tc>
              <w:tc>
                <w:tcPr>
                  <w:tcW w:w="579" w:type="pct"/>
                  <w:vMerge w:val="restart"/>
                  <w:noWrap w:val="0"/>
                  <w:vAlign w:val="center"/>
                </w:tcPr>
                <w:p w14:paraId="259C7E33">
                  <w:pPr>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1号厂房（铸造生产车间）</w:t>
                  </w:r>
                </w:p>
              </w:tc>
              <w:tc>
                <w:tcPr>
                  <w:tcW w:w="384" w:type="pct"/>
                  <w:noWrap w:val="0"/>
                  <w:vAlign w:val="center"/>
                </w:tcPr>
                <w:p w14:paraId="6E7B7049">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依托</w:t>
                  </w:r>
                </w:p>
              </w:tc>
            </w:tr>
            <w:tr w14:paraId="1B7E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0C8AA54">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w:t>
                  </w:r>
                </w:p>
              </w:tc>
              <w:tc>
                <w:tcPr>
                  <w:tcW w:w="1215" w:type="pct"/>
                  <w:noWrap w:val="0"/>
                  <w:vAlign w:val="center"/>
                </w:tcPr>
                <w:p w14:paraId="183BB6CD">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无箱挤压造型机</w:t>
                  </w:r>
                </w:p>
              </w:tc>
              <w:tc>
                <w:tcPr>
                  <w:tcW w:w="1329" w:type="pct"/>
                  <w:noWrap w:val="0"/>
                  <w:vAlign w:val="center"/>
                </w:tcPr>
                <w:p w14:paraId="411A1AC5">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noWrap w:val="0"/>
                  <w:vAlign w:val="center"/>
                </w:tcPr>
                <w:p w14:paraId="7998B11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3" w:type="pct"/>
                  <w:noWrap w:val="0"/>
                  <w:vAlign w:val="center"/>
                </w:tcPr>
                <w:p w14:paraId="7F94A180">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3C811DB2">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579" w:type="pct"/>
                  <w:vMerge w:val="continue"/>
                  <w:noWrap w:val="0"/>
                  <w:vAlign w:val="center"/>
                </w:tcPr>
                <w:p w14:paraId="0C6B1843">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14E261D1">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淘汰</w:t>
                  </w:r>
                </w:p>
              </w:tc>
            </w:tr>
            <w:tr w14:paraId="249A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3BE4003B">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3</w:t>
                  </w:r>
                </w:p>
              </w:tc>
              <w:tc>
                <w:tcPr>
                  <w:tcW w:w="1215" w:type="pct"/>
                  <w:noWrap w:val="0"/>
                  <w:vAlign w:val="center"/>
                </w:tcPr>
                <w:p w14:paraId="2929D276">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自动造型机</w:t>
                  </w:r>
                </w:p>
              </w:tc>
              <w:tc>
                <w:tcPr>
                  <w:tcW w:w="1329" w:type="pct"/>
                  <w:noWrap w:val="0"/>
                  <w:vAlign w:val="center"/>
                </w:tcPr>
                <w:p w14:paraId="4F5EFEED">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510×610水平分型</w:t>
                  </w:r>
                </w:p>
              </w:tc>
              <w:tc>
                <w:tcPr>
                  <w:tcW w:w="353" w:type="pct"/>
                  <w:noWrap w:val="0"/>
                  <w:vAlign w:val="center"/>
                </w:tcPr>
                <w:p w14:paraId="014E095A">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0F80D96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66" w:type="pct"/>
                  <w:noWrap w:val="0"/>
                  <w:vAlign w:val="center"/>
                </w:tcPr>
                <w:p w14:paraId="36422424">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4019F788">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2651A045">
                  <w:pPr>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新增</w:t>
                  </w:r>
                </w:p>
              </w:tc>
            </w:tr>
            <w:tr w14:paraId="3230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33EEF19D">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4</w:t>
                  </w:r>
                </w:p>
              </w:tc>
              <w:tc>
                <w:tcPr>
                  <w:tcW w:w="1215" w:type="pct"/>
                  <w:noWrap w:val="0"/>
                  <w:vAlign w:val="center"/>
                </w:tcPr>
                <w:p w14:paraId="111BBF05">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顶杆机</w:t>
                  </w:r>
                </w:p>
              </w:tc>
              <w:tc>
                <w:tcPr>
                  <w:tcW w:w="1329" w:type="pct"/>
                  <w:noWrap w:val="0"/>
                  <w:vAlign w:val="center"/>
                </w:tcPr>
                <w:p w14:paraId="574C5560">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145</w:t>
                  </w:r>
                </w:p>
              </w:tc>
              <w:tc>
                <w:tcPr>
                  <w:tcW w:w="353" w:type="pct"/>
                  <w:noWrap w:val="0"/>
                  <w:vAlign w:val="center"/>
                </w:tcPr>
                <w:p w14:paraId="490385DF">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48400462">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66" w:type="pct"/>
                  <w:noWrap w:val="0"/>
                  <w:vAlign w:val="center"/>
                </w:tcPr>
                <w:p w14:paraId="4E1FED86">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450763BF">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30F2315F">
                  <w:pPr>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淘汰</w:t>
                  </w:r>
                </w:p>
              </w:tc>
            </w:tr>
            <w:tr w14:paraId="4348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74AFEDC0">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1215" w:type="pct"/>
                  <w:noWrap w:val="0"/>
                  <w:vAlign w:val="center"/>
                </w:tcPr>
                <w:p w14:paraId="784205C7">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顶杆机</w:t>
                  </w:r>
                </w:p>
              </w:tc>
              <w:tc>
                <w:tcPr>
                  <w:tcW w:w="1329" w:type="pct"/>
                  <w:noWrap w:val="0"/>
                  <w:vAlign w:val="center"/>
                </w:tcPr>
                <w:p w14:paraId="7D110356">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146微震</w:t>
                  </w:r>
                </w:p>
              </w:tc>
              <w:tc>
                <w:tcPr>
                  <w:tcW w:w="353" w:type="pct"/>
                  <w:noWrap w:val="0"/>
                  <w:vAlign w:val="center"/>
                </w:tcPr>
                <w:p w14:paraId="1CFEF5D3">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6CF9EC64">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66" w:type="pct"/>
                  <w:noWrap w:val="0"/>
                  <w:vAlign w:val="center"/>
                </w:tcPr>
                <w:p w14:paraId="148B921E">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205394C1">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2E2076ED">
                  <w:pPr>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淘汰</w:t>
                  </w:r>
                </w:p>
              </w:tc>
            </w:tr>
            <w:tr w14:paraId="71EB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174E763E">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6</w:t>
                  </w:r>
                </w:p>
              </w:tc>
              <w:tc>
                <w:tcPr>
                  <w:tcW w:w="1215" w:type="pct"/>
                  <w:noWrap w:val="0"/>
                  <w:vAlign w:val="center"/>
                </w:tcPr>
                <w:p w14:paraId="55DA5BDC">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水平射芯机</w:t>
                  </w:r>
                </w:p>
              </w:tc>
              <w:tc>
                <w:tcPr>
                  <w:tcW w:w="1329" w:type="pct"/>
                  <w:noWrap w:val="0"/>
                  <w:vAlign w:val="center"/>
                </w:tcPr>
                <w:p w14:paraId="61FCDB43">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noWrap w:val="0"/>
                  <w:vAlign w:val="center"/>
                </w:tcPr>
                <w:p w14:paraId="36240EF4">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373" w:type="pct"/>
                  <w:noWrap w:val="0"/>
                  <w:vAlign w:val="center"/>
                </w:tcPr>
                <w:p w14:paraId="0DDD5AB9">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725165DF">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579" w:type="pct"/>
                  <w:vMerge w:val="continue"/>
                  <w:noWrap w:val="0"/>
                  <w:vAlign w:val="center"/>
                </w:tcPr>
                <w:p w14:paraId="739A955E">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7AB1415B">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3526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63EF6453">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7</w:t>
                  </w:r>
                </w:p>
              </w:tc>
              <w:tc>
                <w:tcPr>
                  <w:tcW w:w="1215" w:type="pct"/>
                  <w:noWrap w:val="0"/>
                  <w:vAlign w:val="center"/>
                </w:tcPr>
                <w:p w14:paraId="5808BDD9">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垂直射芯机</w:t>
                  </w:r>
                </w:p>
              </w:tc>
              <w:tc>
                <w:tcPr>
                  <w:tcW w:w="1329" w:type="pct"/>
                  <w:noWrap w:val="0"/>
                  <w:vAlign w:val="center"/>
                </w:tcPr>
                <w:p w14:paraId="1254E34D">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noWrap w:val="0"/>
                  <w:vAlign w:val="center"/>
                </w:tcPr>
                <w:p w14:paraId="416404CF">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1C79463F">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466" w:type="pct"/>
                  <w:noWrap w:val="0"/>
                  <w:vAlign w:val="center"/>
                </w:tcPr>
                <w:p w14:paraId="7B69CD0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579" w:type="pct"/>
                  <w:vMerge w:val="continue"/>
                  <w:noWrap w:val="0"/>
                  <w:vAlign w:val="center"/>
                </w:tcPr>
                <w:p w14:paraId="73AF7446">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30DD8AAE">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新增</w:t>
                  </w:r>
                </w:p>
              </w:tc>
            </w:tr>
            <w:tr w14:paraId="6485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9FCA10F">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w:t>
                  </w:r>
                </w:p>
              </w:tc>
              <w:tc>
                <w:tcPr>
                  <w:tcW w:w="1215" w:type="pct"/>
                  <w:noWrap w:val="0"/>
                  <w:vAlign w:val="center"/>
                </w:tcPr>
                <w:p w14:paraId="300F90B8">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碾砂机</w:t>
                  </w:r>
                </w:p>
              </w:tc>
              <w:tc>
                <w:tcPr>
                  <w:tcW w:w="1329" w:type="pct"/>
                  <w:noWrap w:val="0"/>
                  <w:vAlign w:val="center"/>
                </w:tcPr>
                <w:p w14:paraId="39AD82FD">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S558/</w:t>
                  </w:r>
                  <w:r>
                    <w:rPr>
                      <w:rFonts w:hint="eastAsia" w:ascii="Times New Roman" w:hAnsi="Times New Roman" w:eastAsia="宋体" w:cs="Times New Roman"/>
                      <w:color w:val="auto"/>
                      <w:kern w:val="2"/>
                      <w:sz w:val="21"/>
                      <w:szCs w:val="21"/>
                      <w:highlight w:val="none"/>
                      <w:lang w:val="en-US" w:eastAsia="zh-CN" w:bidi="ar-SA"/>
                    </w:rPr>
                    <w:t>国产</w:t>
                  </w:r>
                </w:p>
              </w:tc>
              <w:tc>
                <w:tcPr>
                  <w:tcW w:w="353" w:type="pct"/>
                  <w:noWrap w:val="0"/>
                  <w:vAlign w:val="center"/>
                </w:tcPr>
                <w:p w14:paraId="22199C4F">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3" w:type="pct"/>
                  <w:noWrap w:val="0"/>
                  <w:vAlign w:val="center"/>
                </w:tcPr>
                <w:p w14:paraId="251D6B6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2486AA82">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05F10B8F">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70E3BE96">
                  <w:pPr>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70CD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314A6591">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9</w:t>
                  </w:r>
                </w:p>
              </w:tc>
              <w:tc>
                <w:tcPr>
                  <w:tcW w:w="1215" w:type="pct"/>
                  <w:noWrap w:val="0"/>
                  <w:vAlign w:val="center"/>
                </w:tcPr>
                <w:p w14:paraId="59829243">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型砂搅拌机</w:t>
                  </w:r>
                </w:p>
              </w:tc>
              <w:tc>
                <w:tcPr>
                  <w:tcW w:w="1329" w:type="pct"/>
                  <w:noWrap w:val="0"/>
                  <w:vAlign w:val="center"/>
                </w:tcPr>
                <w:p w14:paraId="5968DBBF">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noWrap w:val="0"/>
                  <w:vAlign w:val="center"/>
                </w:tcPr>
                <w:p w14:paraId="08070760">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3" w:type="pct"/>
                  <w:noWrap w:val="0"/>
                  <w:vAlign w:val="center"/>
                </w:tcPr>
                <w:p w14:paraId="7242895E">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458CA557">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71AF9AF0">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36C7EC25">
                  <w:pPr>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3C504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17866C64">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1215" w:type="pct"/>
                  <w:noWrap w:val="0"/>
                  <w:vAlign w:val="center"/>
                </w:tcPr>
                <w:p w14:paraId="545239AC">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自动砂处理线</w:t>
                  </w:r>
                </w:p>
              </w:tc>
              <w:tc>
                <w:tcPr>
                  <w:tcW w:w="1329" w:type="pct"/>
                  <w:noWrap w:val="0"/>
                  <w:vAlign w:val="center"/>
                </w:tcPr>
                <w:p w14:paraId="5BE87807">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20T</w:t>
                  </w:r>
                </w:p>
              </w:tc>
              <w:tc>
                <w:tcPr>
                  <w:tcW w:w="353" w:type="pct"/>
                  <w:noWrap w:val="0"/>
                  <w:vAlign w:val="center"/>
                </w:tcPr>
                <w:p w14:paraId="50132FC0">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32A01A2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66" w:type="pct"/>
                  <w:noWrap w:val="0"/>
                  <w:vAlign w:val="center"/>
                </w:tcPr>
                <w:p w14:paraId="30767B97">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1206606E">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31408E25">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新增</w:t>
                  </w:r>
                </w:p>
              </w:tc>
            </w:tr>
            <w:tr w14:paraId="1970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7B20CC8B">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1</w:t>
                  </w:r>
                  <w:r>
                    <w:rPr>
                      <w:rFonts w:hint="eastAsia" w:cs="Times New Roman"/>
                      <w:color w:val="auto"/>
                      <w:sz w:val="21"/>
                      <w:szCs w:val="21"/>
                      <w:highlight w:val="none"/>
                      <w:lang w:val="en-US" w:eastAsia="zh-CN"/>
                    </w:rPr>
                    <w:t>1</w:t>
                  </w:r>
                </w:p>
              </w:tc>
              <w:tc>
                <w:tcPr>
                  <w:tcW w:w="1215" w:type="pct"/>
                  <w:noWrap w:val="0"/>
                  <w:vAlign w:val="center"/>
                </w:tcPr>
                <w:p w14:paraId="1D750DC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抛丸机</w:t>
                  </w:r>
                </w:p>
              </w:tc>
              <w:tc>
                <w:tcPr>
                  <w:tcW w:w="1329" w:type="pct"/>
                  <w:noWrap w:val="0"/>
                  <w:vAlign w:val="center"/>
                </w:tcPr>
                <w:p w14:paraId="06466CFB">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378立式</w:t>
                  </w:r>
                </w:p>
              </w:tc>
              <w:tc>
                <w:tcPr>
                  <w:tcW w:w="353" w:type="pct"/>
                  <w:noWrap w:val="0"/>
                  <w:vAlign w:val="center"/>
                </w:tcPr>
                <w:p w14:paraId="3D79B33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3" w:type="pct"/>
                  <w:noWrap w:val="0"/>
                  <w:vAlign w:val="center"/>
                </w:tcPr>
                <w:p w14:paraId="43201EA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7DE36449">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vMerge w:val="continue"/>
                  <w:noWrap w:val="0"/>
                  <w:vAlign w:val="center"/>
                </w:tcPr>
                <w:p w14:paraId="04919AB4">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4066522A">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454BA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2E2A6AE4">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2</w:t>
                  </w:r>
                </w:p>
              </w:tc>
              <w:tc>
                <w:tcPr>
                  <w:tcW w:w="1215" w:type="pct"/>
                  <w:noWrap w:val="0"/>
                  <w:vAlign w:val="center"/>
                </w:tcPr>
                <w:p w14:paraId="4BF8BD92">
                  <w:pPr>
                    <w:keepNext w:val="0"/>
                    <w:keepLines w:val="0"/>
                    <w:pageBreakBefore w:val="0"/>
                    <w:widowControl w:val="0"/>
                    <w:kinsoku/>
                    <w:wordWrap/>
                    <w:overflowPunct/>
                    <w:topLinePunct w:val="0"/>
                    <w:bidi w:val="0"/>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抛丸机</w:t>
                  </w:r>
                </w:p>
              </w:tc>
              <w:tc>
                <w:tcPr>
                  <w:tcW w:w="1329" w:type="pct"/>
                  <w:noWrap w:val="0"/>
                  <w:vAlign w:val="center"/>
                </w:tcPr>
                <w:p w14:paraId="5C6545C7">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Q3210卧式</w:t>
                  </w:r>
                </w:p>
              </w:tc>
              <w:tc>
                <w:tcPr>
                  <w:tcW w:w="353" w:type="pct"/>
                  <w:noWrap w:val="0"/>
                  <w:vAlign w:val="center"/>
                </w:tcPr>
                <w:p w14:paraId="6C586F8E">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373" w:type="pct"/>
                  <w:noWrap w:val="0"/>
                  <w:vAlign w:val="center"/>
                </w:tcPr>
                <w:p w14:paraId="5E5F436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1678BCD6">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579" w:type="pct"/>
                  <w:vMerge w:val="continue"/>
                  <w:noWrap w:val="0"/>
                  <w:vAlign w:val="center"/>
                </w:tcPr>
                <w:p w14:paraId="50AB06B9">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161F2E89">
                  <w:pPr>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5309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11CC6D39">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13</w:t>
                  </w:r>
                </w:p>
              </w:tc>
              <w:tc>
                <w:tcPr>
                  <w:tcW w:w="1215" w:type="pct"/>
                  <w:noWrap w:val="0"/>
                  <w:vAlign w:val="center"/>
                </w:tcPr>
                <w:p w14:paraId="53C69540">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手提式磨光机</w:t>
                  </w:r>
                </w:p>
              </w:tc>
              <w:tc>
                <w:tcPr>
                  <w:tcW w:w="1329" w:type="pct"/>
                  <w:noWrap w:val="0"/>
                  <w:vAlign w:val="center"/>
                </w:tcPr>
                <w:p w14:paraId="6B83F542">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noWrap w:val="0"/>
                  <w:vAlign w:val="center"/>
                </w:tcPr>
                <w:p w14:paraId="1514D694">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373" w:type="pct"/>
                  <w:noWrap w:val="0"/>
                  <w:vAlign w:val="center"/>
                </w:tcPr>
                <w:p w14:paraId="705D7C01">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51A2AA93">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579" w:type="pct"/>
                  <w:vMerge w:val="continue"/>
                  <w:noWrap w:val="0"/>
                  <w:vAlign w:val="center"/>
                </w:tcPr>
                <w:p w14:paraId="5CB85938">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0AD9B82E">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534F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5B327562">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14</w:t>
                  </w:r>
                </w:p>
              </w:tc>
              <w:tc>
                <w:tcPr>
                  <w:tcW w:w="1215" w:type="pct"/>
                  <w:noWrap w:val="0"/>
                  <w:vAlign w:val="center"/>
                </w:tcPr>
                <w:p w14:paraId="5F43F773">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它试驱动砂轮机</w:t>
                  </w:r>
                </w:p>
              </w:tc>
              <w:tc>
                <w:tcPr>
                  <w:tcW w:w="1329" w:type="pct"/>
                  <w:noWrap w:val="0"/>
                  <w:vAlign w:val="center"/>
                </w:tcPr>
                <w:p w14:paraId="2D34CB3A">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noWrap w:val="0"/>
                  <w:vAlign w:val="center"/>
                </w:tcPr>
                <w:p w14:paraId="3882B2CF">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373" w:type="pct"/>
                  <w:noWrap w:val="0"/>
                  <w:vAlign w:val="center"/>
                </w:tcPr>
                <w:p w14:paraId="38CFFF64">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7485EF7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579" w:type="pct"/>
                  <w:vMerge w:val="continue"/>
                  <w:noWrap w:val="0"/>
                  <w:vAlign w:val="center"/>
                </w:tcPr>
                <w:p w14:paraId="0C084547">
                  <w:pPr>
                    <w:jc w:val="center"/>
                    <w:rPr>
                      <w:rFonts w:hint="default" w:ascii="Times New Roman" w:hAnsi="Times New Roman" w:eastAsia="宋体" w:cs="Times New Roman"/>
                      <w:color w:val="auto"/>
                      <w:kern w:val="0"/>
                      <w:sz w:val="21"/>
                      <w:szCs w:val="21"/>
                      <w:highlight w:val="none"/>
                    </w:rPr>
                  </w:pPr>
                </w:p>
              </w:tc>
              <w:tc>
                <w:tcPr>
                  <w:tcW w:w="384" w:type="pct"/>
                  <w:noWrap w:val="0"/>
                  <w:vAlign w:val="center"/>
                </w:tcPr>
                <w:p w14:paraId="1DA206C9">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依托</w:t>
                  </w:r>
                </w:p>
              </w:tc>
            </w:tr>
            <w:tr w14:paraId="0579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FB53177">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15</w:t>
                  </w:r>
                </w:p>
              </w:tc>
              <w:tc>
                <w:tcPr>
                  <w:tcW w:w="1215" w:type="pct"/>
                  <w:noWrap w:val="0"/>
                  <w:vAlign w:val="center"/>
                </w:tcPr>
                <w:p w14:paraId="0AC4809D">
                  <w:pPr>
                    <w:keepNext w:val="0"/>
                    <w:keepLines w:val="0"/>
                    <w:pageBreakBefore w:val="0"/>
                    <w:widowControl w:val="0"/>
                    <w:kinsoku/>
                    <w:wordWrap/>
                    <w:overflowPunct/>
                    <w:topLinePunct w:val="0"/>
                    <w:bidi w:val="0"/>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加工中心</w:t>
                  </w:r>
                </w:p>
              </w:tc>
              <w:tc>
                <w:tcPr>
                  <w:tcW w:w="1329" w:type="pct"/>
                  <w:noWrap w:val="0"/>
                  <w:vAlign w:val="center"/>
                </w:tcPr>
                <w:p w14:paraId="0369D3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353" w:type="pct"/>
                  <w:noWrap w:val="0"/>
                  <w:vAlign w:val="center"/>
                </w:tcPr>
                <w:p w14:paraId="78FA0305">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5BE1A5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466" w:type="pct"/>
                  <w:noWrap w:val="0"/>
                  <w:vAlign w:val="center"/>
                </w:tcPr>
                <w:p w14:paraId="075F3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579" w:type="pct"/>
                  <w:vMerge w:val="restart"/>
                  <w:noWrap w:val="0"/>
                  <w:vAlign w:val="center"/>
                </w:tcPr>
                <w:p w14:paraId="00BEACAB">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w:t>
                  </w:r>
                  <w:r>
                    <w:rPr>
                      <w:rFonts w:hint="default" w:ascii="Times New Roman" w:hAnsi="Times New Roman" w:eastAsia="宋体" w:cs="Times New Roman"/>
                      <w:color w:val="auto"/>
                      <w:kern w:val="0"/>
                      <w:sz w:val="21"/>
                      <w:szCs w:val="21"/>
                      <w:highlight w:val="none"/>
                      <w:lang w:val="en-US" w:eastAsia="zh-CN"/>
                    </w:rPr>
                    <w:t>号厂房</w:t>
                  </w:r>
                </w:p>
              </w:tc>
              <w:tc>
                <w:tcPr>
                  <w:tcW w:w="384" w:type="pct"/>
                  <w:noWrap w:val="0"/>
                  <w:vAlign w:val="center"/>
                </w:tcPr>
                <w:p w14:paraId="01D19563">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新增</w:t>
                  </w:r>
                </w:p>
              </w:tc>
            </w:tr>
            <w:tr w14:paraId="741B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80ADC10">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16</w:t>
                  </w:r>
                </w:p>
              </w:tc>
              <w:tc>
                <w:tcPr>
                  <w:tcW w:w="1215" w:type="pct"/>
                  <w:noWrap w:val="0"/>
                  <w:vAlign w:val="center"/>
                </w:tcPr>
                <w:p w14:paraId="070B16DA">
                  <w:pPr>
                    <w:keepNext w:val="0"/>
                    <w:keepLines w:val="0"/>
                    <w:pageBreakBefore w:val="0"/>
                    <w:widowControl w:val="0"/>
                    <w:kinsoku/>
                    <w:wordWrap/>
                    <w:overflowPunct/>
                    <w:topLinePunct w:val="0"/>
                    <w:bidi w:val="0"/>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数控车床</w:t>
                  </w:r>
                </w:p>
              </w:tc>
              <w:tc>
                <w:tcPr>
                  <w:tcW w:w="1329" w:type="pct"/>
                  <w:noWrap w:val="0"/>
                  <w:vAlign w:val="center"/>
                </w:tcPr>
                <w:p w14:paraId="6D9B94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353" w:type="pct"/>
                  <w:noWrap w:val="0"/>
                  <w:vAlign w:val="center"/>
                </w:tcPr>
                <w:p w14:paraId="556702BA">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4A012B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466" w:type="pct"/>
                  <w:noWrap w:val="0"/>
                  <w:vAlign w:val="center"/>
                </w:tcPr>
                <w:p w14:paraId="5EB1D5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579" w:type="pct"/>
                  <w:vMerge w:val="continue"/>
                  <w:noWrap w:val="0"/>
                  <w:vAlign w:val="center"/>
                </w:tcPr>
                <w:p w14:paraId="5F17A664">
                  <w:pPr>
                    <w:jc w:val="center"/>
                    <w:rPr>
                      <w:rFonts w:hint="default" w:ascii="Times New Roman" w:hAnsi="Times New Roman" w:eastAsia="宋体" w:cs="Times New Roman"/>
                      <w:color w:val="auto"/>
                      <w:kern w:val="0"/>
                      <w:sz w:val="21"/>
                      <w:szCs w:val="21"/>
                      <w:highlight w:val="none"/>
                      <w:lang w:val="en-US" w:eastAsia="zh-CN"/>
                    </w:rPr>
                  </w:pPr>
                </w:p>
              </w:tc>
              <w:tc>
                <w:tcPr>
                  <w:tcW w:w="384" w:type="pct"/>
                  <w:noWrap w:val="0"/>
                  <w:vAlign w:val="center"/>
                </w:tcPr>
                <w:p w14:paraId="6A9B0A77">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新增</w:t>
                  </w:r>
                </w:p>
              </w:tc>
            </w:tr>
            <w:tr w14:paraId="474A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6CF45C9A">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17</w:t>
                  </w:r>
                </w:p>
              </w:tc>
              <w:tc>
                <w:tcPr>
                  <w:tcW w:w="1215" w:type="pct"/>
                  <w:noWrap w:val="0"/>
                  <w:vAlign w:val="center"/>
                </w:tcPr>
                <w:p w14:paraId="0B05F292">
                  <w:pPr>
                    <w:keepNext w:val="0"/>
                    <w:keepLines w:val="0"/>
                    <w:pageBreakBefore w:val="0"/>
                    <w:widowControl w:val="0"/>
                    <w:kinsoku/>
                    <w:wordWrap/>
                    <w:overflowPunct/>
                    <w:topLinePunct w:val="0"/>
                    <w:bidi w:val="0"/>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普通车床</w:t>
                  </w:r>
                </w:p>
              </w:tc>
              <w:tc>
                <w:tcPr>
                  <w:tcW w:w="1329" w:type="pct"/>
                  <w:noWrap w:val="0"/>
                  <w:vAlign w:val="center"/>
                </w:tcPr>
                <w:p w14:paraId="63BBB7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353" w:type="pct"/>
                  <w:noWrap w:val="0"/>
                  <w:vAlign w:val="center"/>
                </w:tcPr>
                <w:p w14:paraId="3F565B81">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5A7D62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466" w:type="pct"/>
                  <w:noWrap w:val="0"/>
                  <w:vAlign w:val="center"/>
                </w:tcPr>
                <w:p w14:paraId="570143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579" w:type="pct"/>
                  <w:vMerge w:val="continue"/>
                  <w:noWrap w:val="0"/>
                  <w:vAlign w:val="center"/>
                </w:tcPr>
                <w:p w14:paraId="1FC90ADA">
                  <w:pPr>
                    <w:jc w:val="center"/>
                    <w:rPr>
                      <w:rFonts w:hint="default" w:ascii="Times New Roman" w:hAnsi="Times New Roman" w:eastAsia="宋体" w:cs="Times New Roman"/>
                      <w:color w:val="auto"/>
                      <w:kern w:val="0"/>
                      <w:sz w:val="21"/>
                      <w:szCs w:val="21"/>
                      <w:highlight w:val="none"/>
                      <w:lang w:val="en-US" w:eastAsia="zh-CN"/>
                    </w:rPr>
                  </w:pPr>
                </w:p>
              </w:tc>
              <w:tc>
                <w:tcPr>
                  <w:tcW w:w="384" w:type="pct"/>
                  <w:noWrap w:val="0"/>
                  <w:vAlign w:val="center"/>
                </w:tcPr>
                <w:p w14:paraId="6EA81D2C">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新增</w:t>
                  </w:r>
                </w:p>
              </w:tc>
            </w:tr>
            <w:tr w14:paraId="1302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BA9018B">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18</w:t>
                  </w:r>
                </w:p>
              </w:tc>
              <w:tc>
                <w:tcPr>
                  <w:tcW w:w="1215" w:type="pct"/>
                  <w:noWrap w:val="0"/>
                  <w:vAlign w:val="center"/>
                </w:tcPr>
                <w:p w14:paraId="1DB2E80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立式打磨机</w:t>
                  </w:r>
                </w:p>
              </w:tc>
              <w:tc>
                <w:tcPr>
                  <w:tcW w:w="1329" w:type="pct"/>
                  <w:noWrap w:val="0"/>
                  <w:vAlign w:val="center"/>
                </w:tcPr>
                <w:p w14:paraId="2222A6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353" w:type="pct"/>
                  <w:noWrap w:val="0"/>
                  <w:vAlign w:val="center"/>
                </w:tcPr>
                <w:p w14:paraId="306B3086">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0D3AF1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466" w:type="pct"/>
                  <w:noWrap w:val="0"/>
                  <w:vAlign w:val="center"/>
                </w:tcPr>
                <w:p w14:paraId="580F62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579" w:type="pct"/>
                  <w:vMerge w:val="continue"/>
                  <w:noWrap w:val="0"/>
                  <w:vAlign w:val="center"/>
                </w:tcPr>
                <w:p w14:paraId="4ECD09AF">
                  <w:pPr>
                    <w:jc w:val="center"/>
                    <w:rPr>
                      <w:rFonts w:hint="default" w:ascii="Times New Roman" w:hAnsi="Times New Roman" w:eastAsia="宋体" w:cs="Times New Roman"/>
                      <w:color w:val="auto"/>
                      <w:kern w:val="0"/>
                      <w:sz w:val="21"/>
                      <w:szCs w:val="21"/>
                      <w:highlight w:val="none"/>
                      <w:lang w:val="en-US" w:eastAsia="zh-CN"/>
                    </w:rPr>
                  </w:pPr>
                </w:p>
              </w:tc>
              <w:tc>
                <w:tcPr>
                  <w:tcW w:w="384" w:type="pct"/>
                  <w:noWrap w:val="0"/>
                  <w:vAlign w:val="center"/>
                </w:tcPr>
                <w:p w14:paraId="2378F58F">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新增</w:t>
                  </w:r>
                </w:p>
              </w:tc>
            </w:tr>
            <w:tr w14:paraId="11FE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7B35CBF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19</w:t>
                  </w:r>
                </w:p>
              </w:tc>
              <w:tc>
                <w:tcPr>
                  <w:tcW w:w="1215" w:type="pct"/>
                  <w:shd w:val="clear" w:color="auto" w:fill="auto"/>
                  <w:noWrap w:val="0"/>
                  <w:vAlign w:val="center"/>
                </w:tcPr>
                <w:p w14:paraId="1298ECE6">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加工中心</w:t>
                  </w:r>
                </w:p>
              </w:tc>
              <w:tc>
                <w:tcPr>
                  <w:tcW w:w="1329" w:type="pct"/>
                  <w:shd w:val="clear" w:color="auto" w:fill="auto"/>
                  <w:noWrap w:val="0"/>
                  <w:vAlign w:val="center"/>
                </w:tcPr>
                <w:p w14:paraId="042422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353" w:type="pct"/>
                  <w:shd w:val="clear" w:color="auto" w:fill="auto"/>
                  <w:noWrap w:val="0"/>
                  <w:vAlign w:val="center"/>
                </w:tcPr>
                <w:p w14:paraId="253431EE">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w:t>
                  </w:r>
                </w:p>
              </w:tc>
              <w:tc>
                <w:tcPr>
                  <w:tcW w:w="373" w:type="pct"/>
                  <w:shd w:val="clear" w:color="auto" w:fill="auto"/>
                  <w:noWrap w:val="0"/>
                  <w:vAlign w:val="center"/>
                </w:tcPr>
                <w:p w14:paraId="493490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466" w:type="pct"/>
                  <w:shd w:val="clear" w:color="auto" w:fill="auto"/>
                  <w:noWrap w:val="0"/>
                  <w:vAlign w:val="center"/>
                </w:tcPr>
                <w:p w14:paraId="1FD7E5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579" w:type="pct"/>
                  <w:vMerge w:val="restart"/>
                  <w:noWrap w:val="0"/>
                  <w:vAlign w:val="center"/>
                </w:tcPr>
                <w:p w14:paraId="0A30485E">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2号厂房</w:t>
                  </w:r>
                </w:p>
              </w:tc>
              <w:tc>
                <w:tcPr>
                  <w:tcW w:w="384" w:type="pct"/>
                  <w:shd w:val="clear" w:color="auto" w:fill="auto"/>
                  <w:noWrap w:val="0"/>
                  <w:vAlign w:val="center"/>
                </w:tcPr>
                <w:p w14:paraId="714EA6E9">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新增</w:t>
                  </w:r>
                </w:p>
              </w:tc>
            </w:tr>
            <w:tr w14:paraId="0AEA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591F56A">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215" w:type="pct"/>
                  <w:shd w:val="clear" w:color="auto" w:fill="auto"/>
                  <w:noWrap w:val="0"/>
                  <w:vAlign w:val="center"/>
                </w:tcPr>
                <w:p w14:paraId="4F40001B">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数控车床</w:t>
                  </w:r>
                </w:p>
              </w:tc>
              <w:tc>
                <w:tcPr>
                  <w:tcW w:w="1329" w:type="pct"/>
                  <w:shd w:val="clear" w:color="auto" w:fill="auto"/>
                  <w:noWrap w:val="0"/>
                  <w:vAlign w:val="center"/>
                </w:tcPr>
                <w:p w14:paraId="0CF163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353" w:type="pct"/>
                  <w:shd w:val="clear" w:color="auto" w:fill="auto"/>
                  <w:noWrap w:val="0"/>
                  <w:vAlign w:val="center"/>
                </w:tcPr>
                <w:p w14:paraId="41216DC2">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w:t>
                  </w:r>
                </w:p>
              </w:tc>
              <w:tc>
                <w:tcPr>
                  <w:tcW w:w="373" w:type="pct"/>
                  <w:shd w:val="clear" w:color="auto" w:fill="auto"/>
                  <w:noWrap w:val="0"/>
                  <w:vAlign w:val="center"/>
                </w:tcPr>
                <w:p w14:paraId="345F99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466" w:type="pct"/>
                  <w:shd w:val="clear" w:color="auto" w:fill="auto"/>
                  <w:noWrap w:val="0"/>
                  <w:vAlign w:val="center"/>
                </w:tcPr>
                <w:p w14:paraId="35E353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579" w:type="pct"/>
                  <w:vMerge w:val="continue"/>
                  <w:noWrap w:val="0"/>
                  <w:vAlign w:val="center"/>
                </w:tcPr>
                <w:p w14:paraId="4FA543E5">
                  <w:pPr>
                    <w:jc w:val="center"/>
                    <w:rPr>
                      <w:rFonts w:hint="default" w:ascii="Times New Roman" w:hAnsi="Times New Roman" w:eastAsia="宋体" w:cs="Times New Roman"/>
                      <w:color w:val="auto"/>
                      <w:kern w:val="0"/>
                      <w:sz w:val="21"/>
                      <w:szCs w:val="21"/>
                      <w:highlight w:val="none"/>
                      <w:lang w:val="en-US" w:eastAsia="zh-CN"/>
                    </w:rPr>
                  </w:pPr>
                </w:p>
              </w:tc>
              <w:tc>
                <w:tcPr>
                  <w:tcW w:w="384" w:type="pct"/>
                  <w:shd w:val="clear" w:color="auto" w:fill="auto"/>
                  <w:noWrap w:val="0"/>
                  <w:vAlign w:val="center"/>
                </w:tcPr>
                <w:p w14:paraId="2658ADED">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新增</w:t>
                  </w:r>
                </w:p>
              </w:tc>
            </w:tr>
            <w:tr w14:paraId="2B23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49E3D9EE">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21</w:t>
                  </w:r>
                </w:p>
              </w:tc>
              <w:tc>
                <w:tcPr>
                  <w:tcW w:w="1215" w:type="pct"/>
                  <w:shd w:val="clear" w:color="auto" w:fill="auto"/>
                  <w:noWrap w:val="0"/>
                  <w:vAlign w:val="center"/>
                </w:tcPr>
                <w:p w14:paraId="3CA6D313">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普通车床</w:t>
                  </w:r>
                </w:p>
              </w:tc>
              <w:tc>
                <w:tcPr>
                  <w:tcW w:w="1329" w:type="pct"/>
                  <w:shd w:val="clear" w:color="auto" w:fill="auto"/>
                  <w:noWrap w:val="0"/>
                  <w:vAlign w:val="center"/>
                </w:tcPr>
                <w:p w14:paraId="0291A6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353" w:type="pct"/>
                  <w:shd w:val="clear" w:color="auto" w:fill="auto"/>
                  <w:noWrap w:val="0"/>
                  <w:vAlign w:val="center"/>
                </w:tcPr>
                <w:p w14:paraId="61F92FC6">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w:t>
                  </w:r>
                </w:p>
              </w:tc>
              <w:tc>
                <w:tcPr>
                  <w:tcW w:w="373" w:type="pct"/>
                  <w:shd w:val="clear" w:color="auto" w:fill="auto"/>
                  <w:noWrap w:val="0"/>
                  <w:vAlign w:val="center"/>
                </w:tcPr>
                <w:p w14:paraId="3FB42A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466" w:type="pct"/>
                  <w:shd w:val="clear" w:color="auto" w:fill="auto"/>
                  <w:noWrap w:val="0"/>
                  <w:vAlign w:val="center"/>
                </w:tcPr>
                <w:p w14:paraId="5BC676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579" w:type="pct"/>
                  <w:vMerge w:val="continue"/>
                  <w:noWrap w:val="0"/>
                  <w:vAlign w:val="center"/>
                </w:tcPr>
                <w:p w14:paraId="3438EA18">
                  <w:pPr>
                    <w:jc w:val="center"/>
                    <w:rPr>
                      <w:rFonts w:hint="default" w:ascii="Times New Roman" w:hAnsi="Times New Roman" w:eastAsia="宋体" w:cs="Times New Roman"/>
                      <w:color w:val="auto"/>
                      <w:kern w:val="0"/>
                      <w:sz w:val="21"/>
                      <w:szCs w:val="21"/>
                      <w:highlight w:val="none"/>
                      <w:lang w:val="en-US" w:eastAsia="zh-CN"/>
                    </w:rPr>
                  </w:pPr>
                </w:p>
              </w:tc>
              <w:tc>
                <w:tcPr>
                  <w:tcW w:w="384" w:type="pct"/>
                  <w:shd w:val="clear" w:color="auto" w:fill="auto"/>
                  <w:noWrap w:val="0"/>
                  <w:vAlign w:val="center"/>
                </w:tcPr>
                <w:p w14:paraId="714B7432">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新增</w:t>
                  </w:r>
                </w:p>
              </w:tc>
            </w:tr>
            <w:tr w14:paraId="4B85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2381A4C7">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22</w:t>
                  </w:r>
                </w:p>
              </w:tc>
              <w:tc>
                <w:tcPr>
                  <w:tcW w:w="1215" w:type="pct"/>
                  <w:shd w:val="clear" w:color="auto" w:fill="auto"/>
                  <w:noWrap w:val="0"/>
                  <w:vAlign w:val="center"/>
                </w:tcPr>
                <w:p w14:paraId="5D43AAF4">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立式打磨机</w:t>
                  </w:r>
                </w:p>
              </w:tc>
              <w:tc>
                <w:tcPr>
                  <w:tcW w:w="1329" w:type="pct"/>
                  <w:shd w:val="clear" w:color="auto" w:fill="auto"/>
                  <w:noWrap w:val="0"/>
                  <w:vAlign w:val="center"/>
                </w:tcPr>
                <w:p w14:paraId="3FD888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353" w:type="pct"/>
                  <w:shd w:val="clear" w:color="auto" w:fill="auto"/>
                  <w:noWrap w:val="0"/>
                  <w:vAlign w:val="center"/>
                </w:tcPr>
                <w:p w14:paraId="3B13A9F8">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w:t>
                  </w:r>
                </w:p>
              </w:tc>
              <w:tc>
                <w:tcPr>
                  <w:tcW w:w="373" w:type="pct"/>
                  <w:shd w:val="clear" w:color="auto" w:fill="auto"/>
                  <w:noWrap w:val="0"/>
                  <w:vAlign w:val="center"/>
                </w:tcPr>
                <w:p w14:paraId="02ED92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466" w:type="pct"/>
                  <w:shd w:val="clear" w:color="auto" w:fill="auto"/>
                  <w:noWrap w:val="0"/>
                  <w:vAlign w:val="center"/>
                </w:tcPr>
                <w:p w14:paraId="7D8941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579" w:type="pct"/>
                  <w:vMerge w:val="continue"/>
                  <w:noWrap w:val="0"/>
                  <w:vAlign w:val="center"/>
                </w:tcPr>
                <w:p w14:paraId="0F7E253B">
                  <w:pPr>
                    <w:jc w:val="center"/>
                    <w:rPr>
                      <w:rFonts w:hint="default" w:ascii="Times New Roman" w:hAnsi="Times New Roman" w:eastAsia="宋体" w:cs="Times New Roman"/>
                      <w:color w:val="auto"/>
                      <w:kern w:val="0"/>
                      <w:sz w:val="21"/>
                      <w:szCs w:val="21"/>
                      <w:highlight w:val="none"/>
                      <w:lang w:val="en-US" w:eastAsia="zh-CN"/>
                    </w:rPr>
                  </w:pPr>
                </w:p>
              </w:tc>
              <w:tc>
                <w:tcPr>
                  <w:tcW w:w="384" w:type="pct"/>
                  <w:shd w:val="clear" w:color="auto" w:fill="auto"/>
                  <w:noWrap w:val="0"/>
                  <w:vAlign w:val="center"/>
                </w:tcPr>
                <w:p w14:paraId="036FC9E0">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新增</w:t>
                  </w:r>
                </w:p>
              </w:tc>
            </w:tr>
            <w:tr w14:paraId="6CAB6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54D2A9ED">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23</w:t>
                  </w:r>
                </w:p>
              </w:tc>
              <w:tc>
                <w:tcPr>
                  <w:tcW w:w="1215" w:type="pct"/>
                  <w:noWrap w:val="0"/>
                  <w:vAlign w:val="center"/>
                </w:tcPr>
                <w:p w14:paraId="67326FD8">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回火炉</w:t>
                  </w:r>
                </w:p>
              </w:tc>
              <w:tc>
                <w:tcPr>
                  <w:tcW w:w="1329" w:type="pct"/>
                  <w:noWrap w:val="0"/>
                  <w:vAlign w:val="center"/>
                </w:tcPr>
                <w:p w14:paraId="5D5C07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353" w:type="pct"/>
                  <w:noWrap w:val="0"/>
                  <w:vAlign w:val="center"/>
                </w:tcPr>
                <w:p w14:paraId="09470D85">
                  <w:pPr>
                    <w:keepNext w:val="0"/>
                    <w:keepLines w:val="0"/>
                    <w:pageBreakBefore w:val="0"/>
                    <w:widowControl w:val="0"/>
                    <w:kinsoku/>
                    <w:wordWrap/>
                    <w:overflowPunct/>
                    <w:topLinePunct w:val="0"/>
                    <w:bidi w:val="0"/>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373" w:type="pct"/>
                  <w:noWrap w:val="0"/>
                  <w:vAlign w:val="center"/>
                </w:tcPr>
                <w:p w14:paraId="4E46AD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66" w:type="pct"/>
                  <w:noWrap w:val="0"/>
                  <w:vAlign w:val="center"/>
                </w:tcPr>
                <w:p w14:paraId="6D5EB9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noWrap w:val="0"/>
                  <w:vAlign w:val="center"/>
                </w:tcPr>
                <w:p w14:paraId="5F13B4C5">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c>
                <w:tcPr>
                  <w:tcW w:w="384" w:type="pct"/>
                  <w:noWrap w:val="0"/>
                  <w:vAlign w:val="center"/>
                </w:tcPr>
                <w:p w14:paraId="3FC24BF8">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r>
            <w:tr w14:paraId="78DB4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8" w:type="pct"/>
                  <w:shd w:val="clear" w:color="auto" w:fill="auto"/>
                  <w:noWrap w:val="0"/>
                  <w:vAlign w:val="center"/>
                </w:tcPr>
                <w:p w14:paraId="5E2B0E23">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24</w:t>
                  </w:r>
                </w:p>
              </w:tc>
              <w:tc>
                <w:tcPr>
                  <w:tcW w:w="1215" w:type="pct"/>
                  <w:noWrap w:val="0"/>
                  <w:vAlign w:val="center"/>
                </w:tcPr>
                <w:p w14:paraId="11C59E76">
                  <w:pPr>
                    <w:keepNext w:val="0"/>
                    <w:keepLines w:val="0"/>
                    <w:pageBreakBefore w:val="0"/>
                    <w:widowControl w:val="0"/>
                    <w:kinsoku/>
                    <w:wordWrap/>
                    <w:overflowPunct/>
                    <w:topLinePunct w:val="0"/>
                    <w:bidi w:val="0"/>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冷却塔</w:t>
                  </w:r>
                </w:p>
              </w:tc>
              <w:tc>
                <w:tcPr>
                  <w:tcW w:w="1329" w:type="pct"/>
                  <w:noWrap w:val="0"/>
                  <w:vAlign w:val="center"/>
                </w:tcPr>
                <w:p w14:paraId="30B66B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353" w:type="pct"/>
                  <w:noWrap w:val="0"/>
                  <w:vAlign w:val="center"/>
                </w:tcPr>
                <w:p w14:paraId="33685887">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3" w:type="pct"/>
                  <w:noWrap w:val="0"/>
                  <w:vAlign w:val="center"/>
                </w:tcPr>
                <w:p w14:paraId="54C3B6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466" w:type="pct"/>
                  <w:noWrap w:val="0"/>
                  <w:vAlign w:val="center"/>
                </w:tcPr>
                <w:p w14:paraId="22A874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579" w:type="pct"/>
                  <w:noWrap w:val="0"/>
                  <w:vAlign w:val="center"/>
                </w:tcPr>
                <w:p w14:paraId="4D0BEE02">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c>
                <w:tcPr>
                  <w:tcW w:w="384" w:type="pct"/>
                  <w:noWrap w:val="0"/>
                  <w:vAlign w:val="center"/>
                </w:tcPr>
                <w:p w14:paraId="3A687480">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依托</w:t>
                  </w:r>
                </w:p>
              </w:tc>
            </w:tr>
          </w:tbl>
          <w:p w14:paraId="33B3F23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5.</w:t>
            </w:r>
            <w:r>
              <w:rPr>
                <w:rFonts w:hint="default" w:ascii="Times New Roman" w:hAnsi="Times New Roman" w:eastAsia="宋体" w:cs="Times New Roman"/>
                <w:b/>
                <w:bCs/>
                <w:color w:val="auto"/>
                <w:kern w:val="2"/>
                <w:sz w:val="24"/>
                <w:szCs w:val="24"/>
                <w:lang w:val="en-US" w:eastAsia="zh-CN"/>
              </w:rPr>
              <w:t>公用工程</w:t>
            </w:r>
          </w:p>
          <w:p w14:paraId="2BF3D49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（1）给水</w:t>
            </w:r>
          </w:p>
          <w:p w14:paraId="4E59AB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现有项目环评申报用水主要为</w:t>
            </w:r>
            <w:r>
              <w:rPr>
                <w:rFonts w:hint="default" w:ascii="Times New Roman" w:hAnsi="Times New Roman" w:cs="Times New Roman"/>
                <w:color w:val="auto"/>
                <w:sz w:val="24"/>
                <w:szCs w:val="20"/>
                <w:highlight w:val="none"/>
                <w:lang w:val="en-US" w:eastAsia="zh-CN"/>
              </w:rPr>
              <w:t>职工生活用水</w:t>
            </w:r>
            <w:r>
              <w:rPr>
                <w:rFonts w:hint="eastAsia" w:ascii="Times New Roman" w:hAnsi="Times New Roman" w:cs="Times New Roman"/>
                <w:color w:val="auto"/>
                <w:sz w:val="24"/>
                <w:szCs w:val="20"/>
                <w:highlight w:val="none"/>
                <w:lang w:val="en-US" w:eastAsia="zh-CN"/>
              </w:rPr>
              <w:t>（1</w:t>
            </w:r>
            <w:r>
              <w:rPr>
                <w:rFonts w:hint="eastAsia" w:cs="Times New Roman"/>
                <w:color w:val="auto"/>
                <w:sz w:val="24"/>
                <w:szCs w:val="20"/>
                <w:highlight w:val="none"/>
                <w:lang w:val="en-US" w:eastAsia="zh-CN"/>
              </w:rPr>
              <w:t>80</w:t>
            </w:r>
            <w:r>
              <w:rPr>
                <w:rFonts w:hint="eastAsia" w:ascii="Times New Roman" w:hAnsi="Times New Roman" w:cs="Times New Roman"/>
                <w:color w:val="auto"/>
                <w:sz w:val="24"/>
                <w:szCs w:val="20"/>
                <w:highlight w:val="none"/>
                <w:lang w:val="en-US" w:eastAsia="zh-CN"/>
              </w:rPr>
              <w:t>0t/a）、</w:t>
            </w:r>
            <w:r>
              <w:rPr>
                <w:rFonts w:hint="default" w:ascii="Times New Roman" w:hAnsi="Times New Roman" w:cs="Times New Roman"/>
                <w:color w:val="auto"/>
                <w:kern w:val="0"/>
                <w:sz w:val="24"/>
                <w:highlight w:val="none"/>
                <w:lang w:val="en-US" w:eastAsia="zh-CN"/>
              </w:rPr>
              <w:t>中频炉熔炉冷却</w:t>
            </w:r>
            <w:r>
              <w:rPr>
                <w:rFonts w:hint="eastAsia" w:ascii="Times New Roman" w:hAnsi="Times New Roman" w:cs="Times New Roman"/>
                <w:color w:val="auto"/>
                <w:kern w:val="0"/>
                <w:sz w:val="24"/>
                <w:highlight w:val="none"/>
                <w:lang w:val="en-US" w:eastAsia="zh-CN"/>
              </w:rPr>
              <w:t>用补充</w:t>
            </w:r>
            <w:r>
              <w:rPr>
                <w:rFonts w:hint="default" w:ascii="Times New Roman" w:hAnsi="Times New Roman" w:cs="Times New Roman"/>
                <w:color w:val="auto"/>
                <w:kern w:val="0"/>
                <w:sz w:val="24"/>
                <w:highlight w:val="none"/>
                <w:lang w:val="en-US" w:eastAsia="zh-CN"/>
              </w:rPr>
              <w:t>水</w:t>
            </w:r>
            <w:r>
              <w:rPr>
                <w:rFonts w:hint="eastAsia" w:ascii="Times New Roman" w:hAnsi="Times New Roman" w:cs="Times New Roman"/>
                <w:color w:val="auto"/>
                <w:sz w:val="24"/>
                <w:szCs w:val="20"/>
                <w:highlight w:val="none"/>
                <w:lang w:val="en-US" w:eastAsia="zh-CN"/>
              </w:rPr>
              <w:t>（</w:t>
            </w:r>
            <w:r>
              <w:rPr>
                <w:rFonts w:hint="eastAsia" w:cs="Times New Roman"/>
                <w:color w:val="auto"/>
                <w:kern w:val="0"/>
                <w:sz w:val="24"/>
                <w:highlight w:val="none"/>
                <w:lang w:val="en-US" w:eastAsia="zh-CN"/>
              </w:rPr>
              <w:t>2880</w:t>
            </w:r>
            <w:r>
              <w:rPr>
                <w:rFonts w:hint="eastAsia" w:ascii="Times New Roman" w:hAnsi="Times New Roman" w:cs="Times New Roman"/>
                <w:color w:val="auto"/>
                <w:sz w:val="24"/>
                <w:szCs w:val="20"/>
                <w:highlight w:val="none"/>
                <w:lang w:val="en-US" w:eastAsia="zh-CN"/>
              </w:rPr>
              <w:t>t/a）</w:t>
            </w:r>
            <w:r>
              <w:rPr>
                <w:rFonts w:hint="eastAsia" w:ascii="Times New Roman" w:hAnsi="Times New Roman" w:cs="Times New Roman"/>
                <w:color w:val="auto"/>
                <w:kern w:val="0"/>
                <w:sz w:val="24"/>
                <w:highlight w:val="none"/>
                <w:lang w:val="en-US" w:eastAsia="zh-CN"/>
              </w:rPr>
              <w:t>，年总用水量约为</w:t>
            </w:r>
            <w:r>
              <w:rPr>
                <w:rFonts w:hint="eastAsia" w:cs="Times New Roman"/>
                <w:color w:val="auto"/>
                <w:kern w:val="0"/>
                <w:sz w:val="24"/>
                <w:highlight w:val="none"/>
                <w:lang w:val="en-US" w:eastAsia="zh-CN"/>
              </w:rPr>
              <w:t>4680</w:t>
            </w:r>
            <w:r>
              <w:rPr>
                <w:rFonts w:hint="eastAsia" w:ascii="Times New Roman" w:hAnsi="Times New Roman" w:cs="Times New Roman"/>
                <w:color w:val="auto"/>
                <w:kern w:val="0"/>
                <w:sz w:val="24"/>
                <w:highlight w:val="none"/>
                <w:lang w:val="en-US" w:eastAsia="zh-CN"/>
              </w:rPr>
              <w:t>t/a。</w:t>
            </w:r>
          </w:p>
          <w:p w14:paraId="52368BE0">
            <w:pPr>
              <w:widowControl/>
              <w:adjustRightInd w:val="0"/>
              <w:snapToGrid w:val="0"/>
              <w:spacing w:line="360" w:lineRule="auto"/>
              <w:ind w:firstLine="480" w:firstLineChars="200"/>
              <w:jc w:val="left"/>
              <w:rPr>
                <w:rFonts w:hint="default"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根据建设单位提供资料，</w:t>
            </w:r>
            <w:r>
              <w:rPr>
                <w:rFonts w:hint="eastAsia" w:ascii="Times New Roman" w:hAnsi="Times New Roman" w:cs="Times New Roman"/>
                <w:color w:val="auto"/>
                <w:kern w:val="0"/>
                <w:sz w:val="24"/>
                <w:highlight w:val="none"/>
                <w:lang w:val="en-US" w:eastAsia="zh-CN"/>
              </w:rPr>
              <w:t>0.5t/h中频感应电炉循环冷却水量</w:t>
            </w:r>
            <w:r>
              <w:rPr>
                <w:rFonts w:hint="eastAsia" w:cs="Times New Roman"/>
                <w:color w:val="auto"/>
                <w:kern w:val="0"/>
                <w:sz w:val="24"/>
                <w:highlight w:val="none"/>
                <w:lang w:val="en-US" w:eastAsia="zh-CN"/>
              </w:rPr>
              <w:t>为30</w:t>
            </w:r>
            <w:r>
              <w:rPr>
                <w:rFonts w:hint="eastAsia" w:ascii="Times New Roman" w:hAnsi="Times New Roman" w:cs="Times New Roman"/>
                <w:color w:val="auto"/>
                <w:kern w:val="0"/>
                <w:sz w:val="24"/>
                <w:highlight w:val="none"/>
                <w:lang w:val="en-US" w:eastAsia="zh-CN"/>
              </w:rPr>
              <w:t>m³/h</w:t>
            </w:r>
            <w:r>
              <w:rPr>
                <w:rFonts w:hint="eastAsia" w:cs="Times New Roman"/>
                <w:color w:val="auto"/>
                <w:kern w:val="0"/>
                <w:sz w:val="24"/>
                <w:highlight w:val="none"/>
                <w:lang w:val="en-US" w:eastAsia="zh-CN"/>
              </w:rPr>
              <w:t>。补充量为循环水因蒸发等产生的损耗补充，铸造行业闭式循环冷却系统的补充率为循环水量的2%，</w:t>
            </w:r>
            <w:r>
              <w:rPr>
                <w:rFonts w:hint="default" w:ascii="Times New Roman" w:hAnsi="Times New Roman" w:cs="Times New Roman"/>
                <w:color w:val="auto"/>
                <w:kern w:val="0"/>
                <w:sz w:val="24"/>
                <w:highlight w:val="none"/>
              </w:rPr>
              <w:t>每天</w:t>
            </w:r>
            <w:r>
              <w:rPr>
                <w:rFonts w:hint="eastAsia" w:ascii="Times New Roman" w:hAnsi="Times New Roman" w:cs="Times New Roman"/>
                <w:color w:val="auto"/>
                <w:kern w:val="0"/>
                <w:sz w:val="24"/>
                <w:highlight w:val="none"/>
                <w:lang w:val="en-US" w:eastAsia="zh-CN"/>
              </w:rPr>
              <w:t>中频感应电炉</w:t>
            </w:r>
            <w:r>
              <w:rPr>
                <w:rFonts w:hint="default" w:ascii="Times New Roman" w:hAnsi="Times New Roman" w:cs="Times New Roman"/>
                <w:color w:val="auto"/>
                <w:kern w:val="0"/>
                <w:sz w:val="24"/>
                <w:highlight w:val="none"/>
              </w:rPr>
              <w:t>冷却水补充量为</w:t>
            </w:r>
            <w:r>
              <w:rPr>
                <w:rFonts w:hint="eastAsia" w:cs="Times New Roman"/>
                <w:color w:val="auto"/>
                <w:kern w:val="0"/>
                <w:sz w:val="24"/>
                <w:highlight w:val="none"/>
                <w:lang w:val="en-US" w:eastAsia="zh-CN"/>
              </w:rPr>
              <w:t>9.6</w:t>
            </w:r>
            <w:r>
              <w:rPr>
                <w:rFonts w:hint="default" w:ascii="Times New Roman" w:hAnsi="Times New Roman" w:cs="Times New Roman"/>
                <w:color w:val="auto"/>
                <w:kern w:val="0"/>
                <w:sz w:val="24"/>
                <w:highlight w:val="none"/>
              </w:rPr>
              <w:t>m</w:t>
            </w:r>
            <w:r>
              <w:rPr>
                <w:rFonts w:hint="default" w:ascii="Times New Roman" w:hAnsi="Times New Roman" w:cs="Times New Roman"/>
                <w:color w:val="auto"/>
                <w:kern w:val="0"/>
                <w:sz w:val="24"/>
                <w:highlight w:val="none"/>
                <w:vertAlign w:val="superscript"/>
                <w:lang w:val="en-US" w:eastAsia="zh-CN"/>
              </w:rPr>
              <w:t>3</w:t>
            </w:r>
            <w:r>
              <w:rPr>
                <w:rFonts w:hint="default" w:ascii="Times New Roman" w:hAnsi="Times New Roman" w:cs="Times New Roman"/>
                <w:color w:val="auto"/>
                <w:kern w:val="0"/>
                <w:sz w:val="24"/>
                <w:highlight w:val="none"/>
              </w:rPr>
              <w:t>/d</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rPr>
              <w:t>年工作</w:t>
            </w:r>
            <w:r>
              <w:rPr>
                <w:rFonts w:hint="eastAsia" w:cs="Times New Roman"/>
                <w:color w:val="auto"/>
                <w:kern w:val="0"/>
                <w:sz w:val="24"/>
                <w:highlight w:val="none"/>
                <w:lang w:val="en-US" w:eastAsia="zh-CN"/>
              </w:rPr>
              <w:t>27</w:t>
            </w:r>
            <w:r>
              <w:rPr>
                <w:rFonts w:hint="eastAsia" w:ascii="Times New Roman" w:hAnsi="Times New Roman" w:cs="Times New Roman"/>
                <w:color w:val="auto"/>
                <w:kern w:val="0"/>
                <w:sz w:val="24"/>
                <w:highlight w:val="none"/>
                <w:lang w:val="en-US" w:eastAsia="zh-CN"/>
              </w:rPr>
              <w:t>0</w:t>
            </w:r>
            <w:r>
              <w:rPr>
                <w:rFonts w:hint="default" w:ascii="Times New Roman" w:hAnsi="Times New Roman" w:cs="Times New Roman"/>
                <w:color w:val="auto"/>
                <w:kern w:val="0"/>
                <w:sz w:val="24"/>
                <w:highlight w:val="none"/>
              </w:rPr>
              <w:t>天，则</w:t>
            </w:r>
            <w:r>
              <w:rPr>
                <w:rFonts w:hint="eastAsia" w:ascii="Times New Roman" w:hAnsi="Times New Roman" w:cs="Times New Roman"/>
                <w:color w:val="auto"/>
                <w:kern w:val="0"/>
                <w:sz w:val="24"/>
                <w:highlight w:val="none"/>
                <w:lang w:val="en-US" w:eastAsia="zh-CN"/>
              </w:rPr>
              <w:t>中频感应电炉</w:t>
            </w:r>
            <w:r>
              <w:rPr>
                <w:rFonts w:hint="default" w:ascii="Times New Roman" w:hAnsi="Times New Roman" w:cs="Times New Roman"/>
                <w:color w:val="auto"/>
                <w:kern w:val="0"/>
                <w:sz w:val="24"/>
                <w:highlight w:val="none"/>
              </w:rPr>
              <w:t>冷却水补充量为</w:t>
            </w:r>
            <w:r>
              <w:rPr>
                <w:rFonts w:hint="eastAsia" w:cs="Times New Roman"/>
                <w:color w:val="auto"/>
                <w:kern w:val="0"/>
                <w:sz w:val="24"/>
                <w:highlight w:val="none"/>
                <w:lang w:val="en-US" w:eastAsia="zh-CN"/>
              </w:rPr>
              <w:t>2592</w:t>
            </w:r>
            <w:r>
              <w:rPr>
                <w:rFonts w:hint="default" w:ascii="Times New Roman" w:hAnsi="Times New Roman" w:cs="Times New Roman"/>
                <w:color w:val="auto"/>
                <w:kern w:val="0"/>
                <w:sz w:val="24"/>
                <w:highlight w:val="none"/>
              </w:rPr>
              <w:t>m</w:t>
            </w:r>
            <w:r>
              <w:rPr>
                <w:rFonts w:hint="default" w:ascii="Times New Roman" w:hAnsi="Times New Roman" w:cs="Times New Roman"/>
                <w:color w:val="auto"/>
                <w:kern w:val="0"/>
                <w:sz w:val="24"/>
                <w:highlight w:val="none"/>
                <w:vertAlign w:val="superscript"/>
              </w:rPr>
              <w:t>3</w:t>
            </w:r>
            <w:r>
              <w:rPr>
                <w:rFonts w:hint="default" w:ascii="Times New Roman" w:hAnsi="Times New Roman" w:cs="Times New Roman"/>
                <w:color w:val="auto"/>
                <w:kern w:val="0"/>
                <w:sz w:val="24"/>
                <w:highlight w:val="none"/>
              </w:rPr>
              <w:t>/a</w:t>
            </w:r>
            <w:r>
              <w:rPr>
                <w:rFonts w:hint="eastAsia" w:ascii="Times New Roman" w:hAnsi="Times New Roman" w:cs="Times New Roman"/>
                <w:color w:val="auto"/>
                <w:kern w:val="0"/>
                <w:sz w:val="24"/>
                <w:highlight w:val="none"/>
                <w:lang w:eastAsia="zh-CN"/>
              </w:rPr>
              <w:t>（</w:t>
            </w:r>
            <w:r>
              <w:rPr>
                <w:rFonts w:hint="eastAsia" w:cs="Times New Roman"/>
                <w:color w:val="auto"/>
                <w:kern w:val="0"/>
                <w:sz w:val="24"/>
                <w:highlight w:val="none"/>
                <w:lang w:val="en-US" w:eastAsia="zh-CN"/>
              </w:rPr>
              <w:t>9.6</w:t>
            </w:r>
            <w:r>
              <w:rPr>
                <w:rFonts w:hint="default" w:ascii="Times New Roman" w:hAnsi="Times New Roman" w:cs="Times New Roman"/>
                <w:color w:val="auto"/>
                <w:kern w:val="0"/>
                <w:sz w:val="24"/>
                <w:highlight w:val="none"/>
              </w:rPr>
              <w:t>m</w:t>
            </w:r>
            <w:r>
              <w:rPr>
                <w:rFonts w:hint="default" w:ascii="Times New Roman" w:hAnsi="Times New Roman" w:cs="Times New Roman"/>
                <w:color w:val="auto"/>
                <w:kern w:val="0"/>
                <w:sz w:val="24"/>
                <w:highlight w:val="none"/>
                <w:vertAlign w:val="superscript"/>
                <w:lang w:val="en-US" w:eastAsia="zh-CN"/>
              </w:rPr>
              <w:t>3</w:t>
            </w:r>
            <w:r>
              <w:rPr>
                <w:rFonts w:hint="default" w:ascii="Times New Roman" w:hAnsi="Times New Roman" w:cs="Times New Roman"/>
                <w:color w:val="auto"/>
                <w:kern w:val="0"/>
                <w:sz w:val="24"/>
                <w:highlight w:val="none"/>
              </w:rPr>
              <w:t>/d</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lang w:eastAsia="zh-CN"/>
              </w:rPr>
              <w:t>。</w:t>
            </w:r>
            <w:r>
              <w:rPr>
                <w:rFonts w:hint="eastAsia" w:ascii="Times New Roman" w:hAnsi="Times New Roman" w:cs="Times New Roman"/>
                <w:color w:val="auto"/>
                <w:kern w:val="0"/>
                <w:sz w:val="24"/>
                <w:highlight w:val="none"/>
                <w:lang w:val="en-US" w:eastAsia="zh-CN"/>
              </w:rPr>
              <w:t>中频感应电炉</w:t>
            </w:r>
            <w:r>
              <w:rPr>
                <w:rFonts w:hint="default" w:ascii="Times New Roman" w:hAnsi="Times New Roman" w:cs="Times New Roman"/>
                <w:color w:val="auto"/>
                <w:kern w:val="0"/>
                <w:sz w:val="24"/>
                <w:highlight w:val="none"/>
              </w:rPr>
              <w:t>冷却</w:t>
            </w:r>
            <w:r>
              <w:rPr>
                <w:rFonts w:hint="default" w:ascii="Times New Roman" w:hAnsi="Times New Roman" w:cs="Times New Roman"/>
                <w:color w:val="auto"/>
                <w:kern w:val="0"/>
                <w:sz w:val="24"/>
                <w:highlight w:val="none"/>
                <w:lang w:eastAsia="zh-CN"/>
              </w:rPr>
              <w:t>水循环使用</w:t>
            </w:r>
            <w:r>
              <w:rPr>
                <w:rFonts w:hint="eastAsia" w:ascii="Times New Roman" w:hAnsi="Times New Roman" w:cs="Times New Roman"/>
                <w:color w:val="auto"/>
                <w:kern w:val="0"/>
                <w:sz w:val="24"/>
                <w:highlight w:val="none"/>
                <w:lang w:eastAsia="zh-CN"/>
              </w:rPr>
              <w:t>、</w:t>
            </w:r>
            <w:r>
              <w:rPr>
                <w:rFonts w:hint="eastAsia" w:ascii="Times New Roman" w:hAnsi="Times New Roman" w:cs="Times New Roman"/>
                <w:color w:val="auto"/>
                <w:kern w:val="0"/>
                <w:sz w:val="24"/>
                <w:highlight w:val="none"/>
                <w:lang w:val="en-US" w:eastAsia="zh-CN"/>
              </w:rPr>
              <w:t>定期补充，</w:t>
            </w:r>
            <w:r>
              <w:rPr>
                <w:rFonts w:hint="default" w:ascii="Times New Roman" w:hAnsi="Times New Roman" w:cs="Times New Roman"/>
                <w:color w:val="auto"/>
                <w:kern w:val="0"/>
                <w:sz w:val="24"/>
                <w:highlight w:val="none"/>
                <w:lang w:eastAsia="zh-CN"/>
              </w:rPr>
              <w:t>不外排。</w:t>
            </w:r>
          </w:p>
          <w:p w14:paraId="406904E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本项目不新增</w:t>
            </w:r>
            <w:r>
              <w:rPr>
                <w:rFonts w:hint="default" w:ascii="Times New Roman" w:hAnsi="Times New Roman" w:cs="Times New Roman"/>
                <w:color w:val="auto"/>
                <w:sz w:val="24"/>
                <w:szCs w:val="20"/>
                <w:highlight w:val="none"/>
              </w:rPr>
              <w:t>劳动定员</w:t>
            </w:r>
            <w:r>
              <w:rPr>
                <w:rFonts w:hint="eastAsia" w:ascii="Times New Roman" w:hAnsi="Times New Roman" w:cs="Times New Roman"/>
                <w:color w:val="auto"/>
                <w:sz w:val="24"/>
                <w:szCs w:val="20"/>
                <w:highlight w:val="none"/>
                <w:lang w:val="en-US" w:eastAsia="zh-CN"/>
              </w:rPr>
              <w:t>，员工从企业现有职</w:t>
            </w:r>
            <w:r>
              <w:rPr>
                <w:rFonts w:hint="eastAsia" w:ascii="Times New Roman" w:hAnsi="Times New Roman" w:cs="Times New Roman"/>
                <w:color w:val="auto"/>
                <w:sz w:val="24"/>
                <w:szCs w:val="24"/>
                <w:highlight w:val="none"/>
                <w:lang w:val="en-US" w:eastAsia="zh-CN"/>
              </w:rPr>
              <w:t>工中调度</w:t>
            </w:r>
            <w:r>
              <w:rPr>
                <w:rFonts w:hint="eastAsia" w:ascii="Times New Roman" w:hAnsi="Times New Roman" w:cs="Times New Roman"/>
                <w:color w:val="auto"/>
                <w:sz w:val="24"/>
                <w:szCs w:val="20"/>
                <w:highlight w:val="none"/>
                <w:lang w:val="en-US" w:eastAsia="zh-CN"/>
              </w:rPr>
              <w:t>。</w:t>
            </w:r>
          </w:p>
          <w:p w14:paraId="2D2896D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sz w:val="24"/>
                <w:szCs w:val="20"/>
                <w:highlight w:val="none"/>
                <w:lang w:val="en-US" w:eastAsia="zh-CN"/>
              </w:rPr>
              <w:t>企业</w:t>
            </w:r>
            <w:r>
              <w:rPr>
                <w:rFonts w:hint="default" w:ascii="Times New Roman" w:hAnsi="Times New Roman" w:cs="Times New Roman"/>
                <w:color w:val="auto"/>
                <w:sz w:val="24"/>
                <w:szCs w:val="20"/>
                <w:highlight w:val="none"/>
                <w:lang w:val="en-US" w:eastAsia="zh-CN"/>
              </w:rPr>
              <w:t>用水由</w:t>
            </w:r>
            <w:r>
              <w:rPr>
                <w:rFonts w:hint="eastAsia" w:ascii="Times New Roman" w:hAnsi="Times New Roman" w:cs="Times New Roman"/>
                <w:color w:val="auto"/>
                <w:sz w:val="24"/>
                <w:szCs w:val="20"/>
                <w:highlight w:val="none"/>
                <w:lang w:val="en-US" w:eastAsia="zh-CN"/>
              </w:rPr>
              <w:t>市政管网</w:t>
            </w:r>
            <w:r>
              <w:rPr>
                <w:rFonts w:hint="default" w:ascii="Times New Roman" w:hAnsi="Times New Roman" w:cs="Times New Roman"/>
                <w:color w:val="auto"/>
                <w:sz w:val="24"/>
                <w:szCs w:val="20"/>
                <w:highlight w:val="none"/>
                <w:lang w:val="en-US" w:eastAsia="zh-CN"/>
              </w:rPr>
              <w:t>统一供给，</w:t>
            </w:r>
            <w:r>
              <w:rPr>
                <w:rFonts w:hint="eastAsia" w:ascii="Times New Roman" w:hAnsi="Times New Roman" w:cs="Times New Roman"/>
                <w:color w:val="auto"/>
                <w:sz w:val="24"/>
                <w:szCs w:val="20"/>
                <w:highlight w:val="none"/>
                <w:lang w:val="en-US" w:eastAsia="zh-CN"/>
              </w:rPr>
              <w:t>项目新增用水</w:t>
            </w:r>
            <w:r>
              <w:rPr>
                <w:rFonts w:hint="default" w:ascii="Times New Roman" w:hAnsi="Times New Roman" w:cs="Times New Roman"/>
                <w:color w:val="auto"/>
                <w:sz w:val="24"/>
                <w:szCs w:val="20"/>
                <w:highlight w:val="none"/>
                <w:lang w:val="en-US" w:eastAsia="zh-CN"/>
              </w:rPr>
              <w:t>依托厂区现有给水管网进行分配。</w:t>
            </w:r>
            <w:r>
              <w:rPr>
                <w:rFonts w:hint="eastAsia" w:ascii="Times New Roman" w:hAnsi="Times New Roman" w:cs="Times New Roman"/>
                <w:color w:val="auto"/>
                <w:sz w:val="24"/>
                <w:szCs w:val="20"/>
                <w:highlight w:val="none"/>
                <w:lang w:val="en-US" w:eastAsia="zh-CN"/>
              </w:rPr>
              <w:t>市政</w:t>
            </w:r>
            <w:r>
              <w:rPr>
                <w:rFonts w:hint="default" w:ascii="Times New Roman" w:hAnsi="Times New Roman" w:cs="Times New Roman"/>
                <w:color w:val="auto"/>
                <w:kern w:val="0"/>
                <w:sz w:val="24"/>
                <w:highlight w:val="none"/>
              </w:rPr>
              <w:t>供水能满足项目需求。</w:t>
            </w:r>
          </w:p>
          <w:p w14:paraId="338EE9B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（2）排水</w:t>
            </w:r>
          </w:p>
          <w:p w14:paraId="1F402E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企业厂区排水采用雨污分流制、清污分流制。</w:t>
            </w:r>
          </w:p>
          <w:p w14:paraId="20DEA48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cs="Times New Roman"/>
                <w:color w:val="auto"/>
                <w:kern w:val="0"/>
                <w:sz w:val="24"/>
                <w:highlight w:val="none"/>
                <w:lang w:eastAsia="zh-CN"/>
              </w:rPr>
            </w:pPr>
            <w:r>
              <w:rPr>
                <w:rFonts w:hint="eastAsia" w:cs="Times New Roman"/>
                <w:color w:val="auto"/>
                <w:sz w:val="24"/>
                <w:szCs w:val="24"/>
                <w:highlight w:val="none"/>
                <w:lang w:val="en-US" w:eastAsia="zh-CN"/>
              </w:rPr>
              <w:t>现有项目废水主要为</w:t>
            </w:r>
            <w:r>
              <w:rPr>
                <w:rFonts w:hint="default" w:ascii="Times New Roman" w:hAnsi="Times New Roman" w:cs="Times New Roman"/>
                <w:color w:val="auto"/>
                <w:kern w:val="0"/>
                <w:sz w:val="24"/>
                <w:highlight w:val="none"/>
              </w:rPr>
              <w:t>生活污水</w:t>
            </w:r>
            <w:r>
              <w:rPr>
                <w:rFonts w:hint="eastAsia" w:ascii="Times New Roman" w:hAnsi="Times New Roman" w:cs="Times New Roman"/>
                <w:color w:val="auto"/>
                <w:kern w:val="0"/>
                <w:sz w:val="24"/>
                <w:highlight w:val="none"/>
                <w:lang w:eastAsia="zh-CN"/>
              </w:rPr>
              <w:t>，经化粪池</w:t>
            </w:r>
            <w:r>
              <w:rPr>
                <w:rFonts w:hint="eastAsia" w:cs="Times New Roman"/>
                <w:color w:val="auto"/>
                <w:kern w:val="0"/>
                <w:sz w:val="24"/>
                <w:highlight w:val="none"/>
                <w:lang w:val="en-US" w:eastAsia="zh-CN"/>
              </w:rPr>
              <w:t>收集</w:t>
            </w:r>
            <w:r>
              <w:rPr>
                <w:rFonts w:hint="eastAsia" w:ascii="Times New Roman" w:hAnsi="Times New Roman" w:cs="Times New Roman"/>
                <w:color w:val="auto"/>
                <w:kern w:val="0"/>
                <w:sz w:val="24"/>
                <w:highlight w:val="none"/>
                <w:lang w:eastAsia="zh-CN"/>
              </w:rPr>
              <w:t>后排入新河镇污水处理厂处理后排入东山河；</w:t>
            </w:r>
            <w:r>
              <w:rPr>
                <w:rFonts w:hint="eastAsia" w:ascii="Times New Roman" w:hAnsi="Times New Roman" w:cs="Times New Roman"/>
                <w:color w:val="auto"/>
                <w:kern w:val="0"/>
                <w:sz w:val="24"/>
                <w:highlight w:val="none"/>
                <w:lang w:val="en-US" w:eastAsia="zh-CN"/>
              </w:rPr>
              <w:t>现有</w:t>
            </w:r>
            <w:r>
              <w:rPr>
                <w:rFonts w:hint="eastAsia" w:ascii="Times New Roman" w:hAnsi="Times New Roman" w:cs="Times New Roman"/>
                <w:color w:val="auto"/>
                <w:kern w:val="0"/>
                <w:sz w:val="24"/>
                <w:highlight w:val="none"/>
                <w:lang w:eastAsia="zh-CN"/>
              </w:rPr>
              <w:t>中频炉熔炉冷却水循环使用，</w:t>
            </w:r>
            <w:r>
              <w:rPr>
                <w:rFonts w:hint="eastAsia" w:ascii="Times New Roman" w:hAnsi="Times New Roman" w:cs="Times New Roman"/>
                <w:color w:val="auto"/>
                <w:kern w:val="0"/>
                <w:sz w:val="24"/>
                <w:highlight w:val="none"/>
                <w:lang w:val="en-US" w:eastAsia="zh-CN"/>
              </w:rPr>
              <w:t>定期补水，</w:t>
            </w:r>
            <w:r>
              <w:rPr>
                <w:rFonts w:hint="eastAsia" w:ascii="Times New Roman" w:hAnsi="Times New Roman" w:cs="Times New Roman"/>
                <w:color w:val="auto"/>
                <w:kern w:val="0"/>
                <w:sz w:val="24"/>
                <w:highlight w:val="none"/>
                <w:lang w:eastAsia="zh-CN"/>
              </w:rPr>
              <w:t>不外排。</w:t>
            </w:r>
          </w:p>
          <w:p w14:paraId="53547D8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kern w:val="0"/>
                <w:sz w:val="24"/>
                <w:highlight w:val="none"/>
              </w:rPr>
            </w:pPr>
            <w:r>
              <w:rPr>
                <w:rFonts w:hint="eastAsia" w:cs="Times New Roman"/>
                <w:color w:val="auto"/>
                <w:kern w:val="0"/>
                <w:sz w:val="24"/>
                <w:highlight w:val="none"/>
                <w:lang w:val="en-US" w:eastAsia="zh-CN"/>
              </w:rPr>
              <w:t>技改</w:t>
            </w:r>
            <w:r>
              <w:rPr>
                <w:rFonts w:hint="default" w:ascii="Times New Roman" w:hAnsi="Times New Roman" w:cs="Times New Roman"/>
                <w:color w:val="auto"/>
                <w:kern w:val="0"/>
                <w:sz w:val="24"/>
                <w:highlight w:val="none"/>
              </w:rPr>
              <w:t>项目</w:t>
            </w:r>
            <w:r>
              <w:rPr>
                <w:rFonts w:hint="eastAsia" w:ascii="Times New Roman" w:hAnsi="Times New Roman" w:cs="Times New Roman"/>
                <w:color w:val="auto"/>
                <w:kern w:val="0"/>
                <w:sz w:val="24"/>
                <w:highlight w:val="none"/>
                <w:lang w:val="en-US" w:eastAsia="zh-CN"/>
              </w:rPr>
              <w:t>不新增</w:t>
            </w:r>
            <w:r>
              <w:rPr>
                <w:rFonts w:hint="default" w:ascii="Times New Roman" w:hAnsi="Times New Roman" w:cs="Times New Roman"/>
                <w:color w:val="auto"/>
                <w:kern w:val="0"/>
                <w:sz w:val="24"/>
                <w:highlight w:val="none"/>
              </w:rPr>
              <w:t>生活污水</w:t>
            </w:r>
            <w:r>
              <w:rPr>
                <w:rFonts w:hint="default" w:ascii="Times New Roman" w:hAnsi="Times New Roman" w:cs="Times New Roman"/>
                <w:color w:val="auto"/>
                <w:kern w:val="0"/>
                <w:sz w:val="24"/>
                <w:highlight w:val="none"/>
                <w:lang w:val="en-US" w:eastAsia="zh-CN"/>
              </w:rPr>
              <w:t>。</w:t>
            </w:r>
          </w:p>
          <w:p w14:paraId="16CC7133">
            <w:pPr>
              <w:keepNext w:val="0"/>
              <w:keepLines w:val="0"/>
              <w:widowControl/>
              <w:suppressLineNumbers w:val="0"/>
              <w:jc w:val="left"/>
              <w:rPr>
                <w:rFonts w:hint="eastAsia" w:eastAsia="宋体"/>
                <w:color w:val="auto"/>
                <w:lang w:eastAsia="zh-CN"/>
              </w:rPr>
            </w:pPr>
            <w:r>
              <w:rPr>
                <w:rFonts w:hint="eastAsia"/>
                <w:color w:val="auto"/>
                <w:lang w:eastAsia="zh-CN"/>
              </w:rPr>
              <w:drawing>
                <wp:inline distT="0" distB="0" distL="114300" distR="114300">
                  <wp:extent cx="5471160" cy="1539240"/>
                  <wp:effectExtent l="0" t="0" r="15240" b="3810"/>
                  <wp:docPr id="1" name="图片 1" descr="2a07d555-1428-4116-a9f6-f2b90258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a07d555-1428-4116-a9f6-f2b902588389"/>
                          <pic:cNvPicPr>
                            <a:picLocks noChangeAspect="1"/>
                          </pic:cNvPicPr>
                        </pic:nvPicPr>
                        <pic:blipFill>
                          <a:blip r:embed="rId23"/>
                          <a:stretch>
                            <a:fillRect/>
                          </a:stretch>
                        </pic:blipFill>
                        <pic:spPr>
                          <a:xfrm>
                            <a:off x="0" y="0"/>
                            <a:ext cx="5471160" cy="1539240"/>
                          </a:xfrm>
                          <a:prstGeom prst="rect">
                            <a:avLst/>
                          </a:prstGeom>
                        </pic:spPr>
                      </pic:pic>
                    </a:graphicData>
                  </a:graphic>
                </wp:inline>
              </w:drawing>
            </w:r>
          </w:p>
          <w:p w14:paraId="37A32CFA">
            <w:pPr>
              <w:keepNext w:val="0"/>
              <w:keepLines w:val="0"/>
              <w:widowControl/>
              <w:suppressLineNumbers w:val="0"/>
              <w:jc w:val="left"/>
              <w:textAlignment w:val="center"/>
              <w:rPr>
                <w:rFonts w:hint="default" w:ascii="Times New Roman" w:hAnsi="Times New Roman" w:eastAsia="宋体" w:cs="Times New Roman"/>
                <w:i w:val="0"/>
                <w:color w:val="auto"/>
                <w:kern w:val="0"/>
                <w:sz w:val="18"/>
                <w:szCs w:val="18"/>
                <w:highlight w:val="none"/>
                <w:u w:val="none"/>
                <w:lang w:val="en-US" w:eastAsia="zh-CN" w:bidi="ar"/>
              </w:rPr>
            </w:pPr>
            <w:r>
              <w:rPr>
                <w:rFonts w:hint="eastAsia" w:ascii="Times New Roman" w:hAnsi="Times New Roman" w:eastAsia="宋体" w:cs="Times New Roman"/>
                <w:b/>
                <w:bCs/>
                <w:i w:val="0"/>
                <w:color w:val="auto"/>
                <w:kern w:val="0"/>
                <w:sz w:val="18"/>
                <w:szCs w:val="18"/>
                <w:highlight w:val="none"/>
                <w:u w:val="none"/>
                <w:lang w:val="en-US" w:eastAsia="zh-CN" w:bidi="ar"/>
              </w:rPr>
              <w:t>注：</w:t>
            </w:r>
            <w:r>
              <w:rPr>
                <w:rFonts w:hint="eastAsia" w:cs="Times New Roman"/>
                <w:i w:val="0"/>
                <w:color w:val="auto"/>
                <w:kern w:val="0"/>
                <w:sz w:val="18"/>
                <w:szCs w:val="18"/>
                <w:highlight w:val="none"/>
                <w:u w:val="none"/>
                <w:lang w:val="en-US" w:eastAsia="zh-CN" w:bidi="ar"/>
              </w:rPr>
              <w:t>技改</w:t>
            </w:r>
            <w:r>
              <w:rPr>
                <w:rFonts w:hint="eastAsia" w:ascii="Times New Roman" w:hAnsi="Times New Roman" w:eastAsia="宋体" w:cs="Times New Roman"/>
                <w:i w:val="0"/>
                <w:color w:val="auto"/>
                <w:kern w:val="0"/>
                <w:sz w:val="18"/>
                <w:szCs w:val="18"/>
                <w:highlight w:val="none"/>
                <w:u w:val="none"/>
                <w:lang w:val="en-US" w:eastAsia="zh-CN" w:bidi="ar"/>
              </w:rPr>
              <w:t>项目</w:t>
            </w:r>
            <w:r>
              <w:rPr>
                <w:rFonts w:hint="eastAsia" w:cs="Times New Roman"/>
                <w:i w:val="0"/>
                <w:color w:val="auto"/>
                <w:kern w:val="0"/>
                <w:sz w:val="18"/>
                <w:szCs w:val="18"/>
                <w:highlight w:val="none"/>
                <w:u w:val="none"/>
                <w:lang w:val="en-US" w:eastAsia="zh-CN" w:bidi="ar"/>
              </w:rPr>
              <w:t>不</w:t>
            </w:r>
            <w:r>
              <w:rPr>
                <w:rFonts w:hint="eastAsia" w:ascii="Times New Roman" w:hAnsi="Times New Roman" w:eastAsia="宋体" w:cs="Times New Roman"/>
                <w:i w:val="0"/>
                <w:color w:val="auto"/>
                <w:kern w:val="0"/>
                <w:sz w:val="18"/>
                <w:szCs w:val="18"/>
                <w:highlight w:val="none"/>
                <w:u w:val="none"/>
                <w:lang w:val="en-US" w:eastAsia="zh-CN" w:bidi="ar"/>
              </w:rPr>
              <w:t>涉及</w:t>
            </w:r>
            <w:r>
              <w:rPr>
                <w:rFonts w:hint="eastAsia" w:cs="Times New Roman"/>
                <w:i w:val="0"/>
                <w:color w:val="auto"/>
                <w:kern w:val="0"/>
                <w:sz w:val="18"/>
                <w:szCs w:val="18"/>
                <w:highlight w:val="none"/>
                <w:u w:val="none"/>
                <w:lang w:val="en-US" w:eastAsia="zh-CN" w:bidi="ar"/>
              </w:rPr>
              <w:t>用水量及排水量</w:t>
            </w:r>
            <w:r>
              <w:rPr>
                <w:rFonts w:hint="eastAsia" w:ascii="Times New Roman" w:hAnsi="Times New Roman" w:eastAsia="宋体" w:cs="Times New Roman"/>
                <w:i w:val="0"/>
                <w:color w:val="auto"/>
                <w:kern w:val="0"/>
                <w:sz w:val="18"/>
                <w:szCs w:val="18"/>
                <w:highlight w:val="none"/>
                <w:u w:val="none"/>
                <w:lang w:val="en-US" w:eastAsia="zh-CN" w:bidi="ar"/>
              </w:rPr>
              <w:t>的变化。</w:t>
            </w:r>
          </w:p>
          <w:p w14:paraId="5323880E">
            <w:pPr>
              <w:widowControl/>
              <w:adjustRightInd w:val="0"/>
              <w:snapToGrid w:val="0"/>
              <w:spacing w:line="240" w:lineRule="auto"/>
              <w:jc w:val="center"/>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2"/>
                <w:szCs w:val="22"/>
                <w:highlight w:val="none"/>
                <w:lang w:val="en-US" w:eastAsia="zh-CN"/>
              </w:rPr>
              <w:t>图2-2  项目建成后全厂水平衡图（m</w:t>
            </w:r>
            <w:r>
              <w:rPr>
                <w:rFonts w:hint="eastAsia" w:cs="Times New Roman"/>
                <w:b/>
                <w:bCs/>
                <w:color w:val="auto"/>
                <w:kern w:val="0"/>
                <w:sz w:val="22"/>
                <w:szCs w:val="22"/>
                <w:highlight w:val="none"/>
                <w:vertAlign w:val="superscript"/>
                <w:lang w:val="en-US" w:eastAsia="zh-CN"/>
              </w:rPr>
              <w:t>3</w:t>
            </w:r>
            <w:r>
              <w:rPr>
                <w:rFonts w:hint="eastAsia" w:cs="Times New Roman"/>
                <w:b/>
                <w:bCs/>
                <w:color w:val="auto"/>
                <w:kern w:val="0"/>
                <w:sz w:val="22"/>
                <w:szCs w:val="22"/>
                <w:highlight w:val="none"/>
                <w:lang w:val="en-US" w:eastAsia="zh-CN"/>
              </w:rPr>
              <w:t>/d</w:t>
            </w:r>
            <w:r>
              <w:rPr>
                <w:rFonts w:hint="eastAsia" w:cs="Times New Roman"/>
                <w:b/>
                <w:bCs/>
                <w:color w:val="auto"/>
                <w:kern w:val="0"/>
                <w:sz w:val="24"/>
                <w:szCs w:val="24"/>
                <w:highlight w:val="none"/>
                <w:lang w:val="en-US" w:eastAsia="zh-CN"/>
              </w:rPr>
              <w:t>）</w:t>
            </w:r>
          </w:p>
          <w:p w14:paraId="3F9D096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（3）供电</w:t>
            </w:r>
          </w:p>
          <w:p w14:paraId="46D79B3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现有</w:t>
            </w:r>
            <w:r>
              <w:rPr>
                <w:rFonts w:hint="default" w:ascii="Times New Roman" w:hAnsi="Times New Roman" w:cs="Times New Roman"/>
                <w:color w:val="auto"/>
                <w:kern w:val="0"/>
                <w:sz w:val="24"/>
                <w:highlight w:val="none"/>
              </w:rPr>
              <w:t>项目年用电量约</w:t>
            </w:r>
            <w:r>
              <w:rPr>
                <w:rFonts w:hint="default" w:ascii="Times New Roman" w:hAnsi="Times New Roman" w:cs="Times New Roman"/>
                <w:color w:val="auto"/>
                <w:kern w:val="0"/>
                <w:sz w:val="24"/>
                <w:highlight w:val="none"/>
                <w:lang w:val="en-US" w:eastAsia="zh-CN"/>
              </w:rPr>
              <w:t>110</w:t>
            </w:r>
            <w:r>
              <w:rPr>
                <w:rFonts w:hint="default" w:ascii="Times New Roman" w:hAnsi="Times New Roman" w:cs="Times New Roman"/>
                <w:color w:val="auto"/>
                <w:kern w:val="0"/>
                <w:sz w:val="24"/>
                <w:highlight w:val="none"/>
              </w:rPr>
              <w:t>万</w:t>
            </w:r>
            <w:r>
              <w:rPr>
                <w:rFonts w:hint="eastAsia" w:cs="Times New Roman"/>
                <w:color w:val="auto"/>
                <w:kern w:val="0"/>
                <w:sz w:val="24"/>
                <w:highlight w:val="none"/>
                <w:lang w:eastAsia="zh-CN"/>
              </w:rPr>
              <w:t>kW</w:t>
            </w:r>
            <w:r>
              <w:rPr>
                <w:rFonts w:hint="default" w:ascii="Times New Roman" w:hAnsi="Times New Roman" w:cs="Times New Roman"/>
                <w:color w:val="auto"/>
                <w:kern w:val="0"/>
                <w:sz w:val="24"/>
                <w:highlight w:val="none"/>
              </w:rPr>
              <w:t>·h，</w:t>
            </w:r>
            <w:r>
              <w:rPr>
                <w:rFonts w:hint="eastAsia" w:ascii="Times New Roman" w:hAnsi="Times New Roman" w:cs="Times New Roman"/>
                <w:color w:val="auto"/>
                <w:kern w:val="0"/>
                <w:sz w:val="24"/>
                <w:highlight w:val="none"/>
                <w:lang w:val="en-US" w:eastAsia="zh-CN"/>
              </w:rPr>
              <w:t>本项目新增</w:t>
            </w:r>
            <w:r>
              <w:rPr>
                <w:rFonts w:hint="default" w:ascii="Times New Roman" w:hAnsi="Times New Roman" w:cs="Times New Roman"/>
                <w:color w:val="auto"/>
                <w:kern w:val="0"/>
                <w:sz w:val="24"/>
                <w:highlight w:val="none"/>
              </w:rPr>
              <w:t>年用电量约</w:t>
            </w:r>
            <w:r>
              <w:rPr>
                <w:rFonts w:hint="eastAsia" w:ascii="Times New Roman" w:hAnsi="Times New Roman" w:cs="Times New Roman"/>
                <w:color w:val="auto"/>
                <w:kern w:val="0"/>
                <w:sz w:val="24"/>
                <w:highlight w:val="none"/>
                <w:lang w:val="en-US" w:eastAsia="zh-CN"/>
              </w:rPr>
              <w:t>10</w:t>
            </w:r>
            <w:r>
              <w:rPr>
                <w:rFonts w:hint="default" w:ascii="Times New Roman" w:hAnsi="Times New Roman" w:cs="Times New Roman"/>
                <w:color w:val="auto"/>
                <w:kern w:val="0"/>
                <w:sz w:val="24"/>
                <w:highlight w:val="none"/>
              </w:rPr>
              <w:t>万</w:t>
            </w:r>
            <w:r>
              <w:rPr>
                <w:rFonts w:hint="eastAsia" w:cs="Times New Roman"/>
                <w:color w:val="auto"/>
                <w:kern w:val="0"/>
                <w:sz w:val="24"/>
                <w:highlight w:val="none"/>
                <w:lang w:eastAsia="zh-CN"/>
              </w:rPr>
              <w:t>kW</w:t>
            </w:r>
            <w:r>
              <w:rPr>
                <w:rFonts w:hint="default" w:ascii="Times New Roman" w:hAnsi="Times New Roman" w:cs="Times New Roman"/>
                <w:color w:val="auto"/>
                <w:kern w:val="0"/>
                <w:sz w:val="24"/>
                <w:highlight w:val="none"/>
              </w:rPr>
              <w:t>·h，由市政供电，</w:t>
            </w:r>
            <w:r>
              <w:rPr>
                <w:rFonts w:hint="eastAsia" w:ascii="Times New Roman" w:hAnsi="Times New Roman" w:cs="Times New Roman"/>
                <w:color w:val="auto"/>
                <w:kern w:val="0"/>
                <w:sz w:val="24"/>
                <w:highlight w:val="none"/>
                <w:lang w:val="en-US" w:eastAsia="zh-CN"/>
              </w:rPr>
              <w:t>厂区内用电分配依托现有配电房进行调度，</w:t>
            </w:r>
            <w:r>
              <w:rPr>
                <w:rFonts w:hint="default" w:ascii="Times New Roman" w:hAnsi="Times New Roman" w:cs="Times New Roman"/>
                <w:color w:val="auto"/>
                <w:kern w:val="0"/>
                <w:sz w:val="24"/>
                <w:highlight w:val="none"/>
              </w:rPr>
              <w:t>可以满足项目生产及生活需要。</w:t>
            </w:r>
          </w:p>
          <w:p w14:paraId="522AF71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6.</w:t>
            </w:r>
            <w:r>
              <w:rPr>
                <w:rFonts w:hint="default" w:ascii="Times New Roman" w:hAnsi="Times New Roman" w:eastAsia="宋体" w:cs="Times New Roman"/>
                <w:b/>
                <w:bCs/>
                <w:color w:val="auto"/>
                <w:kern w:val="2"/>
                <w:sz w:val="24"/>
                <w:szCs w:val="24"/>
                <w:lang w:val="en-US" w:eastAsia="zh-CN"/>
              </w:rPr>
              <w:t>工作制度及劳动定员</w:t>
            </w:r>
          </w:p>
          <w:p w14:paraId="52FB5CB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现有</w:t>
            </w:r>
            <w:r>
              <w:rPr>
                <w:rFonts w:hint="default" w:ascii="Times New Roman" w:hAnsi="Times New Roman" w:cs="Times New Roman"/>
                <w:color w:val="auto"/>
                <w:sz w:val="24"/>
                <w:szCs w:val="24"/>
                <w:highlight w:val="none"/>
              </w:rPr>
              <w:t>项目劳动定员为</w:t>
            </w:r>
            <w:r>
              <w:rPr>
                <w:rFonts w:hint="eastAsia" w:ascii="Times New Roman" w:hAnsi="Times New Roman" w:cs="Times New Roman"/>
                <w:color w:val="auto"/>
                <w:sz w:val="24"/>
                <w:szCs w:val="24"/>
                <w:highlight w:val="none"/>
                <w:lang w:val="en-US" w:eastAsia="zh-CN"/>
              </w:rPr>
              <w:t>40</w:t>
            </w:r>
            <w:r>
              <w:rPr>
                <w:rFonts w:hint="default" w:ascii="Times New Roman" w:hAnsi="Times New Roman" w:cs="Times New Roman"/>
                <w:color w:val="auto"/>
                <w:sz w:val="24"/>
                <w:szCs w:val="24"/>
                <w:highlight w:val="none"/>
              </w:rPr>
              <w:t>人</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工作制度</w:t>
            </w:r>
            <w:r>
              <w:rPr>
                <w:rFonts w:hint="default" w:ascii="Times New Roman" w:hAnsi="Times New Roman" w:cs="Times New Roman"/>
                <w:color w:val="auto"/>
                <w:sz w:val="24"/>
                <w:szCs w:val="24"/>
                <w:highlight w:val="none"/>
              </w:rPr>
              <w:t>采用</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班制运转</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每</w:t>
            </w:r>
            <w:r>
              <w:rPr>
                <w:rFonts w:hint="default" w:ascii="Times New Roman" w:hAnsi="Times New Roman" w:cs="Times New Roman"/>
                <w:color w:val="auto"/>
                <w:sz w:val="24"/>
                <w:szCs w:val="24"/>
                <w:highlight w:val="none"/>
                <w:lang w:val="en-US" w:eastAsia="zh-CN"/>
              </w:rPr>
              <w:t>班</w:t>
            </w:r>
            <w:r>
              <w:rPr>
                <w:rFonts w:hint="default" w:ascii="Times New Roman" w:hAnsi="Times New Roman" w:cs="Times New Roman"/>
                <w:color w:val="auto"/>
                <w:sz w:val="24"/>
                <w:szCs w:val="24"/>
                <w:highlight w:val="none"/>
              </w:rPr>
              <w:t>工作8小时</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年工作</w:t>
            </w:r>
            <w:r>
              <w:rPr>
                <w:rFonts w:hint="eastAsia" w:cs="Times New Roman"/>
                <w:color w:val="auto"/>
                <w:sz w:val="24"/>
                <w:szCs w:val="24"/>
                <w:highlight w:val="none"/>
                <w:lang w:val="en-US" w:eastAsia="zh-CN"/>
              </w:rPr>
              <w:t>270</w:t>
            </w:r>
            <w:r>
              <w:rPr>
                <w:rFonts w:hint="default" w:ascii="Times New Roman" w:hAnsi="Times New Roman" w:cs="Times New Roman"/>
                <w:color w:val="auto"/>
                <w:sz w:val="24"/>
                <w:szCs w:val="24"/>
                <w:highlight w:val="none"/>
              </w:rPr>
              <w:t>天，</w:t>
            </w:r>
            <w:r>
              <w:rPr>
                <w:rFonts w:hint="eastAsia" w:cs="Times New Roman"/>
                <w:color w:val="auto"/>
                <w:sz w:val="24"/>
                <w:szCs w:val="24"/>
                <w:highlight w:val="none"/>
                <w:lang w:val="en-US" w:eastAsia="zh-CN"/>
              </w:rPr>
              <w:t>6480</w:t>
            </w:r>
            <w:r>
              <w:rPr>
                <w:rFonts w:hint="default" w:ascii="Times New Roman" w:hAnsi="Times New Roman" w:cs="Times New Roman"/>
                <w:color w:val="auto"/>
                <w:sz w:val="24"/>
                <w:szCs w:val="24"/>
                <w:highlight w:val="none"/>
              </w:rPr>
              <w:t>小时</w:t>
            </w:r>
            <w:r>
              <w:rPr>
                <w:rFonts w:hint="eastAsia" w:ascii="Times New Roman" w:hAnsi="Times New Roman" w:cs="Times New Roman"/>
                <w:color w:val="auto"/>
                <w:sz w:val="24"/>
                <w:szCs w:val="24"/>
                <w:highlight w:val="none"/>
                <w:lang w:eastAsia="zh-CN"/>
              </w:rPr>
              <w:t>。</w:t>
            </w:r>
          </w:p>
          <w:p w14:paraId="64DC7A7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szCs w:val="20"/>
                <w:highlight w:val="none"/>
                <w:lang w:val="en-US" w:eastAsia="zh-CN"/>
              </w:rPr>
              <w:t>本项目不新增</w:t>
            </w:r>
            <w:r>
              <w:rPr>
                <w:rFonts w:hint="default" w:ascii="Times New Roman" w:hAnsi="Times New Roman" w:cs="Times New Roman"/>
                <w:color w:val="auto"/>
                <w:sz w:val="24"/>
                <w:szCs w:val="20"/>
                <w:highlight w:val="none"/>
              </w:rPr>
              <w:t>劳动定员</w:t>
            </w:r>
            <w:r>
              <w:rPr>
                <w:rFonts w:hint="eastAsia" w:ascii="Times New Roman" w:hAnsi="Times New Roman" w:cs="Times New Roman"/>
                <w:color w:val="auto"/>
                <w:sz w:val="24"/>
                <w:szCs w:val="20"/>
                <w:highlight w:val="none"/>
                <w:lang w:val="en-US" w:eastAsia="zh-CN"/>
              </w:rPr>
              <w:t>，员工从企业现有职</w:t>
            </w:r>
            <w:r>
              <w:rPr>
                <w:rFonts w:hint="eastAsia" w:ascii="Times New Roman" w:hAnsi="Times New Roman" w:cs="Times New Roman"/>
                <w:color w:val="auto"/>
                <w:sz w:val="24"/>
                <w:szCs w:val="24"/>
                <w:highlight w:val="none"/>
                <w:lang w:val="en-US" w:eastAsia="zh-CN"/>
              </w:rPr>
              <w:t>工中调度</w:t>
            </w:r>
            <w:r>
              <w:rPr>
                <w:rFonts w:hint="default" w:ascii="Times New Roman" w:hAnsi="Times New Roman" w:cs="Times New Roman"/>
                <w:color w:val="auto"/>
                <w:sz w:val="24"/>
                <w:szCs w:val="24"/>
                <w:highlight w:val="none"/>
              </w:rPr>
              <w:t>，</w:t>
            </w:r>
            <w:r>
              <w:rPr>
                <w:rFonts w:hint="eastAsia"/>
                <w:color w:val="auto"/>
                <w:sz w:val="24"/>
                <w:szCs w:val="24"/>
                <w:highlight w:val="none"/>
                <w:lang w:val="en-US" w:eastAsia="zh-CN"/>
              </w:rPr>
              <w:t>项目</w:t>
            </w:r>
            <w:r>
              <w:rPr>
                <w:rFonts w:hint="default" w:ascii="Times New Roman" w:hAnsi="Times New Roman" w:cs="Times New Roman"/>
                <w:color w:val="auto"/>
                <w:sz w:val="24"/>
                <w:szCs w:val="24"/>
                <w:highlight w:val="none"/>
                <w:lang w:val="en-US" w:eastAsia="zh-CN"/>
              </w:rPr>
              <w:t>工作制度</w:t>
            </w:r>
            <w:r>
              <w:rPr>
                <w:rFonts w:hint="eastAsia" w:ascii="Times New Roman" w:hAnsi="Times New Roman" w:cs="Times New Roman"/>
                <w:color w:val="auto"/>
                <w:sz w:val="24"/>
                <w:szCs w:val="24"/>
                <w:highlight w:val="none"/>
                <w:lang w:val="en-US" w:eastAsia="zh-CN"/>
              </w:rPr>
              <w:t>不变</w:t>
            </w:r>
            <w:r>
              <w:rPr>
                <w:rFonts w:hint="default" w:ascii="Times New Roman" w:hAnsi="Times New Roman" w:cs="Times New Roman"/>
                <w:color w:val="auto"/>
                <w:sz w:val="24"/>
                <w:szCs w:val="24"/>
                <w:highlight w:val="none"/>
              </w:rPr>
              <w:t>。</w:t>
            </w:r>
          </w:p>
          <w:p w14:paraId="1FA032B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7.</w:t>
            </w:r>
            <w:r>
              <w:rPr>
                <w:rFonts w:hint="default" w:ascii="Times New Roman" w:hAnsi="Times New Roman" w:eastAsia="宋体" w:cs="Times New Roman"/>
                <w:b/>
                <w:bCs/>
                <w:color w:val="auto"/>
                <w:kern w:val="2"/>
                <w:sz w:val="24"/>
                <w:szCs w:val="24"/>
                <w:lang w:val="en-US" w:eastAsia="zh-CN"/>
              </w:rPr>
              <w:t>四至情况及平面</w:t>
            </w:r>
            <w:r>
              <w:rPr>
                <w:rFonts w:hint="eastAsia" w:ascii="Times New Roman" w:hAnsi="Times New Roman" w:eastAsia="宋体" w:cs="Times New Roman"/>
                <w:b/>
                <w:bCs/>
                <w:color w:val="auto"/>
                <w:kern w:val="2"/>
                <w:sz w:val="24"/>
                <w:szCs w:val="24"/>
                <w:lang w:val="en-US" w:eastAsia="zh-CN"/>
              </w:rPr>
              <w:t>布置</w:t>
            </w:r>
          </w:p>
          <w:p w14:paraId="3231BC69">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（1）</w:t>
            </w:r>
            <w:r>
              <w:rPr>
                <w:rFonts w:hint="eastAsia" w:ascii="Times New Roman" w:hAnsi="Times New Roman" w:cs="Times New Roman"/>
                <w:bCs/>
                <w:color w:val="auto"/>
                <w:sz w:val="24"/>
                <w:highlight w:val="none"/>
                <w:lang w:val="en-US" w:eastAsia="zh-CN"/>
              </w:rPr>
              <w:t>厂区</w:t>
            </w:r>
            <w:r>
              <w:rPr>
                <w:rFonts w:hint="default" w:ascii="Times New Roman" w:hAnsi="Times New Roman" w:cs="Times New Roman"/>
                <w:bCs/>
                <w:color w:val="auto"/>
                <w:sz w:val="24"/>
                <w:highlight w:val="none"/>
              </w:rPr>
              <w:t>四至情况</w:t>
            </w:r>
          </w:p>
          <w:p w14:paraId="7D897A91">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 w:val="0"/>
                <w:bCs/>
                <w:color w:val="auto"/>
                <w:kern w:val="2"/>
                <w:sz w:val="24"/>
                <w:szCs w:val="32"/>
                <w:highlight w:val="none"/>
                <w:lang w:val="en-US" w:eastAsia="zh-CN"/>
              </w:rPr>
            </w:pPr>
            <w:r>
              <w:rPr>
                <w:rFonts w:hint="eastAsia" w:ascii="Times New Roman" w:hAnsi="Times New Roman" w:cs="Times New Roman"/>
                <w:bCs/>
                <w:color w:val="auto"/>
                <w:sz w:val="24"/>
                <w:highlight w:val="none"/>
                <w:lang w:val="en-US" w:eastAsia="zh-CN"/>
              </w:rPr>
              <w:t>本</w:t>
            </w:r>
            <w:r>
              <w:rPr>
                <w:rFonts w:hint="eastAsia" w:ascii="Times New Roman" w:hAnsi="Times New Roman" w:cs="Times New Roman"/>
                <w:bCs/>
                <w:color w:val="auto"/>
                <w:sz w:val="24"/>
                <w:highlight w:val="none"/>
                <w:lang w:eastAsia="zh-CN"/>
              </w:rPr>
              <w:t>项目</w:t>
            </w:r>
            <w:r>
              <w:rPr>
                <w:rFonts w:hint="default" w:ascii="Times New Roman" w:hAnsi="Times New Roman" w:cs="Times New Roman"/>
                <w:bCs/>
                <w:color w:val="auto"/>
                <w:sz w:val="24"/>
                <w:highlight w:val="none"/>
              </w:rPr>
              <w:t>选址于</w:t>
            </w:r>
            <w:r>
              <w:rPr>
                <w:rFonts w:hint="eastAsia" w:ascii="Times New Roman" w:hAnsi="Times New Roman" w:cs="Times New Roman"/>
                <w:bCs/>
                <w:color w:val="auto"/>
                <w:sz w:val="24"/>
                <w:highlight w:val="none"/>
                <w:lang w:val="en-US" w:eastAsia="zh-CN"/>
              </w:rPr>
              <w:t>安徽省池州</w:t>
            </w:r>
            <w:r>
              <w:rPr>
                <w:rFonts w:hint="default" w:ascii="Times New Roman" w:hAnsi="Times New Roman" w:cs="Times New Roman"/>
                <w:bCs/>
                <w:color w:val="auto"/>
                <w:sz w:val="24"/>
                <w:highlight w:val="none"/>
              </w:rPr>
              <w:t>市</w:t>
            </w:r>
            <w:r>
              <w:rPr>
                <w:rFonts w:hint="eastAsia" w:cs="Times New Roman"/>
                <w:bCs/>
                <w:color w:val="auto"/>
                <w:sz w:val="24"/>
                <w:highlight w:val="none"/>
                <w:lang w:val="en-US" w:eastAsia="zh-CN"/>
              </w:rPr>
              <w:t>青阳县新河镇镁铝及机电装备制造产业集聚区</w:t>
            </w:r>
            <w:r>
              <w:rPr>
                <w:rFonts w:hint="eastAsia" w:ascii="Times New Roman" w:hAnsi="Times New Roman" w:cs="Times New Roman"/>
                <w:color w:val="auto"/>
                <w:sz w:val="24"/>
                <w:szCs w:val="24"/>
                <w:highlight w:val="none"/>
                <w:lang w:eastAsia="zh-CN"/>
              </w:rPr>
              <w:t>池州市锋达金属铸造有限公司</w:t>
            </w:r>
            <w:r>
              <w:rPr>
                <w:rFonts w:hint="eastAsia" w:ascii="Times New Roman" w:hAnsi="Times New Roman" w:cs="Times New Roman"/>
                <w:bCs/>
                <w:color w:val="auto"/>
                <w:sz w:val="24"/>
                <w:highlight w:val="none"/>
                <w:lang w:val="en-US" w:eastAsia="zh-CN"/>
              </w:rPr>
              <w:t>现有厂房内</w:t>
            </w:r>
            <w:r>
              <w:rPr>
                <w:rFonts w:hint="eastAsia" w:ascii="Times New Roman" w:hAnsi="Times New Roman" w:cs="Times New Roman"/>
                <w:bCs/>
                <w:color w:val="auto"/>
                <w:sz w:val="24"/>
                <w:highlight w:val="none"/>
                <w:lang w:eastAsia="zh-CN"/>
              </w:rPr>
              <w:t>，</w:t>
            </w:r>
            <w:r>
              <w:rPr>
                <w:rFonts w:hint="eastAsia" w:ascii="Times New Roman" w:hAnsi="Times New Roman" w:cs="Times New Roman"/>
                <w:bCs/>
                <w:color w:val="auto"/>
                <w:sz w:val="24"/>
                <w:highlight w:val="none"/>
                <w:lang w:val="en-US" w:eastAsia="zh-CN"/>
              </w:rPr>
              <w:t>厂区</w:t>
            </w:r>
            <w:r>
              <w:rPr>
                <w:rFonts w:hint="default" w:ascii="Times New Roman" w:hAnsi="Times New Roman" w:cs="Times New Roman"/>
                <w:bCs/>
                <w:color w:val="auto"/>
                <w:sz w:val="24"/>
                <w:highlight w:val="none"/>
              </w:rPr>
              <w:t>中心坐标E</w:t>
            </w:r>
            <w:r>
              <w:rPr>
                <w:rFonts w:hint="default" w:ascii="Times New Roman" w:hAnsi="Times New Roman" w:cs="Times New Roman"/>
                <w:bCs/>
                <w:color w:val="auto"/>
                <w:sz w:val="24"/>
                <w:highlight w:val="none"/>
                <w:lang w:val="en-US" w:eastAsia="zh-CN"/>
              </w:rPr>
              <w:t>117°54′54.981″</w:t>
            </w:r>
            <w:r>
              <w:rPr>
                <w:rFonts w:hint="default"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N</w:t>
            </w:r>
            <w:r>
              <w:rPr>
                <w:rFonts w:hint="default" w:ascii="Times New Roman" w:hAnsi="Times New Roman" w:cs="Times New Roman"/>
                <w:bCs/>
                <w:color w:val="auto"/>
                <w:sz w:val="24"/>
                <w:highlight w:val="none"/>
                <w:lang w:val="en-US" w:eastAsia="zh-CN"/>
              </w:rPr>
              <w:t>30°40′39.316″</w:t>
            </w:r>
            <w:r>
              <w:rPr>
                <w:rFonts w:hint="default" w:ascii="Times New Roman" w:hAnsi="Times New Roman" w:cs="Times New Roman"/>
                <w:b w:val="0"/>
                <w:bCs/>
                <w:color w:val="auto"/>
                <w:kern w:val="2"/>
                <w:sz w:val="24"/>
                <w:szCs w:val="32"/>
                <w:highlight w:val="none"/>
                <w:lang w:val="en-US" w:eastAsia="zh-CN"/>
              </w:rPr>
              <w:t>。</w:t>
            </w:r>
          </w:p>
          <w:p w14:paraId="54B290A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
                <w:bCs/>
                <w:color w:val="auto"/>
                <w:sz w:val="24"/>
                <w:highlight w:val="none"/>
              </w:rPr>
            </w:pPr>
            <w:r>
              <w:rPr>
                <w:rFonts w:hint="eastAsia" w:ascii="Times New Roman" w:hAnsi="Times New Roman" w:cs="Times New Roman"/>
                <w:b w:val="0"/>
                <w:bCs/>
                <w:color w:val="auto"/>
                <w:kern w:val="2"/>
                <w:sz w:val="24"/>
                <w:szCs w:val="32"/>
                <w:highlight w:val="none"/>
                <w:lang w:val="en-US" w:eastAsia="zh-CN"/>
              </w:rPr>
              <w:t>项目所在厂区</w:t>
            </w:r>
            <w:r>
              <w:rPr>
                <w:rFonts w:hint="default" w:ascii="Times New Roman" w:hAnsi="Times New Roman" w:cs="Times New Roman"/>
                <w:bCs/>
                <w:color w:val="auto"/>
                <w:sz w:val="24"/>
                <w:highlight w:val="none"/>
              </w:rPr>
              <w:t>东侧为</w:t>
            </w:r>
            <w:r>
              <w:rPr>
                <w:rFonts w:hint="eastAsia" w:ascii="Times New Roman" w:hAnsi="Times New Roman" w:cs="Times New Roman"/>
                <w:bCs/>
                <w:color w:val="auto"/>
                <w:sz w:val="24"/>
                <w:highlight w:val="none"/>
                <w:lang w:val="en-US" w:eastAsia="zh-CN"/>
              </w:rPr>
              <w:t>池州鸿博通用机械制造有限公司</w:t>
            </w:r>
            <w:r>
              <w:rPr>
                <w:rFonts w:hint="default" w:ascii="Times New Roman" w:hAnsi="Times New Roman" w:cs="Times New Roman"/>
                <w:b w:val="0"/>
                <w:bCs/>
                <w:color w:val="auto"/>
                <w:kern w:val="2"/>
                <w:sz w:val="24"/>
                <w:szCs w:val="32"/>
                <w:highlight w:val="none"/>
                <w:lang w:val="en-US" w:eastAsia="zh-CN"/>
              </w:rPr>
              <w:t>，</w:t>
            </w:r>
            <w:r>
              <w:rPr>
                <w:rFonts w:hint="default" w:ascii="Times New Roman" w:hAnsi="Times New Roman" w:cs="Times New Roman"/>
                <w:bCs/>
                <w:color w:val="auto"/>
                <w:sz w:val="24"/>
                <w:highlight w:val="none"/>
              </w:rPr>
              <w:t>南侧</w:t>
            </w:r>
            <w:r>
              <w:rPr>
                <w:rFonts w:hint="eastAsia" w:ascii="Times New Roman" w:hAnsi="Times New Roman" w:cs="Times New Roman"/>
                <w:bCs/>
                <w:color w:val="auto"/>
                <w:sz w:val="24"/>
                <w:highlight w:val="none"/>
                <w:lang w:val="en-US" w:eastAsia="zh-CN"/>
              </w:rPr>
              <w:t>和西侧</w:t>
            </w:r>
            <w:r>
              <w:rPr>
                <w:rFonts w:hint="default" w:ascii="Times New Roman" w:hAnsi="Times New Roman" w:cs="Times New Roman"/>
                <w:bCs/>
                <w:color w:val="auto"/>
                <w:sz w:val="24"/>
                <w:highlight w:val="none"/>
                <w:lang w:val="en-US" w:eastAsia="zh-CN"/>
              </w:rPr>
              <w:t>为</w:t>
            </w:r>
            <w:r>
              <w:rPr>
                <w:rFonts w:hint="eastAsia" w:ascii="Times New Roman" w:hAnsi="Times New Roman" w:cs="Times New Roman"/>
                <w:color w:val="auto"/>
                <w:kern w:val="2"/>
                <w:sz w:val="24"/>
                <w:szCs w:val="32"/>
                <w:highlight w:val="none"/>
                <w:lang w:val="en-US" w:eastAsia="zh-CN"/>
              </w:rPr>
              <w:t>空地</w:t>
            </w:r>
            <w:r>
              <w:rPr>
                <w:rFonts w:hint="default" w:ascii="Times New Roman" w:hAnsi="Times New Roman" w:cs="Times New Roman"/>
                <w:bCs/>
                <w:color w:val="auto"/>
                <w:sz w:val="24"/>
                <w:highlight w:val="none"/>
              </w:rPr>
              <w:t>，</w:t>
            </w:r>
            <w:r>
              <w:rPr>
                <w:rFonts w:hint="default" w:ascii="Times New Roman" w:hAnsi="Times New Roman" w:cs="Times New Roman"/>
                <w:b w:val="0"/>
                <w:bCs/>
                <w:color w:val="auto"/>
                <w:kern w:val="2"/>
                <w:sz w:val="24"/>
                <w:szCs w:val="32"/>
                <w:highlight w:val="none"/>
                <w:lang w:val="en-US" w:eastAsia="zh-CN"/>
              </w:rPr>
              <w:t>北侧为</w:t>
            </w:r>
            <w:r>
              <w:rPr>
                <w:rFonts w:hint="eastAsia" w:ascii="Times New Roman" w:hAnsi="Times New Roman" w:cs="Times New Roman"/>
                <w:color w:val="auto"/>
                <w:kern w:val="2"/>
                <w:sz w:val="24"/>
                <w:szCs w:val="32"/>
                <w:highlight w:val="none"/>
                <w:lang w:val="en-US" w:eastAsia="zh-CN"/>
              </w:rPr>
              <w:t>池州市信佳阀门制造有限公司</w:t>
            </w:r>
            <w:r>
              <w:rPr>
                <w:rFonts w:hint="default" w:ascii="Times New Roman" w:hAnsi="Times New Roman" w:cs="Times New Roman"/>
                <w:bCs/>
                <w:color w:val="auto"/>
                <w:sz w:val="24"/>
                <w:highlight w:val="none"/>
              </w:rPr>
              <w:t>。</w:t>
            </w:r>
          </w:p>
          <w:p w14:paraId="714C4720">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（2）平面</w:t>
            </w:r>
            <w:r>
              <w:rPr>
                <w:rFonts w:hint="eastAsia" w:ascii="Times New Roman" w:hAnsi="Times New Roman" w:cs="Times New Roman"/>
                <w:color w:val="auto"/>
                <w:sz w:val="24"/>
                <w:highlight w:val="none"/>
                <w:lang w:val="en-US" w:eastAsia="zh-CN"/>
              </w:rPr>
              <w:t>布置</w:t>
            </w:r>
          </w:p>
          <w:p w14:paraId="0246C9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 w:val="0"/>
                <w:bCs/>
                <w:color w:val="auto"/>
                <w:kern w:val="2"/>
                <w:sz w:val="24"/>
                <w:szCs w:val="32"/>
                <w:highlight w:val="none"/>
                <w:lang w:val="en-US" w:eastAsia="zh-CN"/>
              </w:rPr>
            </w:pPr>
            <w:r>
              <w:rPr>
                <w:rFonts w:hint="eastAsia" w:ascii="Times New Roman" w:hAnsi="Times New Roman" w:cs="Times New Roman"/>
                <w:b w:val="0"/>
                <w:bCs/>
                <w:color w:val="auto"/>
                <w:kern w:val="2"/>
                <w:sz w:val="24"/>
                <w:szCs w:val="32"/>
                <w:highlight w:val="none"/>
                <w:lang w:val="en-US" w:eastAsia="zh-CN"/>
              </w:rPr>
              <w:t>厂区内现状已建</w:t>
            </w:r>
            <w:r>
              <w:rPr>
                <w:rFonts w:hint="default" w:ascii="Times New Roman" w:hAnsi="Times New Roman" w:cs="Times New Roman"/>
                <w:b w:val="0"/>
                <w:bCs/>
                <w:color w:val="auto"/>
                <w:kern w:val="2"/>
                <w:sz w:val="24"/>
                <w:szCs w:val="32"/>
                <w:highlight w:val="none"/>
                <w:lang w:val="en-US" w:eastAsia="zh-CN"/>
              </w:rPr>
              <w:t>1</w:t>
            </w:r>
            <w:r>
              <w:rPr>
                <w:rFonts w:hint="eastAsia" w:ascii="Times New Roman" w:hAnsi="Times New Roman" w:cs="Times New Roman"/>
                <w:b w:val="0"/>
                <w:bCs/>
                <w:color w:val="auto"/>
                <w:kern w:val="2"/>
                <w:sz w:val="24"/>
                <w:szCs w:val="32"/>
                <w:highlight w:val="none"/>
                <w:lang w:val="en-US" w:eastAsia="zh-CN"/>
              </w:rPr>
              <w:t>座1号厂房（铸造</w:t>
            </w:r>
            <w:r>
              <w:rPr>
                <w:rFonts w:hint="default" w:ascii="Times New Roman" w:hAnsi="Times New Roman" w:cs="Times New Roman"/>
                <w:b w:val="0"/>
                <w:bCs/>
                <w:color w:val="auto"/>
                <w:kern w:val="2"/>
                <w:sz w:val="24"/>
                <w:szCs w:val="32"/>
                <w:highlight w:val="none"/>
                <w:lang w:val="en-US" w:eastAsia="zh-CN"/>
              </w:rPr>
              <w:t>生产车间</w:t>
            </w:r>
            <w:r>
              <w:rPr>
                <w:rFonts w:hint="eastAsia" w:ascii="Times New Roman" w:hAnsi="Times New Roman" w:cs="Times New Roman"/>
                <w:b w:val="0"/>
                <w:bCs/>
                <w:color w:val="auto"/>
                <w:kern w:val="2"/>
                <w:sz w:val="24"/>
                <w:szCs w:val="32"/>
                <w:highlight w:val="none"/>
                <w:lang w:val="en-US" w:eastAsia="zh-CN"/>
              </w:rPr>
              <w:t>）</w:t>
            </w:r>
            <w:r>
              <w:rPr>
                <w:rFonts w:hint="default" w:ascii="Times New Roman" w:hAnsi="Times New Roman" w:cs="Times New Roman"/>
                <w:b w:val="0"/>
                <w:bCs/>
                <w:color w:val="auto"/>
                <w:kern w:val="2"/>
                <w:sz w:val="24"/>
                <w:szCs w:val="32"/>
                <w:highlight w:val="none"/>
                <w:lang w:val="en-US" w:eastAsia="zh-CN"/>
              </w:rPr>
              <w:t>、1</w:t>
            </w:r>
            <w:r>
              <w:rPr>
                <w:rFonts w:hint="eastAsia" w:ascii="Times New Roman" w:hAnsi="Times New Roman" w:cs="Times New Roman"/>
                <w:b w:val="0"/>
                <w:bCs/>
                <w:color w:val="auto"/>
                <w:kern w:val="2"/>
                <w:sz w:val="24"/>
                <w:szCs w:val="32"/>
                <w:highlight w:val="none"/>
                <w:lang w:val="en-US" w:eastAsia="zh-CN"/>
              </w:rPr>
              <w:t>座2号厂房（金属制品</w:t>
            </w:r>
            <w:r>
              <w:rPr>
                <w:rFonts w:hint="default" w:ascii="Times New Roman" w:hAnsi="Times New Roman" w:cs="Times New Roman"/>
                <w:b w:val="0"/>
                <w:bCs/>
                <w:color w:val="auto"/>
                <w:kern w:val="2"/>
                <w:sz w:val="24"/>
                <w:szCs w:val="32"/>
                <w:highlight w:val="none"/>
                <w:lang w:val="en-US" w:eastAsia="zh-CN"/>
              </w:rPr>
              <w:t>生产车间</w:t>
            </w:r>
            <w:r>
              <w:rPr>
                <w:rFonts w:hint="eastAsia" w:ascii="Times New Roman" w:hAnsi="Times New Roman" w:cs="Times New Roman"/>
                <w:b w:val="0"/>
                <w:bCs/>
                <w:color w:val="auto"/>
                <w:kern w:val="2"/>
                <w:sz w:val="24"/>
                <w:szCs w:val="32"/>
                <w:highlight w:val="none"/>
                <w:lang w:val="en-US" w:eastAsia="zh-CN"/>
              </w:rPr>
              <w:t>）、1座一般固废库、1座危废仓库。其中：1号厂房（铸造</w:t>
            </w:r>
            <w:r>
              <w:rPr>
                <w:rFonts w:hint="default" w:ascii="Times New Roman" w:hAnsi="Times New Roman" w:cs="Times New Roman"/>
                <w:b w:val="0"/>
                <w:bCs/>
                <w:color w:val="auto"/>
                <w:kern w:val="2"/>
                <w:sz w:val="24"/>
                <w:szCs w:val="32"/>
                <w:highlight w:val="none"/>
                <w:lang w:val="en-US" w:eastAsia="zh-CN"/>
              </w:rPr>
              <w:t>生产车间</w:t>
            </w:r>
            <w:r>
              <w:rPr>
                <w:rFonts w:hint="eastAsia" w:ascii="Times New Roman" w:hAnsi="Times New Roman" w:cs="Times New Roman"/>
                <w:b w:val="0"/>
                <w:bCs/>
                <w:color w:val="auto"/>
                <w:kern w:val="2"/>
                <w:sz w:val="24"/>
                <w:szCs w:val="32"/>
                <w:highlight w:val="none"/>
                <w:lang w:val="en-US" w:eastAsia="zh-CN"/>
              </w:rPr>
              <w:t>）</w:t>
            </w:r>
            <w:r>
              <w:rPr>
                <w:rFonts w:hint="default" w:ascii="Times New Roman" w:hAnsi="Times New Roman" w:cs="Times New Roman"/>
                <w:b w:val="0"/>
                <w:bCs/>
                <w:color w:val="auto"/>
                <w:kern w:val="2"/>
                <w:sz w:val="24"/>
                <w:szCs w:val="32"/>
                <w:highlight w:val="none"/>
                <w:lang w:val="en-US" w:eastAsia="zh-CN"/>
              </w:rPr>
              <w:t>位于厂区</w:t>
            </w:r>
            <w:r>
              <w:rPr>
                <w:rFonts w:hint="eastAsia" w:ascii="Times New Roman" w:hAnsi="Times New Roman" w:cs="Times New Roman"/>
                <w:b w:val="0"/>
                <w:bCs/>
                <w:color w:val="auto"/>
                <w:kern w:val="2"/>
                <w:sz w:val="24"/>
                <w:szCs w:val="32"/>
                <w:highlight w:val="none"/>
                <w:lang w:val="en-US" w:eastAsia="zh-CN"/>
              </w:rPr>
              <w:t>北部，主要为企业现有项目铸造生产车间；2号厂房（金属制品</w:t>
            </w:r>
            <w:r>
              <w:rPr>
                <w:rFonts w:hint="default" w:ascii="Times New Roman" w:hAnsi="Times New Roman" w:cs="Times New Roman"/>
                <w:b w:val="0"/>
                <w:bCs/>
                <w:color w:val="auto"/>
                <w:kern w:val="2"/>
                <w:sz w:val="24"/>
                <w:szCs w:val="32"/>
                <w:highlight w:val="none"/>
                <w:lang w:val="en-US" w:eastAsia="zh-CN"/>
              </w:rPr>
              <w:t>生产车间</w:t>
            </w:r>
            <w:r>
              <w:rPr>
                <w:rFonts w:hint="eastAsia" w:ascii="Times New Roman" w:hAnsi="Times New Roman" w:cs="Times New Roman"/>
                <w:b w:val="0"/>
                <w:bCs/>
                <w:color w:val="auto"/>
                <w:kern w:val="2"/>
                <w:sz w:val="24"/>
                <w:szCs w:val="32"/>
                <w:highlight w:val="none"/>
                <w:lang w:val="en-US" w:eastAsia="zh-CN"/>
              </w:rPr>
              <w:t>）</w:t>
            </w:r>
            <w:r>
              <w:rPr>
                <w:rFonts w:hint="default" w:ascii="Times New Roman" w:hAnsi="Times New Roman" w:cs="Times New Roman"/>
                <w:b w:val="0"/>
                <w:bCs/>
                <w:color w:val="auto"/>
                <w:kern w:val="2"/>
                <w:sz w:val="24"/>
                <w:szCs w:val="32"/>
                <w:highlight w:val="none"/>
                <w:lang w:val="en-US" w:eastAsia="zh-CN"/>
              </w:rPr>
              <w:t>位于厂区</w:t>
            </w:r>
            <w:r>
              <w:rPr>
                <w:rFonts w:hint="eastAsia" w:ascii="Times New Roman" w:hAnsi="Times New Roman" w:cs="Times New Roman"/>
                <w:b w:val="0"/>
                <w:bCs/>
                <w:color w:val="auto"/>
                <w:kern w:val="2"/>
                <w:sz w:val="24"/>
                <w:szCs w:val="32"/>
                <w:highlight w:val="none"/>
                <w:lang w:val="en-US" w:eastAsia="zh-CN"/>
              </w:rPr>
              <w:t>西部</w:t>
            </w:r>
            <w:r>
              <w:rPr>
                <w:rFonts w:hint="eastAsia" w:cs="Times New Roman"/>
                <w:b w:val="0"/>
                <w:bCs/>
                <w:color w:val="auto"/>
                <w:kern w:val="2"/>
                <w:sz w:val="24"/>
                <w:szCs w:val="32"/>
                <w:highlight w:val="none"/>
                <w:lang w:val="en-US" w:eastAsia="zh-CN"/>
              </w:rPr>
              <w:t>，</w:t>
            </w:r>
            <w:r>
              <w:rPr>
                <w:rFonts w:hint="eastAsia" w:ascii="Times New Roman" w:hAnsi="Times New Roman" w:cs="Times New Roman"/>
                <w:b w:val="0"/>
                <w:bCs/>
                <w:color w:val="auto"/>
                <w:kern w:val="2"/>
                <w:sz w:val="24"/>
                <w:szCs w:val="32"/>
                <w:highlight w:val="none"/>
                <w:lang w:val="en-US" w:eastAsia="zh-CN"/>
              </w:rPr>
              <w:t>现状为原料仓库、成品仓库；一般固废库位于厂区西侧，危废仓库位于</w:t>
            </w:r>
            <w:r>
              <w:rPr>
                <w:rFonts w:hint="eastAsia" w:cs="Times New Roman"/>
                <w:b w:val="0"/>
                <w:bCs/>
                <w:color w:val="auto"/>
                <w:kern w:val="2"/>
                <w:sz w:val="24"/>
                <w:szCs w:val="32"/>
                <w:highlight w:val="none"/>
                <w:lang w:val="en-US" w:eastAsia="zh-CN"/>
              </w:rPr>
              <w:t>3号厂房西</w:t>
            </w:r>
            <w:r>
              <w:rPr>
                <w:rFonts w:hint="eastAsia" w:ascii="Times New Roman" w:hAnsi="Times New Roman" w:cs="Times New Roman"/>
                <w:b w:val="0"/>
                <w:bCs/>
                <w:color w:val="auto"/>
                <w:kern w:val="2"/>
                <w:sz w:val="24"/>
                <w:szCs w:val="32"/>
                <w:highlight w:val="none"/>
                <w:lang w:val="en-US" w:eastAsia="zh-CN"/>
              </w:rPr>
              <w:t>侧</w:t>
            </w:r>
            <w:r>
              <w:rPr>
                <w:rFonts w:hint="eastAsia" w:cs="Times New Roman"/>
                <w:b w:val="0"/>
                <w:bCs/>
                <w:color w:val="auto"/>
                <w:kern w:val="2"/>
                <w:sz w:val="24"/>
                <w:szCs w:val="32"/>
                <w:highlight w:val="none"/>
                <w:lang w:val="en-US" w:eastAsia="zh-CN"/>
              </w:rPr>
              <w:t>，企业拟于2号仓库、3号仓库分别购置10台CNC设备，用于金属制品加工</w:t>
            </w:r>
            <w:r>
              <w:rPr>
                <w:rFonts w:hint="eastAsia" w:ascii="Times New Roman" w:hAnsi="Times New Roman" w:cs="Times New Roman"/>
                <w:b w:val="0"/>
                <w:bCs/>
                <w:color w:val="auto"/>
                <w:kern w:val="2"/>
                <w:sz w:val="24"/>
                <w:szCs w:val="32"/>
                <w:highlight w:val="none"/>
                <w:lang w:val="en-US" w:eastAsia="zh-CN"/>
              </w:rPr>
              <w:t>。</w:t>
            </w:r>
            <w:r>
              <w:rPr>
                <w:rFonts w:hint="default" w:ascii="Times New Roman" w:hAnsi="Times New Roman" w:cs="Times New Roman"/>
                <w:b w:val="0"/>
                <w:bCs/>
                <w:color w:val="auto"/>
                <w:kern w:val="2"/>
                <w:sz w:val="24"/>
                <w:szCs w:val="32"/>
                <w:highlight w:val="none"/>
                <w:lang w:val="en-US" w:eastAsia="zh-CN"/>
              </w:rPr>
              <w:t>具体布局见附图。</w:t>
            </w:r>
          </w:p>
          <w:p w14:paraId="07A1B1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项目</w:t>
            </w:r>
            <w:r>
              <w:rPr>
                <w:rFonts w:hint="default" w:ascii="Times New Roman" w:hAnsi="Times New Roman" w:eastAsia="宋体" w:cs="Times New Roman"/>
                <w:b w:val="0"/>
                <w:bCs/>
                <w:color w:val="auto"/>
                <w:sz w:val="24"/>
                <w:highlight w:val="none"/>
                <w:lang w:val="en-US" w:eastAsia="zh-CN"/>
              </w:rPr>
              <w:t>各功能区分区明确，且生产区各生产设施依据生产工艺流程合理布置。综上，项目总平面布置较合理，对周围环境影响较小。</w:t>
            </w:r>
          </w:p>
        </w:tc>
      </w:tr>
      <w:tr w14:paraId="4E1356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5" w:type="dxa"/>
            <w:noWrap w:val="0"/>
            <w:vAlign w:val="center"/>
          </w:tcPr>
          <w:p w14:paraId="2F1B2546">
            <w:pPr>
              <w:pStyle w:val="31"/>
              <w:adjustRightInd w:val="0"/>
              <w:snapToGrid w:val="0"/>
              <w:spacing w:before="0" w:beforeAutospacing="0" w:after="0" w:afterAutospacing="0"/>
              <w:ind w:left="-63" w:leftChars="-30" w:right="-63" w:rightChars="-3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工艺流程和产排污环节</w:t>
            </w:r>
          </w:p>
        </w:tc>
        <w:tc>
          <w:tcPr>
            <w:tcW w:w="8833" w:type="dxa"/>
            <w:noWrap w:val="0"/>
            <w:vAlign w:val="top"/>
          </w:tcPr>
          <w:p w14:paraId="2907397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lang w:val="en-US" w:eastAsia="zh-CN"/>
              </w:rPr>
              <w:t>运营期主要</w:t>
            </w:r>
            <w:r>
              <w:rPr>
                <w:rFonts w:hint="default" w:ascii="Times New Roman" w:hAnsi="Times New Roman" w:eastAsia="宋体" w:cs="Times New Roman"/>
                <w:b/>
                <w:bCs/>
                <w:color w:val="auto"/>
                <w:kern w:val="2"/>
                <w:sz w:val="24"/>
                <w:szCs w:val="24"/>
                <w:lang w:val="en-US" w:eastAsia="zh-CN"/>
              </w:rPr>
              <w:t>工艺流程</w:t>
            </w:r>
          </w:p>
          <w:p w14:paraId="4ADA08C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rPr>
                <w:rFonts w:hint="default" w:ascii="Times New Roman" w:hAnsi="Times New Roman" w:eastAsia="宋体" w:cs="Times New Roman"/>
                <w:b/>
                <w:bCs/>
                <w:color w:val="FF0000"/>
                <w:kern w:val="2"/>
                <w:sz w:val="24"/>
                <w:szCs w:val="24"/>
                <w:highlight w:val="none"/>
                <w:lang w:val="en-US" w:eastAsia="zh-CN"/>
              </w:rPr>
            </w:pPr>
            <w:r>
              <w:rPr>
                <w:rFonts w:hint="default" w:ascii="Times New Roman" w:hAnsi="Times New Roman" w:eastAsia="宋体" w:cs="Times New Roman"/>
                <w:b/>
                <w:bCs/>
                <w:color w:val="FF0000"/>
                <w:kern w:val="2"/>
                <w:sz w:val="24"/>
                <w:szCs w:val="24"/>
                <w:highlight w:val="none"/>
                <w:lang w:val="en-US" w:eastAsia="zh-CN"/>
              </w:rPr>
              <w:drawing>
                <wp:inline distT="0" distB="0" distL="114300" distR="114300">
                  <wp:extent cx="5464810" cy="3809365"/>
                  <wp:effectExtent l="0" t="0" r="2540" b="635"/>
                  <wp:docPr id="41" name="图片 41" descr="62546e26-efcc-47ab-ad4c-21c1e309d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62546e26-efcc-47ab-ad4c-21c1e309d017"/>
                          <pic:cNvPicPr>
                            <a:picLocks noChangeAspect="1"/>
                          </pic:cNvPicPr>
                        </pic:nvPicPr>
                        <pic:blipFill>
                          <a:blip r:embed="rId24"/>
                          <a:stretch>
                            <a:fillRect/>
                          </a:stretch>
                        </pic:blipFill>
                        <pic:spPr>
                          <a:xfrm>
                            <a:off x="0" y="0"/>
                            <a:ext cx="5464810" cy="3809365"/>
                          </a:xfrm>
                          <a:prstGeom prst="rect">
                            <a:avLst/>
                          </a:prstGeom>
                        </pic:spPr>
                      </pic:pic>
                    </a:graphicData>
                  </a:graphic>
                </wp:inline>
              </w:drawing>
            </w:r>
          </w:p>
          <w:p w14:paraId="148E2C9E">
            <w:pPr>
              <w:keepNext w:val="0"/>
              <w:keepLines w:val="0"/>
              <w:pageBreakBefore w:val="0"/>
              <w:widowControl w:val="0"/>
              <w:kinsoku/>
              <w:wordWrap/>
              <w:overflowPunct/>
              <w:topLinePunct w:val="0"/>
              <w:autoSpaceDE/>
              <w:autoSpaceDN/>
              <w:bidi w:val="0"/>
              <w:adjustRightInd/>
              <w:snapToGrid/>
              <w:jc w:val="center"/>
              <w:textAlignment w:val="auto"/>
              <w:outlineLvl w:val="2"/>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bCs/>
                <w:color w:val="auto"/>
                <w:kern w:val="2"/>
                <w:sz w:val="24"/>
                <w:szCs w:val="24"/>
                <w:highlight w:val="none"/>
                <w:lang w:val="en-US" w:eastAsia="zh-CN"/>
              </w:rPr>
              <w:t>图2-</w:t>
            </w:r>
            <w:r>
              <w:rPr>
                <w:rFonts w:hint="eastAsia" w:ascii="Times New Roman" w:hAnsi="Times New Roman" w:eastAsia="宋体" w:cs="Times New Roman"/>
                <w:b/>
                <w:bCs/>
                <w:color w:val="auto"/>
                <w:kern w:val="2"/>
                <w:sz w:val="24"/>
                <w:szCs w:val="24"/>
                <w:highlight w:val="none"/>
                <w:lang w:val="en-US" w:eastAsia="zh-CN"/>
              </w:rPr>
              <w:t xml:space="preserve">3  </w:t>
            </w:r>
            <w:r>
              <w:rPr>
                <w:rFonts w:hint="default" w:ascii="Times New Roman" w:hAnsi="Times New Roman" w:eastAsia="宋体" w:cs="Times New Roman"/>
                <w:b/>
                <w:bCs/>
                <w:color w:val="auto"/>
                <w:kern w:val="2"/>
                <w:sz w:val="24"/>
                <w:szCs w:val="24"/>
                <w:highlight w:val="none"/>
                <w:lang w:val="en-US" w:eastAsia="zh-CN"/>
              </w:rPr>
              <w:t>项目</w:t>
            </w:r>
            <w:r>
              <w:rPr>
                <w:rFonts w:hint="eastAsia" w:ascii="Times New Roman" w:hAnsi="Times New Roman" w:eastAsia="宋体" w:cs="Times New Roman"/>
                <w:b/>
                <w:bCs/>
                <w:color w:val="auto"/>
                <w:kern w:val="2"/>
                <w:sz w:val="24"/>
                <w:szCs w:val="24"/>
                <w:highlight w:val="none"/>
                <w:lang w:val="en-US" w:eastAsia="zh-CN"/>
              </w:rPr>
              <w:t>主要生产工艺</w:t>
            </w:r>
            <w:r>
              <w:rPr>
                <w:rFonts w:hint="default" w:ascii="Times New Roman" w:hAnsi="Times New Roman" w:eastAsia="宋体" w:cs="Times New Roman"/>
                <w:b/>
                <w:bCs/>
                <w:color w:val="auto"/>
                <w:kern w:val="2"/>
                <w:sz w:val="24"/>
                <w:szCs w:val="24"/>
                <w:highlight w:val="none"/>
                <w:lang w:val="en-US" w:eastAsia="zh-CN"/>
              </w:rPr>
              <w:t>流程</w:t>
            </w:r>
            <w:r>
              <w:rPr>
                <w:rFonts w:hint="default" w:ascii="Times New Roman" w:hAnsi="Times New Roman" w:eastAsia="宋体" w:cs="Times New Roman"/>
                <w:b/>
                <w:color w:val="auto"/>
                <w:sz w:val="24"/>
                <w:szCs w:val="24"/>
                <w:highlight w:val="none"/>
                <w:lang w:val="en-US" w:eastAsia="zh-CN"/>
              </w:rPr>
              <w:t>图</w:t>
            </w:r>
          </w:p>
          <w:p w14:paraId="49B8F7C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default" w:ascii="Times New Roman" w:hAnsi="Times New Roman" w:eastAsia="宋体" w:cs="Times New Roman"/>
                <w:b/>
                <w:bCs/>
                <w:color w:val="auto"/>
                <w:kern w:val="2"/>
                <w:sz w:val="24"/>
                <w:szCs w:val="24"/>
                <w:lang w:val="en-US" w:eastAsia="zh-CN"/>
              </w:rPr>
              <w:t>工艺流程简述：</w:t>
            </w:r>
          </w:p>
          <w:p w14:paraId="5771821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rPr>
                <w:rFonts w:hint="default" w:ascii="Times New Roman" w:hAnsi="Times New Roman" w:cs="Times New Roman"/>
                <w:b w:val="0"/>
                <w:bCs w:val="0"/>
                <w:color w:val="auto"/>
                <w:sz w:val="24"/>
                <w:szCs w:val="32"/>
                <w:highlight w:val="none"/>
                <w:lang w:val="en-US"/>
              </w:rPr>
            </w:pPr>
            <w:r>
              <w:rPr>
                <w:rFonts w:hint="default" w:ascii="Times New Roman" w:hAnsi="Times New Roman" w:cs="Times New Roman"/>
                <w:b w:val="0"/>
                <w:bCs w:val="0"/>
                <w:color w:val="auto"/>
                <w:sz w:val="24"/>
                <w:szCs w:val="32"/>
                <w:highlight w:val="none"/>
                <w:lang w:eastAsia="zh-CN"/>
              </w:rPr>
              <w:t>（</w:t>
            </w:r>
            <w:r>
              <w:rPr>
                <w:rFonts w:hint="default" w:ascii="Times New Roman" w:hAnsi="Times New Roman" w:cs="Times New Roman"/>
                <w:b w:val="0"/>
                <w:bCs w:val="0"/>
                <w:color w:val="auto"/>
                <w:sz w:val="24"/>
                <w:szCs w:val="32"/>
                <w:highlight w:val="none"/>
                <w:lang w:val="en-US" w:eastAsia="zh-CN"/>
              </w:rPr>
              <w:t>1）</w:t>
            </w:r>
            <w:r>
              <w:rPr>
                <w:rFonts w:hint="eastAsia" w:cs="Times New Roman"/>
                <w:b w:val="0"/>
                <w:bCs w:val="0"/>
                <w:color w:val="auto"/>
                <w:sz w:val="24"/>
                <w:szCs w:val="32"/>
                <w:highlight w:val="none"/>
                <w:lang w:val="en-US" w:eastAsia="zh-CN"/>
              </w:rPr>
              <w:t>制芯（射芯）</w:t>
            </w:r>
          </w:p>
          <w:p w14:paraId="41D2528F">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项目</w:t>
            </w:r>
            <w:r>
              <w:rPr>
                <w:rFonts w:hint="default" w:ascii="Times New Roman" w:hAnsi="Times New Roman" w:eastAsia="宋体" w:cs="Times New Roman"/>
                <w:b w:val="0"/>
                <w:bCs w:val="0"/>
                <w:color w:val="auto"/>
                <w:sz w:val="24"/>
                <w:szCs w:val="24"/>
                <w:highlight w:val="none"/>
                <w:lang w:val="en-US" w:eastAsia="zh-CN"/>
              </w:rPr>
              <w:t>砂芯制造采用</w:t>
            </w:r>
            <w:r>
              <w:rPr>
                <w:rFonts w:hint="eastAsia" w:cs="Times New Roman"/>
                <w:b w:val="0"/>
                <w:bCs w:val="0"/>
                <w:color w:val="auto"/>
                <w:sz w:val="24"/>
                <w:szCs w:val="24"/>
                <w:highlight w:val="none"/>
                <w:lang w:val="en-US" w:eastAsia="zh-CN"/>
              </w:rPr>
              <w:t>覆膜砂</w:t>
            </w:r>
            <w:r>
              <w:rPr>
                <w:rFonts w:hint="eastAsia" w:ascii="Times New Roman" w:hAnsi="Times New Roman" w:eastAsia="宋体" w:cs="Times New Roman"/>
                <w:b w:val="0"/>
                <w:bCs w:val="0"/>
                <w:color w:val="auto"/>
                <w:sz w:val="24"/>
                <w:szCs w:val="24"/>
                <w:highlight w:val="none"/>
                <w:lang w:val="en-US" w:eastAsia="zh-CN"/>
              </w:rPr>
              <w:t>射芯一次成型</w:t>
            </w:r>
            <w:r>
              <w:rPr>
                <w:rFonts w:hint="default" w:ascii="Times New Roman" w:hAnsi="Times New Roman" w:eastAsia="宋体" w:cs="Times New Roman"/>
                <w:b w:val="0"/>
                <w:bCs w:val="0"/>
                <w:color w:val="auto"/>
                <w:sz w:val="24"/>
                <w:szCs w:val="24"/>
                <w:highlight w:val="none"/>
                <w:lang w:val="en-US" w:eastAsia="zh-CN"/>
              </w:rPr>
              <w:t>，</w:t>
            </w:r>
            <w:r>
              <w:rPr>
                <w:rFonts w:hint="eastAsia" w:cs="Times New Roman"/>
                <w:b w:val="0"/>
                <w:bCs w:val="0"/>
                <w:color w:val="auto"/>
                <w:sz w:val="24"/>
                <w:szCs w:val="24"/>
                <w:highlight w:val="none"/>
                <w:lang w:val="en-US" w:eastAsia="zh-CN"/>
              </w:rPr>
              <w:t>覆膜砂</w:t>
            </w:r>
            <w:r>
              <w:rPr>
                <w:rFonts w:hint="default" w:ascii="Times New Roman" w:hAnsi="Times New Roman" w:eastAsia="宋体" w:cs="Times New Roman"/>
                <w:b w:val="0"/>
                <w:bCs w:val="0"/>
                <w:color w:val="auto"/>
                <w:sz w:val="24"/>
                <w:szCs w:val="24"/>
                <w:highlight w:val="none"/>
                <w:lang w:val="en-US" w:eastAsia="zh-CN"/>
              </w:rPr>
              <w:t>为外购成品</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直接用于</w:t>
            </w:r>
            <w:r>
              <w:rPr>
                <w:rFonts w:hint="eastAsia" w:ascii="Times New Roman" w:hAnsi="Times New Roman" w:eastAsia="宋体" w:cs="Times New Roman"/>
                <w:b w:val="0"/>
                <w:bCs w:val="0"/>
                <w:color w:val="auto"/>
                <w:sz w:val="24"/>
                <w:szCs w:val="24"/>
                <w:highlight w:val="none"/>
                <w:lang w:val="en-US" w:eastAsia="zh-CN"/>
              </w:rPr>
              <w:t>射芯</w:t>
            </w:r>
            <w:r>
              <w:rPr>
                <w:rFonts w:hint="default" w:ascii="Times New Roman" w:hAnsi="Times New Roman" w:eastAsia="宋体" w:cs="Times New Roman"/>
                <w:b w:val="0"/>
                <w:bCs w:val="0"/>
                <w:color w:val="auto"/>
                <w:sz w:val="24"/>
                <w:szCs w:val="24"/>
                <w:highlight w:val="none"/>
                <w:lang w:val="en-US" w:eastAsia="zh-CN"/>
              </w:rPr>
              <w:t>，不需</w:t>
            </w:r>
            <w:r>
              <w:rPr>
                <w:rFonts w:hint="eastAsia" w:cs="Times New Roman"/>
                <w:b w:val="0"/>
                <w:bCs w:val="0"/>
                <w:color w:val="auto"/>
                <w:sz w:val="24"/>
                <w:szCs w:val="24"/>
                <w:highlight w:val="none"/>
                <w:lang w:val="en-US" w:eastAsia="zh-CN"/>
              </w:rPr>
              <w:t>要在</w:t>
            </w:r>
            <w:r>
              <w:rPr>
                <w:rFonts w:hint="default" w:ascii="Times New Roman" w:hAnsi="Times New Roman" w:eastAsia="宋体" w:cs="Times New Roman"/>
                <w:b w:val="0"/>
                <w:bCs w:val="0"/>
                <w:color w:val="auto"/>
                <w:sz w:val="24"/>
                <w:szCs w:val="24"/>
                <w:highlight w:val="none"/>
                <w:lang w:val="en-US" w:eastAsia="zh-CN"/>
              </w:rPr>
              <w:t>厂区内拌合，供应商定期送来新砂，收回旧砂返厂处理。</w:t>
            </w:r>
            <w:r>
              <w:rPr>
                <w:rFonts w:hint="eastAsia" w:cs="Times New Roman"/>
                <w:b w:val="0"/>
                <w:bCs w:val="0"/>
                <w:color w:val="auto"/>
                <w:sz w:val="24"/>
                <w:szCs w:val="24"/>
                <w:highlight w:val="none"/>
                <w:lang w:val="en-US" w:eastAsia="zh-CN"/>
              </w:rPr>
              <w:t>覆膜砂</w:t>
            </w:r>
            <w:r>
              <w:rPr>
                <w:rFonts w:hint="eastAsia" w:ascii="Times New Roman" w:hAnsi="Times New Roman" w:eastAsia="宋体" w:cs="Times New Roman"/>
                <w:b w:val="0"/>
                <w:bCs w:val="0"/>
                <w:color w:val="auto"/>
                <w:sz w:val="24"/>
                <w:szCs w:val="24"/>
                <w:highlight w:val="none"/>
                <w:lang w:val="en-US" w:eastAsia="zh-CN"/>
              </w:rPr>
              <w:t>射芯</w:t>
            </w:r>
            <w:r>
              <w:rPr>
                <w:rFonts w:hint="default" w:ascii="Times New Roman" w:hAnsi="Times New Roman" w:eastAsia="宋体" w:cs="Times New Roman"/>
                <w:b w:val="0"/>
                <w:bCs w:val="0"/>
                <w:color w:val="auto"/>
                <w:sz w:val="24"/>
                <w:szCs w:val="24"/>
                <w:highlight w:val="none"/>
                <w:lang w:val="en-US" w:eastAsia="zh-CN"/>
              </w:rPr>
              <w:t>是将芯砂吹入</w:t>
            </w:r>
            <w:r>
              <w:rPr>
                <w:rFonts w:hint="default" w:ascii="Times New Roman" w:hAnsi="Times New Roman" w:cs="Times New Roman"/>
                <w:b w:val="0"/>
                <w:bCs w:val="0"/>
                <w:color w:val="auto"/>
                <w:sz w:val="24"/>
                <w:szCs w:val="24"/>
                <w:highlight w:val="none"/>
                <w:lang w:val="en-US" w:eastAsia="zh-CN"/>
              </w:rPr>
              <w:t>密闭的</w:t>
            </w:r>
            <w:r>
              <w:rPr>
                <w:rFonts w:hint="default" w:ascii="Times New Roman" w:hAnsi="Times New Roman" w:eastAsia="宋体" w:cs="Times New Roman"/>
                <w:b w:val="0"/>
                <w:bCs w:val="0"/>
                <w:color w:val="auto"/>
                <w:sz w:val="24"/>
                <w:szCs w:val="24"/>
                <w:highlight w:val="none"/>
                <w:lang w:val="en-US" w:eastAsia="zh-CN"/>
              </w:rPr>
              <w:t>芯盒中</w:t>
            </w:r>
            <w:r>
              <w:rPr>
                <w:rFonts w:hint="default" w:ascii="Times New Roman" w:hAnsi="Times New Roman" w:cs="Times New Roman"/>
                <w:b w:val="0"/>
                <w:bCs w:val="0"/>
                <w:color w:val="auto"/>
                <w:sz w:val="24"/>
                <w:szCs w:val="24"/>
                <w:highlight w:val="none"/>
                <w:lang w:val="en-US" w:eastAsia="zh-CN"/>
              </w:rPr>
              <w:t>经高</w:t>
            </w:r>
            <w:r>
              <w:rPr>
                <w:rFonts w:hint="eastAsia" w:cs="Times New Roman"/>
                <w:b w:val="0"/>
                <w:bCs w:val="0"/>
                <w:color w:val="auto"/>
                <w:sz w:val="24"/>
                <w:szCs w:val="24"/>
                <w:highlight w:val="none"/>
                <w:lang w:val="en-US" w:eastAsia="zh-CN"/>
              </w:rPr>
              <w:t>温</w:t>
            </w:r>
            <w:r>
              <w:rPr>
                <w:rFonts w:hint="default" w:ascii="Times New Roman" w:hAnsi="Times New Roman" w:cs="Times New Roman"/>
                <w:b w:val="0"/>
                <w:bCs w:val="0"/>
                <w:color w:val="auto"/>
                <w:sz w:val="24"/>
                <w:szCs w:val="24"/>
                <w:highlight w:val="none"/>
                <w:lang w:val="en-US" w:eastAsia="zh-CN"/>
              </w:rPr>
              <w:t>加热后（120℃左右，软化，未分解）</w:t>
            </w:r>
            <w:r>
              <w:rPr>
                <w:rFonts w:hint="default" w:ascii="Times New Roman" w:hAnsi="Times New Roman" w:eastAsia="宋体" w:cs="Times New Roman"/>
                <w:b w:val="0"/>
                <w:bCs w:val="0"/>
                <w:color w:val="auto"/>
                <w:sz w:val="24"/>
                <w:szCs w:val="24"/>
                <w:highlight w:val="none"/>
                <w:lang w:val="en-US" w:eastAsia="zh-CN"/>
              </w:rPr>
              <w:t>保持一定的结壳时间，待形成薄壳后而形成中空的薄壳砂芯</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砂芯在使用后将会失效，产生失效</w:t>
            </w:r>
            <w:r>
              <w:rPr>
                <w:rFonts w:hint="eastAsia" w:cs="Times New Roman"/>
                <w:b w:val="0"/>
                <w:bCs w:val="0"/>
                <w:color w:val="auto"/>
                <w:sz w:val="24"/>
                <w:szCs w:val="24"/>
                <w:highlight w:val="none"/>
                <w:lang w:val="en-US" w:eastAsia="zh-CN"/>
              </w:rPr>
              <w:t>覆膜砂</w:t>
            </w:r>
            <w:r>
              <w:rPr>
                <w:rFonts w:hint="default" w:ascii="Times New Roman" w:hAnsi="Times New Roman" w:cs="Times New Roman"/>
                <w:b w:val="0"/>
                <w:bCs w:val="0"/>
                <w:color w:val="auto"/>
                <w:sz w:val="24"/>
                <w:szCs w:val="24"/>
                <w:highlight w:val="none"/>
                <w:lang w:val="en-US" w:eastAsia="zh-CN"/>
              </w:rPr>
              <w:t>。</w:t>
            </w:r>
          </w:p>
          <w:p w14:paraId="1E008D72">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射芯</w:t>
            </w:r>
            <w:r>
              <w:rPr>
                <w:rFonts w:hint="default" w:ascii="Times New Roman" w:hAnsi="Times New Roman" w:cs="Times New Roman"/>
                <w:b w:val="0"/>
                <w:bCs w:val="0"/>
                <w:color w:val="auto"/>
                <w:sz w:val="24"/>
                <w:szCs w:val="24"/>
                <w:highlight w:val="none"/>
                <w:lang w:val="en-US" w:eastAsia="zh-CN"/>
              </w:rPr>
              <w:t>工序会产生</w:t>
            </w:r>
            <w:r>
              <w:rPr>
                <w:rFonts w:hint="eastAsia" w:ascii="Times New Roman" w:hAnsi="Times New Roman" w:cs="Times New Roman"/>
                <w:b w:val="0"/>
                <w:bCs w:val="0"/>
                <w:color w:val="auto"/>
                <w:sz w:val="24"/>
                <w:szCs w:val="24"/>
                <w:highlight w:val="none"/>
                <w:lang w:val="en-US" w:eastAsia="zh-CN"/>
              </w:rPr>
              <w:t>射芯废气（颗粒物</w:t>
            </w:r>
            <w:r>
              <w:rPr>
                <w:rFonts w:hint="default" w:ascii="Times New Roman" w:hAnsi="Times New Roman"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少量</w:t>
            </w:r>
            <w:r>
              <w:rPr>
                <w:rFonts w:hint="default" w:ascii="Times New Roman" w:hAnsi="Times New Roman" w:cs="Times New Roman"/>
                <w:b w:val="0"/>
                <w:bCs w:val="0"/>
                <w:color w:val="auto"/>
                <w:sz w:val="24"/>
                <w:szCs w:val="24"/>
                <w:highlight w:val="none"/>
                <w:lang w:val="en-US" w:eastAsia="zh-CN"/>
              </w:rPr>
              <w:t>有机废气</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废</w:t>
            </w:r>
            <w:r>
              <w:rPr>
                <w:rFonts w:hint="default" w:ascii="Times New Roman" w:hAnsi="Times New Roman" w:eastAsia="宋体" w:cs="Times New Roman"/>
                <w:b w:val="0"/>
                <w:bCs w:val="0"/>
                <w:color w:val="auto"/>
                <w:sz w:val="24"/>
                <w:szCs w:val="24"/>
                <w:highlight w:val="none"/>
                <w:lang w:val="en-US" w:eastAsia="zh-CN"/>
              </w:rPr>
              <w:t>砂</w:t>
            </w:r>
            <w:r>
              <w:rPr>
                <w:rFonts w:hint="eastAsia" w:ascii="Times New Roman" w:hAnsi="Times New Roman" w:eastAsia="宋体" w:cs="Times New Roman"/>
                <w:b w:val="0"/>
                <w:bCs w:val="0"/>
                <w:color w:val="auto"/>
                <w:sz w:val="24"/>
                <w:szCs w:val="24"/>
                <w:highlight w:val="none"/>
                <w:lang w:val="en-US" w:eastAsia="zh-CN"/>
              </w:rPr>
              <w:t>（废</w:t>
            </w:r>
            <w:r>
              <w:rPr>
                <w:rFonts w:hint="eastAsia" w:cs="Times New Roman"/>
                <w:b w:val="0"/>
                <w:bCs w:val="0"/>
                <w:color w:val="auto"/>
                <w:sz w:val="24"/>
                <w:szCs w:val="24"/>
                <w:highlight w:val="none"/>
                <w:lang w:val="en-US" w:eastAsia="zh-CN"/>
              </w:rPr>
              <w:t>覆膜砂</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以及噪声。</w:t>
            </w:r>
          </w:p>
          <w:p w14:paraId="2AC368D0">
            <w:pPr>
              <w:widowControl/>
              <w:adjustRightInd w:val="0"/>
              <w:snapToGrid w:val="0"/>
              <w:spacing w:line="360" w:lineRule="auto"/>
              <w:ind w:firstLine="457"/>
              <w:jc w:val="left"/>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（2）熔化</w:t>
            </w:r>
          </w:p>
          <w:p w14:paraId="4B12A835">
            <w:pPr>
              <w:widowControl/>
              <w:adjustRightInd w:val="0"/>
              <w:snapToGrid w:val="0"/>
              <w:spacing w:line="360" w:lineRule="auto"/>
              <w:ind w:firstLine="457"/>
              <w:jc w:val="left"/>
              <w:rPr>
                <w:rFonts w:hint="default" w:ascii="Times New Roman" w:hAnsi="Times New Roman" w:cs="Times New Roman"/>
                <w:b w:val="0"/>
                <w:bCs w:val="0"/>
                <w:color w:val="auto"/>
                <w:kern w:val="0"/>
                <w:sz w:val="24"/>
                <w:highlight w:val="none"/>
              </w:rPr>
            </w:pPr>
            <w:r>
              <w:rPr>
                <w:rFonts w:hint="default" w:ascii="Times New Roman" w:hAnsi="Times New Roman" w:eastAsia="宋体" w:cs="Times New Roman"/>
                <w:b w:val="0"/>
                <w:bCs w:val="0"/>
                <w:color w:val="auto"/>
                <w:sz w:val="24"/>
                <w:szCs w:val="24"/>
                <w:highlight w:val="none"/>
                <w:lang w:val="en-US" w:eastAsia="zh-CN"/>
              </w:rPr>
              <w:t>将</w:t>
            </w:r>
            <w:r>
              <w:rPr>
                <w:rFonts w:hint="eastAsia" w:ascii="Times New Roman" w:hAnsi="Times New Roman" w:eastAsia="宋体" w:cs="Times New Roman"/>
                <w:b w:val="0"/>
                <w:bCs w:val="0"/>
                <w:color w:val="auto"/>
                <w:sz w:val="24"/>
                <w:szCs w:val="24"/>
                <w:highlight w:val="none"/>
                <w:lang w:val="en-US" w:eastAsia="zh-CN"/>
              </w:rPr>
              <w:t>原材料（不锈钢、本项目回收的废浇冒口、边角料、不合格品）</w:t>
            </w:r>
            <w:r>
              <w:rPr>
                <w:rFonts w:hint="default" w:ascii="Times New Roman" w:hAnsi="Times New Roman" w:eastAsia="宋体" w:cs="Times New Roman"/>
                <w:b w:val="0"/>
                <w:bCs w:val="0"/>
                <w:color w:val="auto"/>
                <w:sz w:val="24"/>
                <w:szCs w:val="24"/>
                <w:highlight w:val="none"/>
                <w:lang w:val="en-US" w:eastAsia="zh-CN"/>
              </w:rPr>
              <w:t>分批次投入</w:t>
            </w:r>
            <w:r>
              <w:rPr>
                <w:rFonts w:hint="eastAsia" w:cs="Times New Roman"/>
                <w:b w:val="0"/>
                <w:bCs w:val="0"/>
                <w:color w:val="auto"/>
                <w:sz w:val="24"/>
                <w:szCs w:val="24"/>
                <w:highlight w:val="none"/>
                <w:lang w:val="en-US" w:eastAsia="zh-CN"/>
              </w:rPr>
              <w:t>中</w:t>
            </w:r>
            <w:r>
              <w:rPr>
                <w:rFonts w:hint="default" w:ascii="Times New Roman" w:hAnsi="Times New Roman" w:eastAsia="宋体" w:cs="Times New Roman"/>
                <w:b w:val="0"/>
                <w:bCs w:val="0"/>
                <w:color w:val="auto"/>
                <w:sz w:val="24"/>
                <w:szCs w:val="24"/>
                <w:highlight w:val="none"/>
                <w:lang w:val="en-US" w:eastAsia="zh-CN"/>
              </w:rPr>
              <w:t>频电炉进行熔化，熔化后的铁水落到炉缸，剩余少量浮渣排出，暂存于炉渣坑</w:t>
            </w:r>
            <w:r>
              <w:rPr>
                <w:rFonts w:hint="eastAsia" w:ascii="Times New Roman" w:hAnsi="Times New Roman" w:eastAsia="宋体" w:cs="Times New Roman"/>
                <w:b w:val="0"/>
                <w:bCs w:val="0"/>
                <w:color w:val="auto"/>
                <w:sz w:val="24"/>
                <w:szCs w:val="24"/>
                <w:highlight w:val="none"/>
                <w:lang w:val="en-US" w:eastAsia="zh-CN"/>
              </w:rPr>
              <w:t>；在原材料</w:t>
            </w:r>
            <w:r>
              <w:rPr>
                <w:rFonts w:hint="default" w:ascii="Times New Roman" w:hAnsi="Times New Roman" w:eastAsia="宋体" w:cs="Times New Roman"/>
                <w:b w:val="0"/>
                <w:bCs w:val="0"/>
                <w:color w:val="auto"/>
                <w:sz w:val="24"/>
                <w:szCs w:val="24"/>
                <w:highlight w:val="none"/>
                <w:lang w:val="en-US" w:eastAsia="zh-CN"/>
              </w:rPr>
              <w:t>熔化</w:t>
            </w:r>
            <w:r>
              <w:rPr>
                <w:rFonts w:hint="eastAsia" w:ascii="Times New Roman" w:hAnsi="Times New Roman" w:eastAsia="宋体" w:cs="Times New Roman"/>
                <w:b w:val="0"/>
                <w:bCs w:val="0"/>
                <w:color w:val="auto"/>
                <w:sz w:val="24"/>
                <w:szCs w:val="24"/>
                <w:highlight w:val="none"/>
                <w:lang w:val="en-US" w:eastAsia="zh-CN"/>
              </w:rPr>
              <w:t>后、出炉前，操作员工根据铁水氧化情况选择性加入少量除渣剂</w:t>
            </w:r>
            <w:r>
              <w:rPr>
                <w:rFonts w:hint="default" w:ascii="Times New Roman" w:hAnsi="Times New Roman" w:eastAsia="宋体" w:cs="Times New Roman"/>
                <w:b w:val="0"/>
                <w:bCs w:val="0"/>
                <w:color w:val="auto"/>
                <w:sz w:val="24"/>
                <w:szCs w:val="24"/>
                <w:highlight w:val="none"/>
                <w:lang w:val="en-US" w:eastAsia="zh-CN"/>
              </w:rPr>
              <w:t>。</w:t>
            </w:r>
            <w:r>
              <w:rPr>
                <w:rFonts w:hint="eastAsia" w:ascii="Times New Roman" w:hAnsi="Times New Roman" w:eastAsia="宋体" w:cs="Times New Roman"/>
                <w:b w:val="0"/>
                <w:bCs w:val="0"/>
                <w:color w:val="auto"/>
                <w:sz w:val="24"/>
                <w:szCs w:val="24"/>
                <w:highlight w:val="none"/>
                <w:lang w:val="en-US" w:eastAsia="zh-CN"/>
              </w:rPr>
              <w:t>上述工序</w:t>
            </w:r>
            <w:r>
              <w:rPr>
                <w:rFonts w:hint="default" w:ascii="Times New Roman" w:hAnsi="Times New Roman" w:eastAsia="宋体" w:cs="Times New Roman"/>
                <w:b w:val="0"/>
                <w:bCs w:val="0"/>
                <w:color w:val="auto"/>
                <w:sz w:val="24"/>
                <w:szCs w:val="24"/>
                <w:highlight w:val="none"/>
                <w:lang w:val="en-US" w:eastAsia="zh-CN"/>
              </w:rPr>
              <w:t>主要污染源为</w:t>
            </w:r>
            <w:r>
              <w:rPr>
                <w:rFonts w:hint="eastAsia" w:ascii="Times New Roman" w:hAnsi="Times New Roman" w:eastAsia="宋体" w:cs="Times New Roman"/>
                <w:b w:val="0"/>
                <w:bCs w:val="0"/>
                <w:color w:val="auto"/>
                <w:sz w:val="24"/>
                <w:szCs w:val="24"/>
                <w:highlight w:val="none"/>
                <w:lang w:val="en-US" w:eastAsia="zh-CN"/>
              </w:rPr>
              <w:t>原材料</w:t>
            </w:r>
            <w:r>
              <w:rPr>
                <w:rFonts w:hint="default" w:ascii="Times New Roman" w:hAnsi="Times New Roman" w:eastAsia="宋体" w:cs="Times New Roman"/>
                <w:b w:val="0"/>
                <w:bCs w:val="0"/>
                <w:color w:val="auto"/>
                <w:sz w:val="24"/>
                <w:szCs w:val="24"/>
                <w:highlight w:val="none"/>
                <w:lang w:val="en-US" w:eastAsia="zh-CN"/>
              </w:rPr>
              <w:t>在熔化时产生的</w:t>
            </w:r>
            <w:r>
              <w:rPr>
                <w:rFonts w:hint="eastAsia" w:ascii="Times New Roman" w:hAnsi="Times New Roman" w:eastAsia="宋体" w:cs="Times New Roman"/>
                <w:b w:val="0"/>
                <w:bCs w:val="0"/>
                <w:color w:val="auto"/>
                <w:sz w:val="24"/>
                <w:szCs w:val="24"/>
                <w:highlight w:val="none"/>
                <w:lang w:val="en-US" w:eastAsia="zh-CN"/>
              </w:rPr>
              <w:t>熔化废气</w:t>
            </w:r>
            <w:r>
              <w:rPr>
                <w:rFonts w:hint="eastAsia" w:ascii="Times New Roman" w:hAnsi="Times New Roman" w:cs="Times New Roman"/>
                <w:b w:val="0"/>
                <w:bCs w:val="0"/>
                <w:color w:val="auto"/>
                <w:sz w:val="24"/>
                <w:szCs w:val="24"/>
                <w:highlight w:val="none"/>
                <w:lang w:val="en-US" w:eastAsia="zh-CN"/>
              </w:rPr>
              <w:t>（颗粒物）</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炉渣</w:t>
            </w:r>
            <w:r>
              <w:rPr>
                <w:rFonts w:hint="eastAsia" w:cs="Times New Roman"/>
                <w:b w:val="0"/>
                <w:bCs w:val="0"/>
                <w:color w:val="auto"/>
                <w:sz w:val="24"/>
                <w:szCs w:val="24"/>
                <w:highlight w:val="none"/>
                <w:lang w:val="en-US" w:eastAsia="zh-CN"/>
              </w:rPr>
              <w:t>以及</w:t>
            </w:r>
            <w:r>
              <w:rPr>
                <w:rFonts w:hint="eastAsia" w:ascii="Times New Roman" w:hAnsi="Times New Roman" w:eastAsia="宋体" w:cs="Times New Roman"/>
                <w:b w:val="0"/>
                <w:bCs w:val="0"/>
                <w:color w:val="auto"/>
                <w:sz w:val="24"/>
                <w:szCs w:val="24"/>
                <w:highlight w:val="none"/>
                <w:lang w:val="en-US" w:eastAsia="zh-CN"/>
              </w:rPr>
              <w:t>设备</w:t>
            </w:r>
            <w:r>
              <w:rPr>
                <w:rFonts w:hint="default" w:ascii="Times New Roman" w:hAnsi="Times New Roman" w:eastAsia="宋体" w:cs="Times New Roman"/>
                <w:b w:val="0"/>
                <w:bCs w:val="0"/>
                <w:color w:val="auto"/>
                <w:sz w:val="24"/>
                <w:szCs w:val="24"/>
                <w:highlight w:val="none"/>
                <w:lang w:val="en-US" w:eastAsia="zh-CN"/>
              </w:rPr>
              <w:t>运行产生的噪声</w:t>
            </w:r>
            <w:r>
              <w:rPr>
                <w:rFonts w:hint="default" w:ascii="Times New Roman" w:hAnsi="Times New Roman" w:cs="Times New Roman"/>
                <w:b w:val="0"/>
                <w:bCs w:val="0"/>
                <w:color w:val="auto"/>
                <w:sz w:val="24"/>
                <w:szCs w:val="24"/>
                <w:highlight w:val="none"/>
                <w:lang w:val="en-US" w:eastAsia="zh-CN"/>
              </w:rPr>
              <w:t>。</w:t>
            </w:r>
          </w:p>
          <w:p w14:paraId="4858C819">
            <w:pPr>
              <w:widowControl/>
              <w:adjustRightInd w:val="0"/>
              <w:snapToGrid w:val="0"/>
              <w:spacing w:line="360" w:lineRule="auto"/>
              <w:ind w:firstLine="457"/>
              <w:jc w:val="left"/>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（3）浇铸</w:t>
            </w:r>
            <w:r>
              <w:rPr>
                <w:rFonts w:hint="eastAsia" w:ascii="Times New Roman" w:hAnsi="Times New Roman" w:eastAsia="宋体" w:cs="Times New Roman"/>
                <w:b w:val="0"/>
                <w:bCs w:val="0"/>
                <w:color w:val="auto"/>
                <w:sz w:val="24"/>
                <w:szCs w:val="24"/>
                <w:highlight w:val="none"/>
                <w:lang w:val="en-US" w:eastAsia="zh-CN"/>
              </w:rPr>
              <w:t>、冷却</w:t>
            </w:r>
          </w:p>
          <w:p w14:paraId="6AB7F02F">
            <w:pPr>
              <w:widowControl/>
              <w:adjustRightInd w:val="0"/>
              <w:snapToGrid w:val="0"/>
              <w:spacing w:line="360" w:lineRule="auto"/>
              <w:ind w:firstLine="457"/>
              <w:jc w:val="left"/>
              <w:rPr>
                <w:rFonts w:hint="default" w:ascii="Times New Roman" w:hAnsi="Times New Roman" w:cs="Times New Roman"/>
                <w:b w:val="0"/>
                <w:bCs w:val="0"/>
                <w:color w:val="auto"/>
                <w:kern w:val="0"/>
                <w:sz w:val="24"/>
                <w:highlight w:val="none"/>
              </w:rPr>
            </w:pPr>
            <w:r>
              <w:rPr>
                <w:rFonts w:hint="default" w:ascii="Times New Roman" w:hAnsi="Times New Roman" w:eastAsia="宋体" w:cs="Times New Roman"/>
                <w:b w:val="0"/>
                <w:bCs w:val="0"/>
                <w:color w:val="auto"/>
                <w:sz w:val="24"/>
                <w:szCs w:val="24"/>
                <w:highlight w:val="none"/>
                <w:lang w:val="en-US" w:eastAsia="zh-CN"/>
              </w:rPr>
              <w:t>将熔融状态下的铁水逐个注入</w:t>
            </w:r>
            <w:r>
              <w:rPr>
                <w:rFonts w:hint="eastAsia" w:ascii="Times New Roman" w:hAnsi="Times New Roman" w:eastAsia="宋体" w:cs="Times New Roman"/>
                <w:b w:val="0"/>
                <w:bCs w:val="0"/>
                <w:color w:val="auto"/>
                <w:sz w:val="24"/>
                <w:szCs w:val="24"/>
                <w:highlight w:val="none"/>
                <w:lang w:val="en-US" w:eastAsia="zh-CN"/>
              </w:rPr>
              <w:t>经电烘箱预热后的</w:t>
            </w:r>
            <w:r>
              <w:rPr>
                <w:rFonts w:hint="default" w:ascii="Times New Roman" w:hAnsi="Times New Roman" w:eastAsia="宋体" w:cs="Times New Roman"/>
                <w:b w:val="0"/>
                <w:bCs w:val="0"/>
                <w:color w:val="auto"/>
                <w:sz w:val="24"/>
                <w:szCs w:val="24"/>
                <w:highlight w:val="none"/>
                <w:lang w:val="en-US" w:eastAsia="zh-CN"/>
              </w:rPr>
              <w:t>中空的薄壳砂芯，自然冷却成型</w:t>
            </w:r>
            <w:r>
              <w:rPr>
                <w:rFonts w:hint="eastAsia" w:ascii="Times New Roman" w:hAnsi="Times New Roman" w:cs="Times New Roman"/>
                <w:b w:val="0"/>
                <w:bCs w:val="0"/>
                <w:color w:val="auto"/>
                <w:sz w:val="24"/>
                <w:szCs w:val="24"/>
                <w:highlight w:val="none"/>
                <w:lang w:val="en-US" w:eastAsia="zh-CN"/>
              </w:rPr>
              <w:t>。该工序</w:t>
            </w:r>
            <w:r>
              <w:rPr>
                <w:rFonts w:hint="default" w:ascii="Times New Roman" w:hAnsi="Times New Roman" w:eastAsia="宋体" w:cs="Times New Roman"/>
                <w:b w:val="0"/>
                <w:bCs w:val="0"/>
                <w:color w:val="auto"/>
                <w:sz w:val="24"/>
                <w:szCs w:val="24"/>
                <w:highlight w:val="none"/>
                <w:lang w:val="en-US" w:eastAsia="zh-CN"/>
              </w:rPr>
              <w:t>采用行车吊装，辅以人工操作</w:t>
            </w:r>
            <w:r>
              <w:rPr>
                <w:rFonts w:hint="eastAsia" w:ascii="Times New Roman" w:hAnsi="Times New Roman" w:eastAsia="宋体" w:cs="Times New Roman"/>
                <w:b w:val="0"/>
                <w:bCs w:val="0"/>
                <w:color w:val="auto"/>
                <w:sz w:val="24"/>
                <w:szCs w:val="24"/>
                <w:highlight w:val="none"/>
                <w:lang w:val="en-US" w:eastAsia="zh-CN"/>
              </w:rPr>
              <w:t>，期间</w:t>
            </w:r>
            <w:r>
              <w:rPr>
                <w:rFonts w:hint="default" w:ascii="Times New Roman" w:hAnsi="Times New Roman" w:eastAsia="宋体" w:cs="Times New Roman"/>
                <w:b w:val="0"/>
                <w:bCs w:val="0"/>
                <w:color w:val="auto"/>
                <w:sz w:val="24"/>
                <w:szCs w:val="24"/>
                <w:highlight w:val="none"/>
                <w:lang w:val="en-US" w:eastAsia="zh-CN"/>
              </w:rPr>
              <w:t>会产生</w:t>
            </w:r>
            <w:r>
              <w:rPr>
                <w:rFonts w:hint="eastAsia" w:ascii="Times New Roman" w:hAnsi="Times New Roman" w:eastAsia="宋体" w:cs="Times New Roman"/>
                <w:b w:val="0"/>
                <w:bCs w:val="0"/>
                <w:color w:val="auto"/>
                <w:sz w:val="24"/>
                <w:szCs w:val="24"/>
                <w:highlight w:val="none"/>
                <w:lang w:val="en-US" w:eastAsia="zh-CN"/>
              </w:rPr>
              <w:t>浇铸废气（</w:t>
            </w:r>
            <w:r>
              <w:rPr>
                <w:rFonts w:hint="default" w:ascii="Times New Roman" w:hAnsi="Times New Roman" w:cs="Times New Roman"/>
                <w:b w:val="0"/>
                <w:bCs w:val="0"/>
                <w:color w:val="auto"/>
                <w:sz w:val="24"/>
                <w:szCs w:val="24"/>
                <w:highlight w:val="none"/>
                <w:lang w:val="en-US" w:eastAsia="zh-CN"/>
              </w:rPr>
              <w:t>有机废气、粉尘</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w:t>
            </w:r>
          </w:p>
          <w:p w14:paraId="003B2536">
            <w:pPr>
              <w:widowControl/>
              <w:adjustRightInd w:val="0"/>
              <w:snapToGrid w:val="0"/>
              <w:spacing w:line="360" w:lineRule="auto"/>
              <w:ind w:firstLine="457"/>
              <w:jc w:val="left"/>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（4）</w:t>
            </w:r>
            <w:r>
              <w:rPr>
                <w:rFonts w:hint="default" w:ascii="Times New Roman" w:hAnsi="Times New Roman" w:eastAsia="宋体" w:cs="Times New Roman"/>
                <w:b w:val="0"/>
                <w:bCs w:val="0"/>
                <w:color w:val="auto"/>
                <w:sz w:val="24"/>
                <w:szCs w:val="24"/>
                <w:highlight w:val="none"/>
                <w:lang w:val="en-US" w:eastAsia="zh-CN"/>
              </w:rPr>
              <w:t>落砂</w:t>
            </w:r>
          </w:p>
          <w:p w14:paraId="547BABF3">
            <w:pPr>
              <w:pStyle w:val="8"/>
              <w:numPr>
                <w:ilvl w:val="0"/>
                <w:numId w:val="0"/>
              </w:numPr>
              <w:adjustRightInd w:val="0"/>
              <w:snapToGrid w:val="0"/>
              <w:spacing w:before="0" w:after="0" w:line="360" w:lineRule="auto"/>
              <w:ind w:firstLine="480" w:firstLineChars="20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浇铸完成后通过轨道将系统冷却好的铸件送入砂处理线，在设备内部自动完成落砂</w:t>
            </w:r>
            <w:r>
              <w:rPr>
                <w:rFonts w:hint="default" w:ascii="Times New Roman" w:hAnsi="Times New Roman" w:cs="Times New Roman"/>
                <w:b w:val="0"/>
                <w:bCs w:val="0"/>
                <w:color w:val="auto"/>
                <w:sz w:val="24"/>
                <w:szCs w:val="24"/>
                <w:highlight w:val="none"/>
                <w:lang w:val="en-US" w:eastAsia="zh-CN"/>
              </w:rPr>
              <w:t>。</w:t>
            </w:r>
          </w:p>
          <w:p w14:paraId="7FBA531C">
            <w:pPr>
              <w:widowControl/>
              <w:adjustRightInd w:val="0"/>
              <w:snapToGrid w:val="0"/>
              <w:spacing w:line="360" w:lineRule="auto"/>
              <w:ind w:firstLine="457"/>
              <w:jc w:val="left"/>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（5）切割、</w:t>
            </w:r>
            <w:r>
              <w:rPr>
                <w:rFonts w:hint="default" w:ascii="Times New Roman" w:hAnsi="Times New Roman" w:eastAsia="宋体" w:cs="Times New Roman"/>
                <w:b w:val="0"/>
                <w:bCs w:val="0"/>
                <w:color w:val="auto"/>
                <w:sz w:val="24"/>
                <w:szCs w:val="24"/>
                <w:highlight w:val="none"/>
                <w:lang w:val="en-US" w:eastAsia="zh-CN"/>
              </w:rPr>
              <w:t>打磨</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抛丸</w:t>
            </w:r>
          </w:p>
          <w:p w14:paraId="3E9F6501">
            <w:pPr>
              <w:pStyle w:val="8"/>
              <w:numPr>
                <w:ilvl w:val="0"/>
                <w:numId w:val="0"/>
              </w:numPr>
              <w:adjustRightInd w:val="0"/>
              <w:snapToGrid w:val="0"/>
              <w:spacing w:before="0" w:after="0"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采用人工方式对</w:t>
            </w:r>
            <w:r>
              <w:rPr>
                <w:rFonts w:hint="default" w:ascii="Times New Roman" w:hAnsi="Times New Roman" w:eastAsia="宋体" w:cs="Times New Roman"/>
                <w:b w:val="0"/>
                <w:bCs w:val="0"/>
                <w:color w:val="auto"/>
                <w:sz w:val="24"/>
                <w:szCs w:val="24"/>
                <w:highlight w:val="none"/>
                <w:lang w:val="en-US" w:eastAsia="zh-CN"/>
              </w:rPr>
              <w:t>落砂</w:t>
            </w:r>
            <w:r>
              <w:rPr>
                <w:rFonts w:hint="eastAsia" w:ascii="Times New Roman" w:hAnsi="Times New Roman" w:eastAsia="宋体" w:cs="Times New Roman"/>
                <w:b w:val="0"/>
                <w:bCs w:val="0"/>
                <w:color w:val="auto"/>
                <w:sz w:val="24"/>
                <w:szCs w:val="24"/>
                <w:highlight w:val="none"/>
                <w:lang w:val="en-US" w:eastAsia="zh-CN"/>
              </w:rPr>
              <w:t>处理后的铸件进行切割分离，并去除铸件上的浇冒口。</w:t>
            </w:r>
          </w:p>
          <w:p w14:paraId="54F8AE80">
            <w:pPr>
              <w:pStyle w:val="8"/>
              <w:numPr>
                <w:ilvl w:val="0"/>
                <w:numId w:val="0"/>
              </w:numPr>
              <w:adjustRightInd w:val="0"/>
              <w:snapToGrid w:val="0"/>
              <w:spacing w:before="0" w:after="0"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使用</w:t>
            </w:r>
            <w:r>
              <w:rPr>
                <w:rFonts w:hint="eastAsia" w:ascii="Times New Roman" w:hAnsi="Times New Roman" w:eastAsia="宋体" w:cs="Times New Roman"/>
                <w:b w:val="0"/>
                <w:bCs w:val="0"/>
                <w:color w:val="auto"/>
                <w:sz w:val="24"/>
                <w:szCs w:val="24"/>
                <w:highlight w:val="none"/>
                <w:lang w:val="en-US" w:eastAsia="zh-CN"/>
              </w:rPr>
              <w:t>打磨区内的</w:t>
            </w:r>
            <w:r>
              <w:rPr>
                <w:rFonts w:hint="default" w:ascii="Times New Roman" w:hAnsi="Times New Roman" w:eastAsia="宋体" w:cs="Times New Roman"/>
                <w:b w:val="0"/>
                <w:bCs w:val="0"/>
                <w:color w:val="auto"/>
                <w:sz w:val="24"/>
                <w:szCs w:val="24"/>
                <w:highlight w:val="none"/>
                <w:lang w:val="en-US" w:eastAsia="zh-CN"/>
              </w:rPr>
              <w:t>手持式打磨机将切口有毛刺的部位进行打磨</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使用抛丸机对工件进行表面清理，抛丸机抛出的高速弹丸对工件毛坯表面氧化皮和粗砂进行清理和强化处理，使之获得均匀一致的金属光泽。</w:t>
            </w:r>
          </w:p>
          <w:p w14:paraId="04146123">
            <w:pPr>
              <w:pStyle w:val="8"/>
              <w:numPr>
                <w:ilvl w:val="0"/>
                <w:numId w:val="0"/>
              </w:numPr>
              <w:adjustRightInd w:val="0"/>
              <w:snapToGrid w:val="0"/>
              <w:spacing w:before="0" w:after="0"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上述</w:t>
            </w:r>
            <w:r>
              <w:rPr>
                <w:rFonts w:hint="default" w:ascii="Times New Roman" w:hAnsi="Times New Roman" w:eastAsia="宋体" w:cs="Times New Roman"/>
                <w:b w:val="0"/>
                <w:bCs w:val="0"/>
                <w:color w:val="auto"/>
                <w:sz w:val="24"/>
                <w:szCs w:val="24"/>
                <w:highlight w:val="none"/>
                <w:lang w:val="en-US" w:eastAsia="zh-CN"/>
              </w:rPr>
              <w:t>过程会产生</w:t>
            </w:r>
            <w:r>
              <w:rPr>
                <w:rFonts w:hint="eastAsia" w:ascii="Times New Roman" w:hAnsi="Times New Roman" w:eastAsia="宋体" w:cs="Times New Roman"/>
                <w:b w:val="0"/>
                <w:bCs w:val="0"/>
                <w:color w:val="auto"/>
                <w:sz w:val="24"/>
                <w:szCs w:val="24"/>
                <w:highlight w:val="none"/>
                <w:lang w:val="en-US" w:eastAsia="zh-CN"/>
              </w:rPr>
              <w:t>机加工粉尘（颗粒物）</w:t>
            </w:r>
            <w:r>
              <w:rPr>
                <w:rFonts w:hint="default" w:ascii="Times New Roman" w:hAnsi="Times New Roman" w:eastAsia="宋体" w:cs="Times New Roman"/>
                <w:b w:val="0"/>
                <w:bCs w:val="0"/>
                <w:color w:val="auto"/>
                <w:sz w:val="24"/>
                <w:szCs w:val="24"/>
                <w:highlight w:val="none"/>
                <w:lang w:val="en-US" w:eastAsia="zh-CN"/>
              </w:rPr>
              <w:t>、</w:t>
            </w:r>
            <w:r>
              <w:rPr>
                <w:rFonts w:hint="eastAsia" w:ascii="Times New Roman" w:hAnsi="Times New Roman" w:eastAsia="宋体" w:cs="Times New Roman"/>
                <w:b w:val="0"/>
                <w:bCs w:val="0"/>
                <w:color w:val="auto"/>
                <w:sz w:val="24"/>
                <w:szCs w:val="24"/>
                <w:highlight w:val="none"/>
                <w:lang w:val="en-US" w:eastAsia="zh-CN"/>
              </w:rPr>
              <w:t>废浇冒口、边角料、</w:t>
            </w:r>
            <w:r>
              <w:rPr>
                <w:rFonts w:hint="default" w:ascii="Times New Roman" w:hAnsi="Times New Roman" w:eastAsia="宋体" w:cs="Times New Roman"/>
                <w:b w:val="0"/>
                <w:bCs w:val="0"/>
                <w:color w:val="auto"/>
                <w:sz w:val="24"/>
                <w:szCs w:val="24"/>
                <w:highlight w:val="none"/>
                <w:lang w:val="en-US" w:eastAsia="zh-CN"/>
              </w:rPr>
              <w:t>噪声等。</w:t>
            </w:r>
          </w:p>
          <w:p w14:paraId="7C925DCE">
            <w:pPr>
              <w:widowControl/>
              <w:adjustRightInd w:val="0"/>
              <w:snapToGrid w:val="0"/>
              <w:spacing w:line="360" w:lineRule="auto"/>
              <w:ind w:firstLine="457"/>
              <w:jc w:val="left"/>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（6）</w:t>
            </w:r>
            <w:r>
              <w:rPr>
                <w:rFonts w:hint="default" w:ascii="Times New Roman" w:hAnsi="Times New Roman" w:eastAsia="宋体" w:cs="Times New Roman"/>
                <w:b w:val="0"/>
                <w:bCs w:val="0"/>
                <w:color w:val="auto"/>
                <w:sz w:val="24"/>
                <w:szCs w:val="24"/>
                <w:highlight w:val="none"/>
                <w:lang w:val="en-US" w:eastAsia="zh-CN"/>
              </w:rPr>
              <w:t>检验</w:t>
            </w:r>
          </w:p>
          <w:p w14:paraId="36EB763B">
            <w:pPr>
              <w:pStyle w:val="8"/>
              <w:numPr>
                <w:ilvl w:val="0"/>
                <w:numId w:val="0"/>
              </w:numPr>
              <w:adjustRightInd w:val="0"/>
              <w:snapToGrid w:val="0"/>
              <w:spacing w:before="0" w:after="0" w:line="360" w:lineRule="auto"/>
              <w:ind w:firstLine="480" w:firstLineChars="200"/>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检验产品尺寸、厚度、硬度等是否符合要求</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少量不合格产品全部回收至熔化工序再生利用</w:t>
            </w:r>
            <w:r>
              <w:rPr>
                <w:rFonts w:hint="eastAsia" w:ascii="Times New Roman" w:hAnsi="Times New Roman" w:eastAsia="宋体" w:cs="Times New Roman"/>
                <w:b w:val="0"/>
                <w:bCs w:val="0"/>
                <w:color w:val="auto"/>
                <w:sz w:val="24"/>
                <w:szCs w:val="24"/>
                <w:highlight w:val="none"/>
                <w:lang w:val="en-US" w:eastAsia="zh-CN"/>
              </w:rPr>
              <w:t>。</w:t>
            </w:r>
          </w:p>
          <w:p w14:paraId="633D6C47">
            <w:pPr>
              <w:pStyle w:val="35"/>
              <w:tabs>
                <w:tab w:val="left" w:pos="420"/>
                <w:tab w:val="left" w:pos="870"/>
                <w:tab w:val="left" w:pos="3150"/>
              </w:tabs>
              <w:adjustRightInd/>
              <w:spacing w:beforeLines="0" w:after="0" w:line="360" w:lineRule="auto"/>
              <w:ind w:left="0" w:leftChars="0"/>
              <w:rPr>
                <w:rFonts w:hint="default" w:ascii="Times New Roman" w:hAnsi="Times New Roman" w:eastAsia="宋体" w:cs="Times New Roman"/>
                <w:b w:val="0"/>
                <w:bCs/>
                <w:color w:val="auto"/>
                <w:kern w:val="0"/>
                <w:sz w:val="24"/>
                <w:szCs w:val="24"/>
                <w:highlight w:val="none"/>
                <w:lang w:val="en-US" w:eastAsia="zh-CN" w:bidi="ar-SA"/>
              </w:rPr>
            </w:pPr>
            <w:r>
              <w:rPr>
                <w:rFonts w:hint="eastAsia" w:ascii="Times New Roman" w:hAnsi="Times New Roman" w:eastAsia="宋体" w:cs="Times New Roman"/>
                <w:b w:val="0"/>
                <w:bCs/>
                <w:color w:val="auto"/>
                <w:kern w:val="0"/>
                <w:sz w:val="24"/>
                <w:szCs w:val="24"/>
                <w:highlight w:val="none"/>
                <w:lang w:val="en-US" w:eastAsia="zh-CN" w:bidi="ar-SA"/>
              </w:rPr>
              <w:t>项目运营期产污环节见下表。</w:t>
            </w:r>
          </w:p>
          <w:p w14:paraId="47D95DC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 xml:space="preserve">表2-6 </w:t>
            </w:r>
            <w:r>
              <w:rPr>
                <w:rFonts w:hint="eastAsia" w:ascii="Times New Roman" w:hAnsi="Times New Roman" w:eastAsia="宋体" w:cs="Times New Roman"/>
                <w:b/>
                <w:bCs/>
                <w:color w:val="auto"/>
                <w:kern w:val="2"/>
                <w:sz w:val="24"/>
                <w:szCs w:val="24"/>
                <w:lang w:val="en-US" w:eastAsia="zh-CN"/>
              </w:rPr>
              <w:t xml:space="preserve"> </w:t>
            </w:r>
            <w:r>
              <w:rPr>
                <w:rFonts w:hint="default" w:ascii="Times New Roman" w:hAnsi="Times New Roman" w:eastAsia="宋体" w:cs="Times New Roman"/>
                <w:b/>
                <w:bCs/>
                <w:color w:val="auto"/>
                <w:kern w:val="2"/>
                <w:sz w:val="24"/>
                <w:szCs w:val="24"/>
                <w:lang w:val="en-US" w:eastAsia="zh-CN"/>
              </w:rPr>
              <w:t>项目产污环节汇总表</w:t>
            </w:r>
          </w:p>
          <w:tbl>
            <w:tblPr>
              <w:tblStyle w:val="36"/>
              <w:tblW w:w="86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2578"/>
              <w:gridCol w:w="2102"/>
              <w:gridCol w:w="2916"/>
            </w:tblGrid>
            <w:tr w14:paraId="75A5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noWrap w:val="0"/>
                  <w:vAlign w:val="center"/>
                </w:tcPr>
                <w:p w14:paraId="1ACC3BFC">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污染物类型</w:t>
                  </w:r>
                </w:p>
              </w:tc>
              <w:tc>
                <w:tcPr>
                  <w:tcW w:w="2578" w:type="dxa"/>
                  <w:noWrap w:val="0"/>
                  <w:vAlign w:val="center"/>
                </w:tcPr>
                <w:p w14:paraId="0768C571">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产污环节</w:t>
                  </w:r>
                </w:p>
              </w:tc>
              <w:tc>
                <w:tcPr>
                  <w:tcW w:w="2102" w:type="dxa"/>
                  <w:noWrap w:val="0"/>
                  <w:vAlign w:val="center"/>
                </w:tcPr>
                <w:p w14:paraId="2D3802F6">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污染物名称</w:t>
                  </w:r>
                </w:p>
              </w:tc>
              <w:tc>
                <w:tcPr>
                  <w:tcW w:w="2916" w:type="dxa"/>
                  <w:noWrap w:val="0"/>
                  <w:vAlign w:val="center"/>
                </w:tcPr>
                <w:p w14:paraId="2BC8D22D">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污染因子</w:t>
                  </w:r>
                </w:p>
              </w:tc>
            </w:tr>
            <w:tr w14:paraId="4B10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restart"/>
                  <w:noWrap w:val="0"/>
                  <w:vAlign w:val="center"/>
                </w:tcPr>
                <w:p w14:paraId="094D1BE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w:t>
                  </w:r>
                </w:p>
              </w:tc>
              <w:tc>
                <w:tcPr>
                  <w:tcW w:w="2578" w:type="dxa"/>
                  <w:noWrap w:val="0"/>
                  <w:vAlign w:val="center"/>
                </w:tcPr>
                <w:p w14:paraId="0D03AF0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制芯（</w:t>
                  </w:r>
                  <w:r>
                    <w:rPr>
                      <w:rFonts w:hint="eastAsia" w:ascii="Times New Roman" w:hAnsi="Times New Roman" w:eastAsia="宋体" w:cs="Times New Roman"/>
                      <w:color w:val="auto"/>
                      <w:kern w:val="0"/>
                      <w:sz w:val="21"/>
                      <w:szCs w:val="21"/>
                      <w:highlight w:val="none"/>
                      <w:lang w:val="en-US" w:eastAsia="zh-CN" w:bidi="ar"/>
                    </w:rPr>
                    <w:t>射芯</w:t>
                  </w:r>
                  <w:r>
                    <w:rPr>
                      <w:rFonts w:hint="eastAsia" w:cs="Times New Roman"/>
                      <w:color w:val="auto"/>
                      <w:kern w:val="0"/>
                      <w:sz w:val="21"/>
                      <w:szCs w:val="21"/>
                      <w:highlight w:val="none"/>
                      <w:lang w:val="en-US" w:eastAsia="zh-CN" w:bidi="ar"/>
                    </w:rPr>
                    <w:t>）</w:t>
                  </w:r>
                </w:p>
              </w:tc>
              <w:tc>
                <w:tcPr>
                  <w:tcW w:w="2102" w:type="dxa"/>
                  <w:noWrap w:val="0"/>
                  <w:vAlign w:val="center"/>
                </w:tcPr>
                <w:p w14:paraId="14F2F33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制芯</w:t>
                  </w:r>
                  <w:r>
                    <w:rPr>
                      <w:rFonts w:hint="default" w:ascii="Times New Roman" w:hAnsi="Times New Roman" w:eastAsia="宋体" w:cs="Times New Roman"/>
                      <w:color w:val="auto"/>
                      <w:kern w:val="0"/>
                      <w:sz w:val="21"/>
                      <w:szCs w:val="21"/>
                      <w:highlight w:val="none"/>
                      <w:lang w:val="en-US" w:eastAsia="zh-CN" w:bidi="ar"/>
                    </w:rPr>
                    <w:t>废气</w:t>
                  </w:r>
                </w:p>
              </w:tc>
              <w:tc>
                <w:tcPr>
                  <w:tcW w:w="2916" w:type="dxa"/>
                  <w:noWrap w:val="0"/>
                  <w:vAlign w:val="center"/>
                </w:tcPr>
                <w:p w14:paraId="4D322D8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w:t>
                  </w:r>
                  <w:r>
                    <w:rPr>
                      <w:rFonts w:hint="eastAsia" w:ascii="Times New Roman" w:hAnsi="Times New Roman" w:eastAsia="宋体" w:cs="Times New Roman"/>
                      <w:color w:val="auto"/>
                      <w:kern w:val="0"/>
                      <w:sz w:val="21"/>
                      <w:szCs w:val="21"/>
                      <w:highlight w:val="none"/>
                      <w:lang w:val="en-US" w:eastAsia="zh-CN" w:bidi="ar"/>
                    </w:rPr>
                    <w:t>挥发性有机物</w:t>
                  </w:r>
                </w:p>
              </w:tc>
            </w:tr>
            <w:tr w14:paraId="104F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noWrap w:val="0"/>
                  <w:vAlign w:val="center"/>
                </w:tcPr>
                <w:p w14:paraId="5496879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139624A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有轭中频感应电炉</w:t>
                  </w:r>
                </w:p>
              </w:tc>
              <w:tc>
                <w:tcPr>
                  <w:tcW w:w="2102" w:type="dxa"/>
                  <w:noWrap w:val="0"/>
                  <w:vAlign w:val="center"/>
                </w:tcPr>
                <w:p w14:paraId="238284B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熔化废气</w:t>
                  </w:r>
                </w:p>
              </w:tc>
              <w:tc>
                <w:tcPr>
                  <w:tcW w:w="2916" w:type="dxa"/>
                  <w:noWrap w:val="0"/>
                  <w:vAlign w:val="center"/>
                </w:tcPr>
                <w:p w14:paraId="6582706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w:t>
                  </w:r>
                  <w:r>
                    <w:rPr>
                      <w:rFonts w:hint="eastAsia" w:ascii="Times New Roman" w:hAnsi="Times New Roman" w:eastAsia="宋体" w:cs="Times New Roman"/>
                      <w:color w:val="auto"/>
                      <w:kern w:val="0"/>
                      <w:sz w:val="21"/>
                      <w:szCs w:val="21"/>
                      <w:highlight w:val="none"/>
                      <w:lang w:val="en-US" w:eastAsia="zh-CN" w:bidi="ar"/>
                    </w:rPr>
                    <w:t>（少量挥发性有机物）</w:t>
                  </w:r>
                </w:p>
              </w:tc>
            </w:tr>
            <w:tr w14:paraId="472B0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noWrap w:val="0"/>
                  <w:vAlign w:val="center"/>
                </w:tcPr>
                <w:p w14:paraId="3739923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6F08928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浇铸</w:t>
                  </w:r>
                </w:p>
              </w:tc>
              <w:tc>
                <w:tcPr>
                  <w:tcW w:w="2102" w:type="dxa"/>
                  <w:noWrap w:val="0"/>
                  <w:vAlign w:val="center"/>
                </w:tcPr>
                <w:p w14:paraId="1CBCB9F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浇铸废气</w:t>
                  </w:r>
                </w:p>
              </w:tc>
              <w:tc>
                <w:tcPr>
                  <w:tcW w:w="2916" w:type="dxa"/>
                  <w:noWrap w:val="0"/>
                  <w:vAlign w:val="center"/>
                </w:tcPr>
                <w:p w14:paraId="4011BFB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颗粒物、非甲烷总烃</w:t>
                  </w:r>
                </w:p>
              </w:tc>
            </w:tr>
            <w:tr w14:paraId="1CE6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noWrap w:val="0"/>
                  <w:vAlign w:val="center"/>
                </w:tcPr>
                <w:p w14:paraId="434E1CE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13259D2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抛丸</w:t>
                  </w:r>
                </w:p>
              </w:tc>
              <w:tc>
                <w:tcPr>
                  <w:tcW w:w="2102" w:type="dxa"/>
                  <w:noWrap w:val="0"/>
                  <w:vAlign w:val="center"/>
                </w:tcPr>
                <w:p w14:paraId="01A3D7E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抛丸废气</w:t>
                  </w:r>
                </w:p>
              </w:tc>
              <w:tc>
                <w:tcPr>
                  <w:tcW w:w="2916" w:type="dxa"/>
                  <w:noWrap w:val="0"/>
                  <w:vAlign w:val="center"/>
                </w:tcPr>
                <w:p w14:paraId="55597F9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w:t>
                  </w:r>
                </w:p>
              </w:tc>
            </w:tr>
            <w:tr w14:paraId="16BB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noWrap w:val="0"/>
                  <w:vAlign w:val="center"/>
                </w:tcPr>
                <w:p w14:paraId="267F039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7162E0B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打磨</w:t>
                  </w:r>
                </w:p>
              </w:tc>
              <w:tc>
                <w:tcPr>
                  <w:tcW w:w="2102" w:type="dxa"/>
                  <w:noWrap w:val="0"/>
                  <w:vAlign w:val="center"/>
                </w:tcPr>
                <w:p w14:paraId="29A4F0D6">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打磨废气</w:t>
                  </w:r>
                </w:p>
              </w:tc>
              <w:tc>
                <w:tcPr>
                  <w:tcW w:w="2916" w:type="dxa"/>
                  <w:noWrap w:val="0"/>
                  <w:vAlign w:val="center"/>
                </w:tcPr>
                <w:p w14:paraId="5249367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w:t>
                  </w:r>
                </w:p>
              </w:tc>
            </w:tr>
            <w:tr w14:paraId="4D1E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noWrap w:val="0"/>
                  <w:vAlign w:val="center"/>
                </w:tcPr>
                <w:p w14:paraId="4FF53CF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废水</w:t>
                  </w:r>
                </w:p>
              </w:tc>
              <w:tc>
                <w:tcPr>
                  <w:tcW w:w="2578" w:type="dxa"/>
                  <w:noWrap w:val="0"/>
                  <w:vAlign w:val="center"/>
                </w:tcPr>
                <w:p w14:paraId="39AD24F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生活污水</w:t>
                  </w:r>
                </w:p>
              </w:tc>
              <w:tc>
                <w:tcPr>
                  <w:tcW w:w="2102" w:type="dxa"/>
                  <w:noWrap w:val="0"/>
                  <w:vAlign w:val="center"/>
                </w:tcPr>
                <w:p w14:paraId="1C8E2F2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生活污水</w:t>
                  </w:r>
                </w:p>
              </w:tc>
              <w:tc>
                <w:tcPr>
                  <w:tcW w:w="2916" w:type="dxa"/>
                  <w:noWrap w:val="0"/>
                  <w:vAlign w:val="center"/>
                </w:tcPr>
                <w:p w14:paraId="550BD63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COD、BOD</w:t>
                  </w:r>
                  <w:r>
                    <w:rPr>
                      <w:rFonts w:hint="default" w:ascii="Times New Roman" w:hAnsi="Times New Roman" w:eastAsia="宋体" w:cs="Times New Roman"/>
                      <w:color w:val="auto"/>
                      <w:kern w:val="0"/>
                      <w:sz w:val="21"/>
                      <w:szCs w:val="21"/>
                      <w:highlight w:val="none"/>
                      <w:vertAlign w:val="subscript"/>
                      <w:lang w:val="en-US" w:eastAsia="zh-CN" w:bidi="ar"/>
                    </w:rPr>
                    <w:t>5</w:t>
                  </w:r>
                  <w:r>
                    <w:rPr>
                      <w:rFonts w:hint="default" w:ascii="Times New Roman" w:hAnsi="Times New Roman" w:eastAsia="宋体" w:cs="Times New Roman"/>
                      <w:color w:val="auto"/>
                      <w:kern w:val="0"/>
                      <w:sz w:val="21"/>
                      <w:szCs w:val="21"/>
                      <w:highlight w:val="none"/>
                      <w:lang w:val="en-US" w:eastAsia="zh-CN" w:bidi="ar"/>
                    </w:rPr>
                    <w:t>、SS、氨氮等</w:t>
                  </w:r>
                </w:p>
              </w:tc>
            </w:tr>
            <w:tr w14:paraId="7C4E7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noWrap w:val="0"/>
                  <w:vAlign w:val="center"/>
                </w:tcPr>
                <w:p w14:paraId="79D9CD9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噪声</w:t>
                  </w:r>
                </w:p>
              </w:tc>
              <w:tc>
                <w:tcPr>
                  <w:tcW w:w="2578" w:type="dxa"/>
                  <w:noWrap w:val="0"/>
                  <w:vAlign w:val="center"/>
                </w:tcPr>
                <w:p w14:paraId="61E01FC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生产过程</w:t>
                  </w:r>
                </w:p>
              </w:tc>
              <w:tc>
                <w:tcPr>
                  <w:tcW w:w="2102" w:type="dxa"/>
                  <w:noWrap w:val="0"/>
                  <w:vAlign w:val="center"/>
                </w:tcPr>
                <w:p w14:paraId="29E5E96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机械噪声</w:t>
                  </w:r>
                </w:p>
              </w:tc>
              <w:tc>
                <w:tcPr>
                  <w:tcW w:w="2916" w:type="dxa"/>
                  <w:noWrap w:val="0"/>
                  <w:vAlign w:val="center"/>
                </w:tcPr>
                <w:p w14:paraId="6BA2E90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等效连续A声级</w:t>
                  </w:r>
                </w:p>
              </w:tc>
            </w:tr>
            <w:tr w14:paraId="522C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restart"/>
                  <w:noWrap w:val="0"/>
                  <w:vAlign w:val="center"/>
                </w:tcPr>
                <w:p w14:paraId="291CADA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固体</w:t>
                  </w:r>
                </w:p>
                <w:p w14:paraId="73DB820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废物</w:t>
                  </w:r>
                </w:p>
              </w:tc>
              <w:tc>
                <w:tcPr>
                  <w:tcW w:w="2578" w:type="dxa"/>
                  <w:noWrap w:val="0"/>
                  <w:vAlign w:val="center"/>
                </w:tcPr>
                <w:p w14:paraId="3C191D2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落砂</w:t>
                  </w:r>
                </w:p>
              </w:tc>
              <w:tc>
                <w:tcPr>
                  <w:tcW w:w="2102" w:type="dxa"/>
                  <w:noWrap w:val="0"/>
                  <w:vAlign w:val="center"/>
                </w:tcPr>
                <w:p w14:paraId="001A776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S1</w:t>
                  </w:r>
                  <w:r>
                    <w:rPr>
                      <w:rFonts w:hint="default" w:ascii="Times New Roman" w:hAnsi="Times New Roman" w:eastAsia="宋体" w:cs="Times New Roman"/>
                      <w:color w:val="auto"/>
                      <w:kern w:val="0"/>
                      <w:sz w:val="21"/>
                      <w:szCs w:val="21"/>
                      <w:highlight w:val="none"/>
                      <w:lang w:val="en-US" w:eastAsia="zh-CN" w:bidi="ar"/>
                    </w:rPr>
                    <w:t>废砂</w:t>
                  </w:r>
                  <w:r>
                    <w:rPr>
                      <w:rFonts w:hint="eastAsia" w:ascii="Times New Roman" w:hAnsi="Times New Roman" w:eastAsia="宋体"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废</w:t>
                  </w:r>
                  <w:r>
                    <w:rPr>
                      <w:rFonts w:hint="eastAsia" w:cs="Times New Roman"/>
                      <w:color w:val="auto"/>
                      <w:kern w:val="0"/>
                      <w:sz w:val="21"/>
                      <w:szCs w:val="21"/>
                      <w:highlight w:val="none"/>
                      <w:lang w:val="en-US" w:eastAsia="zh-CN" w:bidi="ar"/>
                    </w:rPr>
                    <w:t>覆膜砂</w:t>
                  </w:r>
                  <w:r>
                    <w:rPr>
                      <w:rFonts w:hint="eastAsia" w:ascii="Times New Roman" w:hAnsi="Times New Roman" w:eastAsia="宋体" w:cs="Times New Roman"/>
                      <w:color w:val="auto"/>
                      <w:kern w:val="0"/>
                      <w:sz w:val="21"/>
                      <w:szCs w:val="21"/>
                      <w:highlight w:val="none"/>
                      <w:lang w:val="en-US" w:eastAsia="zh-CN" w:bidi="ar"/>
                    </w:rPr>
                    <w:t>）</w:t>
                  </w:r>
                </w:p>
              </w:tc>
              <w:tc>
                <w:tcPr>
                  <w:tcW w:w="2916" w:type="dxa"/>
                  <w:vMerge w:val="restart"/>
                  <w:noWrap w:val="0"/>
                  <w:vAlign w:val="center"/>
                </w:tcPr>
                <w:p w14:paraId="69542E7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一般固废</w:t>
                  </w:r>
                </w:p>
              </w:tc>
            </w:tr>
            <w:tr w14:paraId="4A3C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0106428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1DA8A51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切割</w:t>
                  </w:r>
                </w:p>
              </w:tc>
              <w:tc>
                <w:tcPr>
                  <w:tcW w:w="2102" w:type="dxa"/>
                  <w:noWrap w:val="0"/>
                  <w:vAlign w:val="center"/>
                </w:tcPr>
                <w:p w14:paraId="5314234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S2</w:t>
                  </w:r>
                  <w:r>
                    <w:rPr>
                      <w:rFonts w:hint="default" w:ascii="Times New Roman" w:hAnsi="Times New Roman" w:eastAsia="宋体" w:cs="Times New Roman"/>
                      <w:color w:val="auto"/>
                      <w:kern w:val="0"/>
                      <w:sz w:val="21"/>
                      <w:szCs w:val="21"/>
                      <w:highlight w:val="none"/>
                      <w:lang w:val="en-US" w:eastAsia="zh-CN" w:bidi="ar"/>
                    </w:rPr>
                    <w:t>废浇冒口</w:t>
                  </w:r>
                </w:p>
              </w:tc>
              <w:tc>
                <w:tcPr>
                  <w:tcW w:w="2916" w:type="dxa"/>
                  <w:vMerge w:val="continue"/>
                  <w:noWrap w:val="0"/>
                  <w:vAlign w:val="center"/>
                </w:tcPr>
                <w:p w14:paraId="7FEDA65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35CFA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0018A8A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657B87CD">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抛丸、打磨工序</w:t>
                  </w:r>
                </w:p>
              </w:tc>
              <w:tc>
                <w:tcPr>
                  <w:tcW w:w="2102" w:type="dxa"/>
                  <w:noWrap w:val="0"/>
                  <w:vAlign w:val="center"/>
                </w:tcPr>
                <w:p w14:paraId="2A3C4A9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S3边角料</w:t>
                  </w:r>
                </w:p>
              </w:tc>
              <w:tc>
                <w:tcPr>
                  <w:tcW w:w="2916" w:type="dxa"/>
                  <w:vMerge w:val="continue"/>
                  <w:noWrap w:val="0"/>
                  <w:vAlign w:val="center"/>
                </w:tcPr>
                <w:p w14:paraId="48AF7DF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4247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5B828D9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2757DC8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检验</w:t>
                  </w:r>
                </w:p>
              </w:tc>
              <w:tc>
                <w:tcPr>
                  <w:tcW w:w="2102" w:type="dxa"/>
                  <w:noWrap w:val="0"/>
                  <w:vAlign w:val="center"/>
                </w:tcPr>
                <w:p w14:paraId="6E2B10D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S4</w:t>
                  </w:r>
                  <w:r>
                    <w:rPr>
                      <w:rFonts w:hint="default" w:ascii="Times New Roman" w:hAnsi="Times New Roman" w:eastAsia="宋体" w:cs="Times New Roman"/>
                      <w:color w:val="auto"/>
                      <w:kern w:val="0"/>
                      <w:sz w:val="21"/>
                      <w:szCs w:val="21"/>
                      <w:highlight w:val="none"/>
                      <w:lang w:val="en-US" w:eastAsia="zh-CN" w:bidi="ar"/>
                    </w:rPr>
                    <w:t>不合格品</w:t>
                  </w:r>
                </w:p>
              </w:tc>
              <w:tc>
                <w:tcPr>
                  <w:tcW w:w="2916" w:type="dxa"/>
                  <w:vMerge w:val="continue"/>
                  <w:noWrap w:val="0"/>
                  <w:vAlign w:val="center"/>
                </w:tcPr>
                <w:p w14:paraId="38DE776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3C5C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2AAEA8C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49A506A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熔化</w:t>
                  </w:r>
                </w:p>
              </w:tc>
              <w:tc>
                <w:tcPr>
                  <w:tcW w:w="2102" w:type="dxa"/>
                  <w:noWrap w:val="0"/>
                  <w:vAlign w:val="center"/>
                </w:tcPr>
                <w:p w14:paraId="4BB5BB2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S5炉渣</w:t>
                  </w:r>
                </w:p>
              </w:tc>
              <w:tc>
                <w:tcPr>
                  <w:tcW w:w="2916" w:type="dxa"/>
                  <w:vMerge w:val="continue"/>
                  <w:noWrap w:val="0"/>
                  <w:vAlign w:val="center"/>
                </w:tcPr>
                <w:p w14:paraId="0F19A57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76F5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4F5123C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5252749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废气处理</w:t>
                  </w:r>
                </w:p>
              </w:tc>
              <w:tc>
                <w:tcPr>
                  <w:tcW w:w="2102" w:type="dxa"/>
                  <w:noWrap w:val="0"/>
                  <w:vAlign w:val="center"/>
                </w:tcPr>
                <w:p w14:paraId="4348525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S6</w:t>
                  </w:r>
                  <w:r>
                    <w:rPr>
                      <w:rFonts w:hint="default" w:ascii="Times New Roman" w:hAnsi="Times New Roman" w:eastAsia="宋体" w:cs="Times New Roman"/>
                      <w:color w:val="auto"/>
                      <w:kern w:val="0"/>
                      <w:sz w:val="21"/>
                      <w:szCs w:val="21"/>
                      <w:highlight w:val="none"/>
                      <w:lang w:val="en-US" w:eastAsia="zh-CN" w:bidi="ar"/>
                    </w:rPr>
                    <w:t>收集粉尘</w:t>
                  </w:r>
                </w:p>
              </w:tc>
              <w:tc>
                <w:tcPr>
                  <w:tcW w:w="2916" w:type="dxa"/>
                  <w:vMerge w:val="continue"/>
                  <w:noWrap w:val="0"/>
                  <w:vAlign w:val="center"/>
                </w:tcPr>
                <w:p w14:paraId="61AD875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5325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7352849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68557E1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原辅材料拆包</w:t>
                  </w:r>
                </w:p>
              </w:tc>
              <w:tc>
                <w:tcPr>
                  <w:tcW w:w="2102" w:type="dxa"/>
                  <w:noWrap w:val="0"/>
                  <w:vAlign w:val="center"/>
                </w:tcPr>
                <w:p w14:paraId="05328AC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S7</w:t>
                  </w:r>
                  <w:r>
                    <w:rPr>
                      <w:rFonts w:hint="default" w:ascii="Times New Roman" w:hAnsi="Times New Roman" w:eastAsia="宋体" w:cs="Times New Roman"/>
                      <w:color w:val="auto"/>
                      <w:kern w:val="0"/>
                      <w:sz w:val="21"/>
                      <w:szCs w:val="21"/>
                      <w:highlight w:val="none"/>
                      <w:lang w:val="en-US" w:eastAsia="zh-CN" w:bidi="ar"/>
                    </w:rPr>
                    <w:t>废包装材料</w:t>
                  </w:r>
                </w:p>
              </w:tc>
              <w:tc>
                <w:tcPr>
                  <w:tcW w:w="2916" w:type="dxa"/>
                  <w:vMerge w:val="continue"/>
                  <w:noWrap w:val="0"/>
                  <w:vAlign w:val="center"/>
                </w:tcPr>
                <w:p w14:paraId="74785B0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3E96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2C91AF2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3D895F4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废气处理</w:t>
                  </w:r>
                </w:p>
              </w:tc>
              <w:tc>
                <w:tcPr>
                  <w:tcW w:w="2102" w:type="dxa"/>
                  <w:noWrap w:val="0"/>
                  <w:vAlign w:val="center"/>
                </w:tcPr>
                <w:p w14:paraId="619308E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S8</w:t>
                  </w:r>
                  <w:r>
                    <w:rPr>
                      <w:rFonts w:hint="default" w:ascii="Times New Roman" w:hAnsi="Times New Roman" w:eastAsia="宋体" w:cs="Times New Roman"/>
                      <w:color w:val="auto"/>
                      <w:kern w:val="0"/>
                      <w:sz w:val="21"/>
                      <w:szCs w:val="21"/>
                      <w:highlight w:val="none"/>
                      <w:lang w:val="en-US" w:eastAsia="zh-CN" w:bidi="ar"/>
                    </w:rPr>
                    <w:t>废活性炭</w:t>
                  </w:r>
                </w:p>
              </w:tc>
              <w:tc>
                <w:tcPr>
                  <w:tcW w:w="2916" w:type="dxa"/>
                  <w:vMerge w:val="restart"/>
                  <w:noWrap w:val="0"/>
                  <w:vAlign w:val="center"/>
                </w:tcPr>
                <w:p w14:paraId="68DA107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危险废物</w:t>
                  </w:r>
                </w:p>
              </w:tc>
            </w:tr>
            <w:tr w14:paraId="267C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6370FDB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noWrap w:val="0"/>
                  <w:vAlign w:val="center"/>
                </w:tcPr>
                <w:p w14:paraId="3CBFF8F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设备维护</w:t>
                  </w:r>
                </w:p>
              </w:tc>
              <w:tc>
                <w:tcPr>
                  <w:tcW w:w="2102" w:type="dxa"/>
                  <w:noWrap w:val="0"/>
                  <w:vAlign w:val="center"/>
                </w:tcPr>
                <w:p w14:paraId="12CEE12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S9</w:t>
                  </w:r>
                  <w:r>
                    <w:rPr>
                      <w:rFonts w:hint="default" w:ascii="Times New Roman" w:hAnsi="Times New Roman" w:eastAsia="宋体" w:cs="Times New Roman"/>
                      <w:color w:val="auto"/>
                      <w:kern w:val="0"/>
                      <w:sz w:val="21"/>
                      <w:szCs w:val="21"/>
                      <w:highlight w:val="none"/>
                      <w:lang w:val="en-US" w:eastAsia="zh-CN" w:bidi="ar"/>
                    </w:rPr>
                    <w:t>废机油</w:t>
                  </w:r>
                </w:p>
              </w:tc>
              <w:tc>
                <w:tcPr>
                  <w:tcW w:w="2916" w:type="dxa"/>
                  <w:vMerge w:val="continue"/>
                  <w:tcBorders/>
                  <w:noWrap w:val="0"/>
                  <w:vAlign w:val="center"/>
                </w:tcPr>
                <w:p w14:paraId="14BB999A">
                  <w:pPr>
                    <w:jc w:val="center"/>
                    <w:rPr>
                      <w:rFonts w:hint="default" w:ascii="Times New Roman" w:hAnsi="Times New Roman" w:cs="Times New Roman"/>
                      <w:color w:val="FF0000"/>
                      <w:szCs w:val="21"/>
                      <w:highlight w:val="none"/>
                    </w:rPr>
                  </w:pPr>
                </w:p>
              </w:tc>
            </w:tr>
            <w:tr w14:paraId="102C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2" w:type="dxa"/>
                  <w:vMerge w:val="continue"/>
                  <w:tcBorders/>
                  <w:noWrap w:val="0"/>
                  <w:vAlign w:val="center"/>
                </w:tcPr>
                <w:p w14:paraId="4AE8564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2578" w:type="dxa"/>
                  <w:tcBorders/>
                  <w:noWrap w:val="0"/>
                  <w:vAlign w:val="center"/>
                </w:tcPr>
                <w:p w14:paraId="6D5FDCA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机加工</w:t>
                  </w:r>
                </w:p>
              </w:tc>
              <w:tc>
                <w:tcPr>
                  <w:tcW w:w="2102" w:type="dxa"/>
                  <w:noWrap w:val="0"/>
                  <w:vAlign w:val="center"/>
                </w:tcPr>
                <w:p w14:paraId="726B32E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S10废切削液</w:t>
                  </w:r>
                </w:p>
              </w:tc>
              <w:tc>
                <w:tcPr>
                  <w:tcW w:w="2916" w:type="dxa"/>
                  <w:vMerge w:val="continue"/>
                  <w:tcBorders/>
                  <w:noWrap w:val="0"/>
                  <w:vAlign w:val="center"/>
                </w:tcPr>
                <w:p w14:paraId="13837864">
                  <w:pPr>
                    <w:jc w:val="center"/>
                    <w:rPr>
                      <w:rFonts w:hint="default" w:ascii="Times New Roman" w:hAnsi="Times New Roman" w:cs="Times New Roman"/>
                      <w:color w:val="FF0000"/>
                      <w:szCs w:val="21"/>
                      <w:highlight w:val="none"/>
                    </w:rPr>
                  </w:pPr>
                </w:p>
              </w:tc>
            </w:tr>
          </w:tbl>
          <w:p w14:paraId="56871158">
            <w:pPr>
              <w:widowControl/>
              <w:adjustRightInd w:val="0"/>
              <w:snapToGrid w:val="0"/>
              <w:spacing w:line="240" w:lineRule="auto"/>
              <w:jc w:val="left"/>
              <w:rPr>
                <w:rFonts w:hint="eastAsia" w:ascii="Times New Roman" w:hAnsi="Times New Roman" w:eastAsia="宋体" w:cs="Times New Roman"/>
                <w:b/>
                <w:bCs/>
                <w:color w:val="FF0000"/>
                <w:kern w:val="0"/>
                <w:sz w:val="18"/>
                <w:szCs w:val="18"/>
                <w:highlight w:val="none"/>
                <w:lang w:val="en-US" w:eastAsia="zh-CN"/>
              </w:rPr>
            </w:pPr>
          </w:p>
        </w:tc>
      </w:tr>
      <w:tr w14:paraId="00C70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55" w:type="dxa"/>
            <w:noWrap w:val="0"/>
            <w:vAlign w:val="center"/>
          </w:tcPr>
          <w:p w14:paraId="060BB916">
            <w:pPr>
              <w:pStyle w:val="31"/>
              <w:adjustRightInd w:val="0"/>
              <w:snapToGrid w:val="0"/>
              <w:spacing w:before="0" w:beforeAutospacing="0" w:after="0" w:afterAutospacing="0"/>
              <w:ind w:left="-63" w:leftChars="-30" w:right="-63" w:rightChars="-30"/>
              <w:jc w:val="center"/>
              <w:rPr>
                <w:rFonts w:hint="default" w:ascii="Times New Roman" w:hAnsi="Times New Roman" w:cs="Times New Roman"/>
                <w:b/>
                <w:bCs/>
                <w:color w:val="FF0000"/>
                <w:sz w:val="24"/>
                <w:szCs w:val="24"/>
                <w:highlight w:val="none"/>
              </w:rPr>
            </w:pPr>
            <w:r>
              <w:rPr>
                <w:rFonts w:hint="default" w:ascii="Times New Roman" w:hAnsi="Times New Roman" w:eastAsia="宋体" w:cs="Times New Roman"/>
                <w:b/>
                <w:bCs/>
                <w:color w:val="auto"/>
                <w:kern w:val="2"/>
                <w:sz w:val="24"/>
                <w:szCs w:val="24"/>
                <w:highlight w:val="none"/>
                <w:lang w:val="en-US" w:eastAsia="zh-CN" w:bidi="ar-SA"/>
              </w:rPr>
              <w:t>与项目有关的原有环境污染问题</w:t>
            </w:r>
          </w:p>
        </w:tc>
        <w:tc>
          <w:tcPr>
            <w:tcW w:w="8833" w:type="dxa"/>
            <w:noWrap w:val="0"/>
            <w:vAlign w:val="center"/>
          </w:tcPr>
          <w:p w14:paraId="517E373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lang w:val="en-US" w:eastAsia="zh-CN"/>
              </w:rPr>
              <w:t>现有项目情况</w:t>
            </w:r>
          </w:p>
          <w:p w14:paraId="12E1842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池州市锋达金属铸造有限公司</w:t>
            </w:r>
            <w:r>
              <w:rPr>
                <w:rFonts w:hint="default" w:ascii="Times New Roman" w:hAnsi="Times New Roman" w:eastAsia="宋体" w:cs="Times New Roman"/>
                <w:color w:val="auto"/>
                <w:kern w:val="2"/>
                <w:sz w:val="24"/>
                <w:szCs w:val="24"/>
                <w:highlight w:val="none"/>
                <w:lang w:val="en-US" w:eastAsia="zh-CN"/>
              </w:rPr>
              <w:t>成立于20</w:t>
            </w:r>
            <w:r>
              <w:rPr>
                <w:rFonts w:hint="eastAsia" w:ascii="Times New Roman" w:hAnsi="Times New Roman" w:eastAsia="宋体" w:cs="Times New Roman"/>
                <w:color w:val="auto"/>
                <w:kern w:val="2"/>
                <w:sz w:val="24"/>
                <w:szCs w:val="24"/>
                <w:highlight w:val="none"/>
                <w:lang w:val="en-US" w:eastAsia="zh-CN"/>
              </w:rPr>
              <w:t>16</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于</w:t>
            </w:r>
            <w:r>
              <w:rPr>
                <w:rFonts w:hint="eastAsia" w:cs="Times New Roman"/>
                <w:color w:val="auto"/>
                <w:kern w:val="2"/>
                <w:sz w:val="24"/>
                <w:szCs w:val="24"/>
                <w:highlight w:val="none"/>
                <w:lang w:val="en-US" w:eastAsia="zh-CN"/>
              </w:rPr>
              <w:t>青阳县新河镇镁铝及机电装备制造产业集聚区</w:t>
            </w:r>
            <w:r>
              <w:rPr>
                <w:rFonts w:hint="eastAsia" w:ascii="Times New Roman" w:hAnsi="Times New Roman" w:eastAsia="宋体" w:cs="Times New Roman"/>
                <w:color w:val="auto"/>
                <w:kern w:val="2"/>
                <w:sz w:val="24"/>
                <w:szCs w:val="24"/>
                <w:highlight w:val="none"/>
                <w:lang w:val="en-US" w:eastAsia="zh-CN"/>
              </w:rPr>
              <w:t>投资建设了《</w:t>
            </w:r>
            <w:r>
              <w:rPr>
                <w:rFonts w:hint="default" w:ascii="Times New Roman" w:hAnsi="Times New Roman" w:eastAsia="宋体" w:cs="Times New Roman"/>
                <w:color w:val="auto"/>
                <w:kern w:val="2"/>
                <w:sz w:val="24"/>
                <w:szCs w:val="24"/>
                <w:highlight w:val="none"/>
                <w:lang w:val="en-US" w:eastAsia="zh-CN"/>
              </w:rPr>
              <w:t>年产1</w:t>
            </w:r>
            <w:r>
              <w:rPr>
                <w:rFonts w:hint="eastAsia" w:ascii="Times New Roman" w:hAnsi="Times New Roman" w:eastAsia="宋体" w:cs="Times New Roman"/>
                <w:color w:val="auto"/>
                <w:kern w:val="2"/>
                <w:sz w:val="24"/>
                <w:szCs w:val="24"/>
                <w:highlight w:val="none"/>
                <w:lang w:val="en-US" w:eastAsia="zh-CN"/>
              </w:rPr>
              <w:t>万</w:t>
            </w:r>
            <w:r>
              <w:rPr>
                <w:rFonts w:hint="default" w:ascii="Times New Roman" w:hAnsi="Times New Roman" w:eastAsia="宋体" w:cs="Times New Roman"/>
                <w:color w:val="auto"/>
                <w:kern w:val="2"/>
                <w:sz w:val="24"/>
                <w:szCs w:val="24"/>
                <w:highlight w:val="none"/>
                <w:lang w:val="en-US" w:eastAsia="zh-CN"/>
              </w:rPr>
              <w:t>吨</w:t>
            </w:r>
            <w:r>
              <w:rPr>
                <w:rFonts w:hint="eastAsia" w:ascii="Times New Roman" w:hAnsi="Times New Roman" w:eastAsia="宋体" w:cs="Times New Roman"/>
                <w:color w:val="auto"/>
                <w:kern w:val="2"/>
                <w:sz w:val="24"/>
                <w:szCs w:val="24"/>
                <w:highlight w:val="none"/>
                <w:lang w:val="en-US" w:eastAsia="zh-CN"/>
              </w:rPr>
              <w:t>铸铁配件</w:t>
            </w:r>
            <w:r>
              <w:rPr>
                <w:rFonts w:hint="default" w:ascii="Times New Roman" w:hAnsi="Times New Roman" w:eastAsia="宋体" w:cs="Times New Roman"/>
                <w:color w:val="auto"/>
                <w:kern w:val="2"/>
                <w:sz w:val="24"/>
                <w:szCs w:val="24"/>
                <w:highlight w:val="none"/>
                <w:lang w:val="en-US" w:eastAsia="zh-CN"/>
              </w:rPr>
              <w:t>项目</w:t>
            </w:r>
            <w:r>
              <w:rPr>
                <w:rFonts w:hint="eastAsia" w:ascii="Times New Roman" w:hAnsi="Times New Roman" w:eastAsia="宋体" w:cs="Times New Roman"/>
                <w:color w:val="auto"/>
                <w:kern w:val="2"/>
                <w:sz w:val="24"/>
                <w:szCs w:val="24"/>
                <w:highlight w:val="none"/>
                <w:lang w:val="en-US" w:eastAsia="zh-CN"/>
              </w:rPr>
              <w:t>》，现有</w:t>
            </w:r>
            <w:r>
              <w:rPr>
                <w:rFonts w:hint="default" w:ascii="Times New Roman" w:hAnsi="Times New Roman" w:eastAsia="宋体" w:cs="Times New Roman"/>
                <w:color w:val="auto"/>
                <w:kern w:val="2"/>
                <w:sz w:val="24"/>
                <w:szCs w:val="24"/>
                <w:highlight w:val="none"/>
                <w:lang w:val="en-US" w:eastAsia="zh-CN"/>
              </w:rPr>
              <w:t>项目已于201</w:t>
            </w:r>
            <w:r>
              <w:rPr>
                <w:rFonts w:hint="eastAsia" w:ascii="Times New Roman" w:hAnsi="Times New Roman" w:eastAsia="宋体" w:cs="Times New Roman"/>
                <w:color w:val="auto"/>
                <w:kern w:val="2"/>
                <w:sz w:val="24"/>
                <w:szCs w:val="24"/>
                <w:highlight w:val="none"/>
                <w:lang w:val="en-US" w:eastAsia="zh-CN"/>
              </w:rPr>
              <w:t>6</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lang w:val="en-US" w:eastAsia="zh-CN"/>
              </w:rPr>
              <w:t>月</w:t>
            </w:r>
            <w:r>
              <w:rPr>
                <w:rFonts w:hint="eastAsia" w:ascii="Times New Roman" w:hAnsi="Times New Roman" w:eastAsia="宋体" w:cs="Times New Roman"/>
                <w:color w:val="auto"/>
                <w:kern w:val="2"/>
                <w:sz w:val="24"/>
                <w:szCs w:val="24"/>
                <w:highlight w:val="none"/>
                <w:lang w:val="en-US" w:eastAsia="zh-CN"/>
              </w:rPr>
              <w:t>18</w:t>
            </w:r>
            <w:r>
              <w:rPr>
                <w:rFonts w:hint="default" w:ascii="Times New Roman" w:hAnsi="Times New Roman" w:eastAsia="宋体" w:cs="Times New Roman"/>
                <w:color w:val="auto"/>
                <w:kern w:val="2"/>
                <w:sz w:val="24"/>
                <w:szCs w:val="24"/>
                <w:highlight w:val="none"/>
                <w:lang w:val="en-US" w:eastAsia="zh-CN"/>
              </w:rPr>
              <w:t>日取得</w:t>
            </w:r>
            <w:r>
              <w:rPr>
                <w:rFonts w:hint="eastAsia" w:ascii="Times New Roman" w:hAnsi="Times New Roman" w:eastAsia="宋体" w:cs="Times New Roman"/>
                <w:color w:val="auto"/>
                <w:kern w:val="2"/>
                <w:sz w:val="24"/>
                <w:szCs w:val="24"/>
                <w:highlight w:val="none"/>
                <w:lang w:val="en-US" w:eastAsia="zh-CN"/>
              </w:rPr>
              <w:t>青阳县发展和改革委员会</w:t>
            </w:r>
            <w:r>
              <w:rPr>
                <w:rFonts w:hint="default" w:ascii="Times New Roman" w:hAnsi="Times New Roman" w:eastAsia="宋体" w:cs="Times New Roman"/>
                <w:color w:val="auto"/>
                <w:kern w:val="2"/>
                <w:sz w:val="24"/>
                <w:szCs w:val="24"/>
                <w:highlight w:val="none"/>
                <w:lang w:val="en-US" w:eastAsia="zh-CN"/>
              </w:rPr>
              <w:t>下发的关于该项目的备案通知（</w:t>
            </w:r>
            <w:r>
              <w:rPr>
                <w:rFonts w:hint="eastAsia" w:ascii="Times New Roman" w:hAnsi="Times New Roman" w:eastAsia="宋体" w:cs="Times New Roman"/>
                <w:color w:val="auto"/>
                <w:kern w:val="2"/>
                <w:sz w:val="24"/>
                <w:szCs w:val="24"/>
                <w:highlight w:val="none"/>
                <w:lang w:val="en-US" w:eastAsia="zh-CN"/>
              </w:rPr>
              <w:t>新政</w:t>
            </w:r>
            <w:r>
              <w:rPr>
                <w:rFonts w:hint="eastAsia" w:cs="Times New Roman"/>
                <w:color w:val="auto"/>
                <w:kern w:val="2"/>
                <w:sz w:val="24"/>
                <w:szCs w:val="24"/>
                <w:highlight w:val="none"/>
                <w:lang w:val="en-US" w:eastAsia="zh-CN"/>
              </w:rPr>
              <w:t>〔2016〕72号</w:t>
            </w:r>
            <w:r>
              <w:rPr>
                <w:rFonts w:hint="default" w:ascii="Times New Roman" w:hAnsi="Times New Roman" w:eastAsia="宋体"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池州市锋达金属铸造有限公司</w:t>
            </w:r>
            <w:r>
              <w:rPr>
                <w:rFonts w:hint="default" w:ascii="Times New Roman" w:hAnsi="Times New Roman" w:eastAsia="宋体" w:cs="Times New Roman"/>
                <w:color w:val="auto"/>
                <w:kern w:val="2"/>
                <w:sz w:val="24"/>
                <w:szCs w:val="24"/>
                <w:highlight w:val="none"/>
                <w:lang w:val="en-US" w:eastAsia="zh-CN"/>
              </w:rPr>
              <w:t>于201</w:t>
            </w:r>
            <w:r>
              <w:rPr>
                <w:rFonts w:hint="eastAsia" w:ascii="Times New Roman" w:hAnsi="Times New Roman" w:eastAsia="宋体" w:cs="Times New Roman"/>
                <w:color w:val="auto"/>
                <w:kern w:val="2"/>
                <w:sz w:val="24"/>
                <w:szCs w:val="24"/>
                <w:highlight w:val="none"/>
                <w:lang w:val="en-US" w:eastAsia="zh-CN"/>
              </w:rPr>
              <w:t>6</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lang w:val="en-US" w:eastAsia="zh-CN"/>
              </w:rPr>
              <w:t>2月</w:t>
            </w:r>
            <w:r>
              <w:rPr>
                <w:rFonts w:hint="eastAsia"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lang w:val="en-US" w:eastAsia="zh-CN"/>
              </w:rPr>
              <w:t>日委托</w:t>
            </w:r>
            <w:r>
              <w:rPr>
                <w:rFonts w:hint="eastAsia" w:ascii="Times New Roman" w:hAnsi="Times New Roman" w:eastAsia="宋体" w:cs="Times New Roman"/>
                <w:color w:val="auto"/>
                <w:kern w:val="2"/>
                <w:sz w:val="24"/>
                <w:szCs w:val="24"/>
                <w:highlight w:val="none"/>
                <w:lang w:val="en-US" w:eastAsia="zh-CN"/>
              </w:rPr>
              <w:t>安徽省四维环境工程有限公司</w:t>
            </w:r>
            <w:r>
              <w:rPr>
                <w:rFonts w:hint="default" w:ascii="Times New Roman" w:hAnsi="Times New Roman" w:eastAsia="宋体" w:cs="Times New Roman"/>
                <w:color w:val="auto"/>
                <w:kern w:val="2"/>
                <w:sz w:val="24"/>
                <w:szCs w:val="24"/>
                <w:highlight w:val="none"/>
                <w:lang w:val="en-US" w:eastAsia="zh-CN"/>
              </w:rPr>
              <w:t>对项目进行环境影响评价工作，2017年</w:t>
            </w:r>
            <w:r>
              <w:rPr>
                <w:rFonts w:hint="eastAsia"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lang w:val="en-US" w:eastAsia="zh-CN"/>
              </w:rPr>
              <w:t>月编制完成了《</w:t>
            </w:r>
            <w:r>
              <w:rPr>
                <w:rFonts w:hint="eastAsia" w:ascii="Times New Roman" w:hAnsi="Times New Roman" w:eastAsia="宋体" w:cs="Times New Roman"/>
                <w:color w:val="auto"/>
                <w:kern w:val="2"/>
                <w:sz w:val="24"/>
                <w:szCs w:val="24"/>
                <w:highlight w:val="none"/>
                <w:lang w:val="en-US" w:eastAsia="zh-CN"/>
              </w:rPr>
              <w:t>池州市锋达金属铸造有限公司年产1万吨铸铁配件项目</w:t>
            </w:r>
            <w:r>
              <w:rPr>
                <w:rFonts w:hint="default" w:ascii="Times New Roman" w:hAnsi="Times New Roman" w:eastAsia="宋体" w:cs="Times New Roman"/>
                <w:color w:val="auto"/>
                <w:kern w:val="2"/>
                <w:sz w:val="24"/>
                <w:szCs w:val="24"/>
                <w:highlight w:val="none"/>
                <w:lang w:val="en-US" w:eastAsia="zh-CN"/>
              </w:rPr>
              <w:t>环境影响报告表》。2017年</w:t>
            </w:r>
            <w:r>
              <w:rPr>
                <w:rFonts w:hint="eastAsia" w:ascii="Times New Roman" w:hAnsi="Times New Roman" w:eastAsia="宋体" w:cs="Times New Roman"/>
                <w:color w:val="auto"/>
                <w:kern w:val="2"/>
                <w:sz w:val="24"/>
                <w:szCs w:val="24"/>
                <w:highlight w:val="none"/>
                <w:lang w:val="en-US" w:eastAsia="zh-CN"/>
              </w:rPr>
              <w:t>9</w:t>
            </w:r>
            <w:r>
              <w:rPr>
                <w:rFonts w:hint="default" w:ascii="Times New Roman" w:hAnsi="Times New Roman" w:eastAsia="宋体" w:cs="Times New Roman"/>
                <w:color w:val="auto"/>
                <w:kern w:val="2"/>
                <w:sz w:val="24"/>
                <w:szCs w:val="24"/>
                <w:highlight w:val="none"/>
                <w:lang w:val="en-US" w:eastAsia="zh-CN"/>
              </w:rPr>
              <w:t>月</w:t>
            </w:r>
            <w:r>
              <w:rPr>
                <w:rFonts w:hint="eastAsia" w:ascii="Times New Roman" w:hAnsi="Times New Roman" w:eastAsia="宋体" w:cs="Times New Roman"/>
                <w:color w:val="auto"/>
                <w:kern w:val="2"/>
                <w:sz w:val="24"/>
                <w:szCs w:val="24"/>
                <w:highlight w:val="none"/>
                <w:lang w:val="en-US" w:eastAsia="zh-CN"/>
              </w:rPr>
              <w:t>20</w:t>
            </w:r>
            <w:r>
              <w:rPr>
                <w:rFonts w:hint="default" w:ascii="Times New Roman" w:hAnsi="Times New Roman" w:eastAsia="宋体" w:cs="Times New Roman"/>
                <w:color w:val="auto"/>
                <w:kern w:val="2"/>
                <w:sz w:val="24"/>
                <w:szCs w:val="24"/>
                <w:highlight w:val="none"/>
                <w:lang w:val="en-US" w:eastAsia="zh-CN"/>
              </w:rPr>
              <w:t>日，</w:t>
            </w:r>
            <w:r>
              <w:rPr>
                <w:rFonts w:hint="eastAsia" w:ascii="Times New Roman" w:hAnsi="Times New Roman" w:eastAsia="宋体" w:cs="Times New Roman"/>
                <w:color w:val="auto"/>
                <w:kern w:val="2"/>
                <w:sz w:val="24"/>
                <w:szCs w:val="24"/>
                <w:highlight w:val="none"/>
                <w:lang w:val="en-US" w:eastAsia="zh-CN"/>
              </w:rPr>
              <w:t>原青阳县</w:t>
            </w:r>
            <w:r>
              <w:rPr>
                <w:rFonts w:hint="default" w:ascii="Times New Roman" w:hAnsi="Times New Roman" w:eastAsia="宋体" w:cs="Times New Roman"/>
                <w:color w:val="auto"/>
                <w:kern w:val="2"/>
                <w:sz w:val="24"/>
                <w:szCs w:val="24"/>
                <w:highlight w:val="none"/>
                <w:lang w:val="en-US" w:eastAsia="zh-CN"/>
              </w:rPr>
              <w:t>环境保护局以</w:t>
            </w:r>
            <w:r>
              <w:rPr>
                <w:rFonts w:hint="eastAsia" w:ascii="Times New Roman" w:hAnsi="Times New Roman" w:eastAsia="宋体" w:cs="Times New Roman"/>
                <w:color w:val="auto"/>
                <w:kern w:val="2"/>
                <w:sz w:val="24"/>
                <w:szCs w:val="24"/>
                <w:highlight w:val="none"/>
                <w:lang w:val="en-US" w:eastAsia="zh-CN"/>
              </w:rPr>
              <w:t>青环管</w:t>
            </w:r>
            <w:r>
              <w:rPr>
                <w:rFonts w:hint="eastAsia" w:cs="Times New Roman"/>
                <w:color w:val="auto"/>
                <w:kern w:val="2"/>
                <w:sz w:val="24"/>
                <w:szCs w:val="24"/>
                <w:highlight w:val="none"/>
                <w:lang w:val="en-US" w:eastAsia="zh-CN"/>
              </w:rPr>
              <w:t>〔2017〕31号</w:t>
            </w:r>
            <w:r>
              <w:rPr>
                <w:rFonts w:hint="default" w:ascii="Times New Roman" w:hAnsi="Times New Roman" w:eastAsia="宋体" w:cs="Times New Roman"/>
                <w:color w:val="auto"/>
                <w:kern w:val="2"/>
                <w:sz w:val="24"/>
                <w:szCs w:val="24"/>
                <w:highlight w:val="none"/>
                <w:lang w:val="en-US" w:eastAsia="zh-CN"/>
              </w:rPr>
              <w:t>文对项目予以批复。20</w:t>
            </w:r>
            <w:r>
              <w:rPr>
                <w:rFonts w:hint="eastAsia" w:ascii="Times New Roman" w:hAnsi="Times New Roman" w:eastAsia="宋体" w:cs="Times New Roman"/>
                <w:color w:val="auto"/>
                <w:kern w:val="2"/>
                <w:sz w:val="24"/>
                <w:szCs w:val="24"/>
                <w:highlight w:val="none"/>
                <w:lang w:val="en-US" w:eastAsia="zh-CN"/>
              </w:rPr>
              <w:t>18</w:t>
            </w:r>
            <w:r>
              <w:rPr>
                <w:rFonts w:hint="default" w:ascii="Times New Roman" w:hAnsi="Times New Roman" w:eastAsia="宋体" w:cs="Times New Roman"/>
                <w:color w:val="auto"/>
                <w:kern w:val="2"/>
                <w:sz w:val="24"/>
                <w:szCs w:val="24"/>
                <w:highlight w:val="none"/>
                <w:lang w:val="en-US" w:eastAsia="zh-CN"/>
              </w:rPr>
              <w:t>年</w:t>
            </w:r>
            <w:r>
              <w:rPr>
                <w:rFonts w:hint="eastAsia" w:ascii="Times New Roman" w:hAnsi="Times New Roman" w:eastAsia="宋体" w:cs="Times New Roman"/>
                <w:color w:val="auto"/>
                <w:kern w:val="2"/>
                <w:sz w:val="24"/>
                <w:szCs w:val="24"/>
                <w:highlight w:val="none"/>
                <w:lang w:val="en-US" w:eastAsia="zh-CN"/>
              </w:rPr>
              <w:t>10</w:t>
            </w:r>
            <w:r>
              <w:rPr>
                <w:rFonts w:hint="default" w:ascii="Times New Roman" w:hAnsi="Times New Roman" w:eastAsia="宋体" w:cs="Times New Roman"/>
                <w:color w:val="auto"/>
                <w:kern w:val="2"/>
                <w:sz w:val="24"/>
                <w:szCs w:val="24"/>
                <w:highlight w:val="none"/>
                <w:lang w:val="en-US" w:eastAsia="zh-CN"/>
              </w:rPr>
              <w:t>月</w:t>
            </w:r>
            <w:r>
              <w:rPr>
                <w:rFonts w:hint="eastAsia" w:ascii="Times New Roman" w:hAnsi="Times New Roman" w:eastAsia="宋体" w:cs="Times New Roman"/>
                <w:color w:val="auto"/>
                <w:kern w:val="2"/>
                <w:sz w:val="24"/>
                <w:szCs w:val="24"/>
                <w:highlight w:val="none"/>
                <w:lang w:val="en-US" w:eastAsia="zh-CN"/>
              </w:rPr>
              <w:t>25日</w:t>
            </w:r>
            <w:r>
              <w:rPr>
                <w:rFonts w:hint="default" w:ascii="Times New Roman" w:hAnsi="Times New Roman" w:eastAsia="宋体"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池州市锋达金属铸造有限公司年产1万</w:t>
            </w:r>
            <w:r>
              <w:rPr>
                <w:rFonts w:hint="eastAsia" w:cs="Times New Roman"/>
                <w:color w:val="auto"/>
                <w:kern w:val="2"/>
                <w:sz w:val="24"/>
                <w:szCs w:val="24"/>
                <w:highlight w:val="none"/>
                <w:lang w:val="en-US" w:eastAsia="zh-CN"/>
              </w:rPr>
              <w:t>吨</w:t>
            </w:r>
            <w:r>
              <w:rPr>
                <w:rFonts w:hint="eastAsia" w:ascii="Times New Roman" w:hAnsi="Times New Roman" w:eastAsia="宋体" w:cs="Times New Roman"/>
                <w:color w:val="auto"/>
                <w:kern w:val="2"/>
                <w:sz w:val="24"/>
                <w:szCs w:val="24"/>
                <w:highlight w:val="none"/>
                <w:lang w:val="en-US" w:eastAsia="zh-CN"/>
              </w:rPr>
              <w:t>铸铁配件项目</w:t>
            </w:r>
            <w:r>
              <w:rPr>
                <w:rFonts w:hint="default" w:ascii="Times New Roman" w:hAnsi="Times New Roman" w:eastAsia="宋体" w:cs="Times New Roman"/>
                <w:color w:val="auto"/>
                <w:kern w:val="2"/>
                <w:sz w:val="24"/>
                <w:szCs w:val="24"/>
                <w:highlight w:val="none"/>
                <w:lang w:val="en-US" w:eastAsia="zh-CN"/>
              </w:rPr>
              <w:t>已完成竣工环境保护自主验收。</w:t>
            </w:r>
          </w:p>
          <w:p w14:paraId="1393BFD8">
            <w:pPr>
              <w:spacing w:line="360" w:lineRule="auto"/>
              <w:ind w:firstLine="480" w:firstLineChars="200"/>
              <w:jc w:val="lef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池州市锋达金属铸造有限公司于2020年7月31日首次申领了排污许可证，2023年12月5日进行了延续，排污许可证编号：91341723MA2MYLKY98001U，有效期为2023年7月31日至2028年7月30日</w:t>
            </w:r>
            <w:r>
              <w:rPr>
                <w:rFonts w:hint="default" w:ascii="Times New Roman" w:hAnsi="Times New Roman" w:eastAsia="宋体" w:cs="Times New Roman"/>
                <w:color w:val="auto"/>
                <w:sz w:val="24"/>
                <w:highlight w:val="none"/>
                <w:lang w:val="en-US" w:eastAsia="zh-CN"/>
              </w:rPr>
              <w:t>。</w:t>
            </w:r>
          </w:p>
          <w:p w14:paraId="212D9FF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color w:val="auto"/>
                <w:lang w:val="en-US"/>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7</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w:t>
            </w:r>
            <w:r>
              <w:rPr>
                <w:rFonts w:hint="default" w:ascii="Times New Roman" w:hAnsi="Times New Roman" w:eastAsia="宋体" w:cs="Times New Roman"/>
                <w:b/>
                <w:bCs/>
                <w:color w:val="auto"/>
                <w:kern w:val="2"/>
                <w:sz w:val="24"/>
                <w:szCs w:val="24"/>
                <w:lang w:val="en-US" w:eastAsia="zh-CN"/>
              </w:rPr>
              <w:t>项目</w:t>
            </w:r>
            <w:r>
              <w:rPr>
                <w:rFonts w:hint="eastAsia" w:ascii="Times New Roman" w:hAnsi="Times New Roman" w:eastAsia="宋体" w:cs="Times New Roman"/>
                <w:b/>
                <w:bCs/>
                <w:color w:val="auto"/>
                <w:kern w:val="2"/>
                <w:sz w:val="24"/>
                <w:szCs w:val="24"/>
                <w:lang w:val="en-US" w:eastAsia="zh-CN"/>
              </w:rPr>
              <w:t>环保手续情况一览表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905"/>
              <w:gridCol w:w="2248"/>
              <w:gridCol w:w="1891"/>
              <w:gridCol w:w="2138"/>
            </w:tblGrid>
            <w:tr w14:paraId="78C4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6" w:type="pct"/>
                  <w:noWrap w:val="0"/>
                  <w:vAlign w:val="center"/>
                </w:tcPr>
                <w:p w14:paraId="1788FE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序号</w:t>
                  </w:r>
                </w:p>
              </w:tc>
              <w:tc>
                <w:tcPr>
                  <w:tcW w:w="1106" w:type="pct"/>
                  <w:noWrap w:val="0"/>
                  <w:vAlign w:val="center"/>
                </w:tcPr>
                <w:p w14:paraId="670463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项目名称</w:t>
                  </w:r>
                </w:p>
              </w:tc>
              <w:tc>
                <w:tcPr>
                  <w:tcW w:w="1305" w:type="pct"/>
                  <w:noWrap w:val="0"/>
                  <w:vAlign w:val="center"/>
                </w:tcPr>
                <w:p w14:paraId="142110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批复/验收情况</w:t>
                  </w:r>
                </w:p>
              </w:tc>
              <w:tc>
                <w:tcPr>
                  <w:tcW w:w="1098" w:type="pct"/>
                  <w:noWrap w:val="0"/>
                  <w:vAlign w:val="center"/>
                </w:tcPr>
                <w:p w14:paraId="7F36BA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批复/验收时间</w:t>
                  </w:r>
                </w:p>
              </w:tc>
              <w:tc>
                <w:tcPr>
                  <w:tcW w:w="1242" w:type="pct"/>
                  <w:noWrap w:val="0"/>
                  <w:vAlign w:val="center"/>
                </w:tcPr>
                <w:p w14:paraId="071A07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排污许可证编号</w:t>
                  </w:r>
                </w:p>
              </w:tc>
            </w:tr>
            <w:tr w14:paraId="2E98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46" w:type="pct"/>
                  <w:vMerge w:val="restart"/>
                  <w:noWrap w:val="0"/>
                  <w:vAlign w:val="center"/>
                </w:tcPr>
                <w:p w14:paraId="125ABC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p>
              </w:tc>
              <w:tc>
                <w:tcPr>
                  <w:tcW w:w="1106" w:type="pct"/>
                  <w:vMerge w:val="restart"/>
                  <w:noWrap w:val="0"/>
                  <w:vAlign w:val="center"/>
                </w:tcPr>
                <w:p w14:paraId="2A87DB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eastAsia="zh-CN"/>
                    </w:rPr>
                    <w:t>年产</w:t>
                  </w:r>
                  <w:r>
                    <w:rPr>
                      <w:rFonts w:hint="eastAsia" w:ascii="Times New Roman" w:hAnsi="Times New Roman" w:eastAsia="宋体" w:cs="Times New Roman"/>
                      <w:color w:val="auto"/>
                      <w:lang w:val="en-US" w:eastAsia="zh-CN"/>
                    </w:rPr>
                    <w:t>1万</w:t>
                  </w:r>
                  <w:r>
                    <w:rPr>
                      <w:rFonts w:hint="eastAsia" w:ascii="Times New Roman" w:hAnsi="Times New Roman" w:eastAsia="宋体" w:cs="Times New Roman"/>
                      <w:color w:val="auto"/>
                      <w:lang w:eastAsia="zh-CN"/>
                    </w:rPr>
                    <w:t>吨铸铁配件项目</w:t>
                  </w:r>
                </w:p>
              </w:tc>
              <w:tc>
                <w:tcPr>
                  <w:tcW w:w="1305" w:type="pct"/>
                  <w:noWrap w:val="0"/>
                  <w:vAlign w:val="center"/>
                </w:tcPr>
                <w:p w14:paraId="5DBCD9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Times New Roman"/>
                      <w:color w:val="auto"/>
                    </w:rPr>
                  </w:pPr>
                  <w:r>
                    <w:rPr>
                      <w:rFonts w:hint="eastAsia" w:ascii="Times New Roman" w:hAnsi="Times New Roman" w:eastAsia="宋体" w:cs="Times New Roman"/>
                      <w:color w:val="auto"/>
                    </w:rPr>
                    <w:t>青环管</w:t>
                  </w:r>
                  <w:r>
                    <w:rPr>
                      <w:rFonts w:hint="eastAsia" w:cs="Times New Roman"/>
                      <w:color w:val="auto"/>
                      <w:lang w:eastAsia="zh-CN"/>
                    </w:rPr>
                    <w:t>〔2017〕31号</w:t>
                  </w:r>
                </w:p>
              </w:tc>
              <w:tc>
                <w:tcPr>
                  <w:tcW w:w="1098" w:type="pct"/>
                  <w:noWrap w:val="0"/>
                  <w:vAlign w:val="center"/>
                </w:tcPr>
                <w:p w14:paraId="2BBBE0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2017年9月20日</w:t>
                  </w:r>
                </w:p>
              </w:tc>
              <w:tc>
                <w:tcPr>
                  <w:tcW w:w="1242" w:type="pct"/>
                  <w:vMerge w:val="restart"/>
                  <w:noWrap w:val="0"/>
                  <w:vAlign w:val="center"/>
                </w:tcPr>
                <w:p w14:paraId="21E8E8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91341723MA2MYLKY98001U</w:t>
                  </w:r>
                </w:p>
              </w:tc>
            </w:tr>
            <w:tr w14:paraId="1047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6" w:type="pct"/>
                  <w:vMerge w:val="continue"/>
                  <w:noWrap w:val="0"/>
                  <w:vAlign w:val="center"/>
                </w:tcPr>
                <w:p w14:paraId="59D2F1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Times New Roman"/>
                      <w:color w:val="auto"/>
                    </w:rPr>
                  </w:pPr>
                </w:p>
              </w:tc>
              <w:tc>
                <w:tcPr>
                  <w:tcW w:w="1106" w:type="pct"/>
                  <w:vMerge w:val="continue"/>
                  <w:noWrap w:val="0"/>
                  <w:vAlign w:val="center"/>
                </w:tcPr>
                <w:p w14:paraId="4831CD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Times New Roman"/>
                      <w:color w:val="auto"/>
                    </w:rPr>
                  </w:pPr>
                </w:p>
              </w:tc>
              <w:tc>
                <w:tcPr>
                  <w:tcW w:w="1305" w:type="pct"/>
                  <w:noWrap w:val="0"/>
                  <w:vAlign w:val="center"/>
                </w:tcPr>
                <w:p w14:paraId="1282C5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自主验收</w:t>
                  </w:r>
                </w:p>
              </w:tc>
              <w:tc>
                <w:tcPr>
                  <w:tcW w:w="1098" w:type="pct"/>
                  <w:noWrap w:val="0"/>
                  <w:vAlign w:val="center"/>
                </w:tcPr>
                <w:p w14:paraId="545B65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2018年10月25日</w:t>
                  </w:r>
                </w:p>
              </w:tc>
              <w:tc>
                <w:tcPr>
                  <w:tcW w:w="1242" w:type="pct"/>
                  <w:vMerge w:val="continue"/>
                  <w:noWrap w:val="0"/>
                  <w:vAlign w:val="center"/>
                </w:tcPr>
                <w:p w14:paraId="5D9CC5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p>
              </w:tc>
            </w:tr>
          </w:tbl>
          <w:p w14:paraId="7A4FF00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lang w:val="en-US" w:eastAsia="zh-CN"/>
              </w:rPr>
              <w:t>现有项目运营期污染源强分析</w:t>
            </w:r>
          </w:p>
          <w:p w14:paraId="45B276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（1）废气</w:t>
            </w:r>
          </w:p>
          <w:p w14:paraId="295693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根据现有项目环评工艺分析可知，现有项目运营期的废气主要为：熔化废气、造型</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浇铸等工序产生的粉尘、有机废气</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砂处理、抛丸打磨等工序产生的粉尘等。</w:t>
            </w:r>
          </w:p>
          <w:p w14:paraId="5006A022">
            <w:pPr>
              <w:adjustRightInd w:val="0"/>
              <w:snapToGrid w:val="0"/>
              <w:spacing w:line="360" w:lineRule="auto"/>
              <w:ind w:firstLine="480" w:firstLineChars="200"/>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sz w:val="24"/>
                <w:highlight w:val="none"/>
                <w:lang w:val="en-US" w:eastAsia="zh-CN"/>
              </w:rPr>
              <w:t>①</w:t>
            </w:r>
            <w:r>
              <w:rPr>
                <w:rFonts w:hint="eastAsia" w:cs="Times New Roman"/>
                <w:b w:val="0"/>
                <w:bCs w:val="0"/>
                <w:color w:val="auto"/>
                <w:sz w:val="24"/>
                <w:szCs w:val="32"/>
                <w:highlight w:val="none"/>
                <w:lang w:val="en-US" w:eastAsia="zh-CN"/>
              </w:rPr>
              <w:t>1号厂房</w:t>
            </w:r>
            <w:r>
              <w:rPr>
                <w:rFonts w:hint="default" w:ascii="Times New Roman" w:hAnsi="Times New Roman" w:eastAsia="宋体" w:cs="Times New Roman"/>
                <w:b w:val="0"/>
                <w:bCs w:val="0"/>
                <w:color w:val="auto"/>
                <w:sz w:val="24"/>
                <w:szCs w:val="32"/>
                <w:highlight w:val="none"/>
                <w:lang w:val="en-US" w:eastAsia="zh-CN"/>
              </w:rPr>
              <w:t>废气</w:t>
            </w:r>
          </w:p>
          <w:p w14:paraId="73D1FF64">
            <w:pPr>
              <w:adjustRightInd w:val="0"/>
              <w:snapToGrid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A</w:t>
            </w:r>
            <w:r>
              <w:rPr>
                <w:rFonts w:hint="eastAsia" w:cs="Times New Roman"/>
                <w:color w:val="auto"/>
                <w:sz w:val="24"/>
                <w:highlight w:val="none"/>
                <w:lang w:val="en-US" w:eastAsia="zh-CN"/>
              </w:rPr>
              <w:t>.</w:t>
            </w:r>
            <w:r>
              <w:rPr>
                <w:rFonts w:hint="default" w:ascii="Times New Roman" w:hAnsi="Times New Roman" w:eastAsia="宋体" w:cs="Times New Roman"/>
                <w:color w:val="auto"/>
                <w:sz w:val="24"/>
                <w:highlight w:val="none"/>
              </w:rPr>
              <w:t>熔化废气</w:t>
            </w:r>
          </w:p>
          <w:p w14:paraId="3743F624">
            <w:pPr>
              <w:adjustRightInd w:val="0"/>
              <w:snapToGrid w:val="0"/>
              <w:spacing w:line="36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lang w:val="en-US" w:eastAsia="zh-CN"/>
              </w:rPr>
              <w:t>现有</w:t>
            </w:r>
            <w:r>
              <w:rPr>
                <w:rFonts w:hint="default" w:ascii="Times New Roman" w:hAnsi="Times New Roman" w:eastAsia="宋体" w:cs="Times New Roman"/>
                <w:bCs/>
                <w:color w:val="auto"/>
                <w:sz w:val="24"/>
                <w:highlight w:val="none"/>
              </w:rPr>
              <w:t>项目在</w:t>
            </w:r>
            <w:r>
              <w:rPr>
                <w:rFonts w:hint="default" w:ascii="Times New Roman" w:hAnsi="Times New Roman" w:eastAsia="宋体" w:cs="Times New Roman"/>
                <w:bCs/>
                <w:color w:val="auto"/>
                <w:sz w:val="24"/>
                <w:highlight w:val="none"/>
                <w:lang w:eastAsia="zh-CN"/>
              </w:rPr>
              <w:t>中频炉</w:t>
            </w:r>
            <w:r>
              <w:rPr>
                <w:rFonts w:hint="default" w:ascii="Times New Roman" w:hAnsi="Times New Roman" w:eastAsia="宋体" w:cs="Times New Roman"/>
                <w:bCs/>
                <w:color w:val="auto"/>
                <w:sz w:val="24"/>
                <w:highlight w:val="none"/>
              </w:rPr>
              <w:t>上方设置集气罩，然后经配套的“</w:t>
            </w:r>
            <w:r>
              <w:rPr>
                <w:rFonts w:hint="default" w:ascii="Times New Roman" w:hAnsi="Times New Roman" w:eastAsia="宋体" w:cs="Times New Roman"/>
                <w:bCs/>
                <w:color w:val="auto"/>
                <w:sz w:val="24"/>
                <w:highlight w:val="none"/>
                <w:lang w:eastAsia="zh-CN"/>
              </w:rPr>
              <w:t>布袋除尘器</w:t>
            </w:r>
            <w:r>
              <w:rPr>
                <w:rFonts w:hint="eastAsia" w:cs="Times New Roman"/>
                <w:bCs/>
                <w:color w:val="auto"/>
                <w:sz w:val="24"/>
                <w:highlight w:val="none"/>
                <w:lang w:eastAsia="zh-CN"/>
              </w:rPr>
              <w:t>（</w:t>
            </w:r>
            <w:r>
              <w:rPr>
                <w:rFonts w:hint="eastAsia" w:cs="Times New Roman"/>
                <w:bCs/>
                <w:color w:val="auto"/>
                <w:sz w:val="24"/>
                <w:highlight w:val="none"/>
                <w:lang w:val="en-US" w:eastAsia="zh-CN"/>
              </w:rPr>
              <w:t>TA001</w:t>
            </w:r>
            <w:r>
              <w:rPr>
                <w:rFonts w:hint="eastAsia" w:cs="Times New Roman"/>
                <w:bCs/>
                <w:color w:val="auto"/>
                <w:sz w:val="24"/>
                <w:highlight w:val="none"/>
                <w:lang w:eastAsia="zh-CN"/>
              </w:rPr>
              <w:t>）</w:t>
            </w:r>
            <w:r>
              <w:rPr>
                <w:rFonts w:hint="default" w:ascii="Times New Roman" w:hAnsi="Times New Roman" w:eastAsia="宋体" w:cs="Times New Roman"/>
                <w:bCs/>
                <w:color w:val="auto"/>
                <w:sz w:val="24"/>
                <w:highlight w:val="none"/>
              </w:rPr>
              <w:t>”装置处理，由</w:t>
            </w:r>
            <w:r>
              <w:rPr>
                <w:rFonts w:hint="default" w:ascii="Times New Roman" w:hAnsi="Times New Roman" w:eastAsia="宋体" w:cs="Times New Roman"/>
                <w:bCs/>
                <w:color w:val="auto"/>
                <w:sz w:val="24"/>
                <w:highlight w:val="none"/>
                <w:lang w:val="en-US" w:eastAsia="zh-CN"/>
              </w:rPr>
              <w:t>1根</w:t>
            </w:r>
            <w:r>
              <w:rPr>
                <w:rFonts w:hint="default" w:ascii="Times New Roman" w:hAnsi="Times New Roman" w:eastAsia="宋体" w:cs="Times New Roman"/>
                <w:bCs/>
                <w:color w:val="auto"/>
                <w:sz w:val="24"/>
                <w:highlight w:val="none"/>
              </w:rPr>
              <w:t>15米高排气筒DA00</w:t>
            </w:r>
            <w:r>
              <w:rPr>
                <w:rFonts w:hint="default" w:ascii="Times New Roman" w:hAnsi="Times New Roman" w:eastAsia="宋体" w:cs="Times New Roman"/>
                <w:bCs/>
                <w:color w:val="auto"/>
                <w:sz w:val="24"/>
                <w:highlight w:val="none"/>
                <w:lang w:val="en-US" w:eastAsia="zh-CN"/>
              </w:rPr>
              <w:t>1</w:t>
            </w:r>
            <w:r>
              <w:rPr>
                <w:rFonts w:hint="default" w:ascii="Times New Roman" w:hAnsi="Times New Roman" w:eastAsia="宋体" w:cs="Times New Roman"/>
                <w:bCs/>
                <w:color w:val="auto"/>
                <w:sz w:val="24"/>
                <w:highlight w:val="none"/>
              </w:rPr>
              <w:t>排放。</w:t>
            </w:r>
          </w:p>
          <w:p w14:paraId="1AB4E512">
            <w:pPr>
              <w:adjustRightInd w:val="0"/>
              <w:snapToGrid w:val="0"/>
              <w:spacing w:line="360" w:lineRule="auto"/>
              <w:ind w:firstLine="480" w:firstLineChars="200"/>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lang w:val="en-US" w:eastAsia="zh-CN"/>
              </w:rPr>
              <w:t>B</w:t>
            </w:r>
            <w:r>
              <w:rPr>
                <w:rFonts w:hint="eastAsia" w:cs="Times New Roman"/>
                <w:bCs/>
                <w:color w:val="auto"/>
                <w:sz w:val="24"/>
                <w:highlight w:val="none"/>
                <w:lang w:val="en-US" w:eastAsia="zh-CN"/>
              </w:rPr>
              <w:t>.</w:t>
            </w:r>
            <w:r>
              <w:rPr>
                <w:rFonts w:hint="default" w:ascii="Times New Roman" w:hAnsi="Times New Roman" w:eastAsia="宋体" w:cs="Times New Roman"/>
                <w:bCs/>
                <w:color w:val="auto"/>
                <w:sz w:val="24"/>
                <w:highlight w:val="none"/>
                <w:lang w:eastAsia="zh-CN"/>
              </w:rPr>
              <w:t>浇铸</w:t>
            </w:r>
            <w:r>
              <w:rPr>
                <w:rFonts w:hint="default" w:ascii="Times New Roman" w:hAnsi="Times New Roman" w:eastAsia="宋体" w:cs="Times New Roman"/>
                <w:bCs/>
                <w:color w:val="auto"/>
                <w:sz w:val="24"/>
                <w:highlight w:val="none"/>
                <w:lang w:val="en-US" w:eastAsia="zh-CN"/>
              </w:rPr>
              <w:t>废气</w:t>
            </w:r>
          </w:p>
          <w:p w14:paraId="6A1442EE">
            <w:pPr>
              <w:adjustRightInd w:val="0"/>
              <w:snapToGrid w:val="0"/>
              <w:spacing w:line="360" w:lineRule="auto"/>
              <w:ind w:firstLine="480" w:firstLineChars="200"/>
              <w:rPr>
                <w:rFonts w:hint="default" w:ascii="Times New Roman" w:hAnsi="Times New Roman" w:eastAsia="宋体" w:cs="Times New Roman"/>
                <w:bCs/>
                <w:color w:val="FF0000"/>
                <w:sz w:val="24"/>
                <w:highlight w:val="none"/>
                <w:lang w:eastAsia="zh-CN"/>
              </w:rPr>
            </w:pPr>
            <w:r>
              <w:rPr>
                <w:rFonts w:hint="default" w:ascii="Times New Roman" w:hAnsi="Times New Roman" w:eastAsia="宋体" w:cs="Times New Roman"/>
                <w:color w:val="auto"/>
                <w:sz w:val="24"/>
                <w:highlight w:val="none"/>
                <w:lang w:val="en-US" w:eastAsia="zh-CN"/>
              </w:rPr>
              <w:t>现有</w:t>
            </w:r>
            <w:r>
              <w:rPr>
                <w:rFonts w:hint="default" w:ascii="Times New Roman" w:hAnsi="Times New Roman" w:eastAsia="宋体" w:cs="Times New Roman"/>
                <w:color w:val="auto"/>
                <w:sz w:val="24"/>
                <w:szCs w:val="24"/>
                <w:highlight w:val="none"/>
              </w:rPr>
              <w:t>项目</w:t>
            </w:r>
            <w:r>
              <w:rPr>
                <w:rFonts w:hint="default" w:ascii="Times New Roman" w:hAnsi="Times New Roman" w:eastAsia="宋体" w:cs="Times New Roman"/>
                <w:color w:val="auto"/>
                <w:sz w:val="24"/>
                <w:szCs w:val="24"/>
                <w:highlight w:val="none"/>
                <w:lang w:val="en-US" w:eastAsia="zh-CN"/>
              </w:rPr>
              <w:t>手工造型区域、</w:t>
            </w:r>
            <w:r>
              <w:rPr>
                <w:rFonts w:hint="default" w:ascii="Times New Roman" w:hAnsi="Times New Roman" w:eastAsia="宋体" w:cs="Times New Roman"/>
                <w:b w:val="0"/>
                <w:bCs w:val="0"/>
                <w:color w:val="auto"/>
                <w:kern w:val="2"/>
                <w:sz w:val="24"/>
                <w:szCs w:val="32"/>
                <w:highlight w:val="none"/>
                <w:lang w:val="en-US" w:eastAsia="zh-CN" w:bidi="ar-SA"/>
              </w:rPr>
              <w:t>浇铸区</w:t>
            </w:r>
            <w:r>
              <w:rPr>
                <w:rFonts w:hint="eastAsia" w:cs="Times New Roman"/>
                <w:b w:val="0"/>
                <w:bCs w:val="0"/>
                <w:color w:val="auto"/>
                <w:kern w:val="2"/>
                <w:sz w:val="24"/>
                <w:szCs w:val="32"/>
                <w:highlight w:val="none"/>
                <w:lang w:val="en-US" w:eastAsia="zh-CN" w:bidi="ar-SA"/>
              </w:rPr>
              <w:t>废气无组织排放</w:t>
            </w:r>
            <w:r>
              <w:rPr>
                <w:rFonts w:hint="default" w:ascii="Times New Roman" w:hAnsi="Times New Roman" w:eastAsia="宋体" w:cs="Times New Roman"/>
                <w:bCs/>
                <w:color w:val="FF0000"/>
                <w:sz w:val="24"/>
                <w:highlight w:val="none"/>
                <w:lang w:eastAsia="zh-CN"/>
              </w:rPr>
              <w:t>。</w:t>
            </w:r>
          </w:p>
          <w:p w14:paraId="7EC94F4E">
            <w:pPr>
              <w:adjustRightInd w:val="0"/>
              <w:snapToGrid w:val="0"/>
              <w:spacing w:line="360" w:lineRule="auto"/>
              <w:ind w:firstLine="480" w:firstLineChars="200"/>
              <w:rPr>
                <w:rFonts w:hint="default" w:ascii="Times New Roman" w:hAnsi="Times New Roman" w:eastAsia="宋体" w:cs="Times New Roman"/>
                <w:b w:val="0"/>
                <w:bCs w:val="0"/>
                <w:color w:val="auto"/>
                <w:kern w:val="2"/>
                <w:sz w:val="24"/>
                <w:szCs w:val="32"/>
                <w:highlight w:val="none"/>
                <w:lang w:val="en-US" w:eastAsia="zh-CN" w:bidi="ar-SA"/>
              </w:rPr>
            </w:pPr>
            <w:r>
              <w:rPr>
                <w:rFonts w:hint="default" w:ascii="Times New Roman" w:hAnsi="Times New Roman" w:eastAsia="宋体" w:cs="Times New Roman"/>
                <w:b w:val="0"/>
                <w:bCs w:val="0"/>
                <w:color w:val="auto"/>
                <w:kern w:val="2"/>
                <w:sz w:val="24"/>
                <w:szCs w:val="32"/>
                <w:highlight w:val="none"/>
                <w:lang w:val="en-US" w:eastAsia="zh-CN" w:bidi="ar-SA"/>
              </w:rPr>
              <w:t>C</w:t>
            </w:r>
            <w:r>
              <w:rPr>
                <w:rFonts w:hint="eastAsia" w:cs="Times New Roman"/>
                <w:b w:val="0"/>
                <w:bCs w:val="0"/>
                <w:color w:val="auto"/>
                <w:kern w:val="2"/>
                <w:sz w:val="24"/>
                <w:szCs w:val="32"/>
                <w:highlight w:val="none"/>
                <w:lang w:val="en-US" w:eastAsia="zh-CN" w:bidi="ar-SA"/>
              </w:rPr>
              <w:t>.制芯废气</w:t>
            </w:r>
          </w:p>
          <w:p w14:paraId="3AB519B1">
            <w:pPr>
              <w:adjustRightInd w:val="0"/>
              <w:snapToGrid w:val="0"/>
              <w:spacing w:line="360" w:lineRule="auto"/>
              <w:ind w:firstLine="480" w:firstLineChars="200"/>
              <w:rPr>
                <w:rFonts w:hint="default" w:ascii="Times New Roman" w:hAnsi="Times New Roman" w:cs="Times New Roman"/>
                <w:color w:val="FF0000"/>
                <w:sz w:val="24"/>
                <w:highlight w:val="none"/>
              </w:rPr>
            </w:pPr>
            <w:r>
              <w:rPr>
                <w:rFonts w:hint="eastAsia" w:ascii="Times New Roman" w:hAnsi="Times New Roman" w:cs="Times New Roman"/>
                <w:color w:val="auto"/>
                <w:sz w:val="24"/>
                <w:highlight w:val="none"/>
                <w:lang w:val="en-US" w:eastAsia="zh-CN"/>
              </w:rPr>
              <w:t>现有</w:t>
            </w:r>
            <w:r>
              <w:rPr>
                <w:rFonts w:hint="default" w:ascii="Times New Roman" w:hAnsi="Times New Roman" w:eastAsia="宋体" w:cs="Times New Roman"/>
                <w:color w:val="auto"/>
                <w:sz w:val="24"/>
                <w:szCs w:val="24"/>
                <w:highlight w:val="none"/>
              </w:rPr>
              <w:t>项目</w:t>
            </w:r>
            <w:r>
              <w:rPr>
                <w:rFonts w:hint="eastAsia" w:ascii="Times New Roman" w:hAnsi="Times New Roman" w:eastAsia="宋体" w:cs="Times New Roman"/>
                <w:color w:val="auto"/>
                <w:sz w:val="24"/>
                <w:highlight w:val="none"/>
                <w:lang w:val="en-US" w:eastAsia="zh-CN"/>
              </w:rPr>
              <w:t>1号厂房</w:t>
            </w:r>
            <w:r>
              <w:rPr>
                <w:rFonts w:hint="default" w:ascii="Times New Roman" w:hAnsi="Times New Roman" w:cs="Times New Roman"/>
                <w:color w:val="auto"/>
                <w:sz w:val="24"/>
                <w:szCs w:val="32"/>
                <w:highlight w:val="none"/>
                <w:lang w:val="en-US" w:eastAsia="zh-CN"/>
              </w:rPr>
              <w:t>制芯</w:t>
            </w:r>
            <w:r>
              <w:rPr>
                <w:rFonts w:hint="default" w:ascii="Times New Roman" w:hAnsi="Times New Roman" w:eastAsia="宋体" w:cs="Times New Roman"/>
                <w:color w:val="auto"/>
                <w:sz w:val="24"/>
                <w:szCs w:val="32"/>
                <w:highlight w:val="none"/>
                <w:lang w:val="en-US" w:eastAsia="zh-CN"/>
              </w:rPr>
              <w:t>过程中会产生一定量的粉尘</w:t>
            </w:r>
            <w:r>
              <w:rPr>
                <w:rFonts w:hint="eastAsia" w:ascii="Times New Roman" w:hAnsi="Times New Roman" w:eastAsia="宋体" w:cs="Times New Roman"/>
                <w:color w:val="auto"/>
                <w:sz w:val="24"/>
                <w:szCs w:val="32"/>
                <w:highlight w:val="none"/>
                <w:lang w:val="en-US" w:eastAsia="zh-CN"/>
              </w:rPr>
              <w:t>和有机废气，</w:t>
            </w:r>
            <w:r>
              <w:rPr>
                <w:rFonts w:hint="eastAsia" w:cs="Times New Roman"/>
                <w:color w:val="auto"/>
                <w:sz w:val="24"/>
                <w:szCs w:val="32"/>
                <w:highlight w:val="none"/>
                <w:lang w:val="en-US" w:eastAsia="zh-CN"/>
              </w:rPr>
              <w:t>无组织排放</w:t>
            </w:r>
            <w:r>
              <w:rPr>
                <w:rFonts w:hint="eastAsia" w:ascii="Times New Roman" w:hAnsi="Times New Roman" w:cs="Times New Roman"/>
                <w:b w:val="0"/>
                <w:bCs w:val="0"/>
                <w:color w:val="FF0000"/>
                <w:kern w:val="2"/>
                <w:sz w:val="24"/>
                <w:szCs w:val="32"/>
                <w:highlight w:val="none"/>
                <w:lang w:val="en-US" w:eastAsia="zh-CN" w:bidi="ar-SA"/>
              </w:rPr>
              <w:t>。</w:t>
            </w:r>
          </w:p>
          <w:p w14:paraId="497AC358">
            <w:pPr>
              <w:adjustRightInd w:val="0"/>
              <w:snapToGrid w:val="0"/>
              <w:spacing w:line="360" w:lineRule="auto"/>
              <w:ind w:firstLine="480" w:firstLineChars="200"/>
              <w:jc w:val="left"/>
              <w:rPr>
                <w:rFonts w:hint="default" w:ascii="Times New Roman" w:hAnsi="Times New Roman" w:eastAsia="宋体" w:cs="Times New Roman"/>
                <w:b w:val="0"/>
                <w:bCs w:val="0"/>
                <w:color w:val="auto"/>
                <w:kern w:val="2"/>
                <w:sz w:val="24"/>
                <w:szCs w:val="32"/>
                <w:highlight w:val="none"/>
                <w:lang w:val="en-US" w:eastAsia="zh-CN" w:bidi="ar-SA"/>
              </w:rPr>
            </w:pPr>
            <w:r>
              <w:rPr>
                <w:rFonts w:hint="eastAsia" w:cs="Times New Roman"/>
                <w:b w:val="0"/>
                <w:bCs w:val="0"/>
                <w:color w:val="auto"/>
                <w:kern w:val="2"/>
                <w:sz w:val="24"/>
                <w:szCs w:val="32"/>
                <w:highlight w:val="none"/>
                <w:lang w:val="en-US" w:eastAsia="zh-CN" w:bidi="ar-SA"/>
              </w:rPr>
              <w:t>D.</w:t>
            </w:r>
            <w:r>
              <w:rPr>
                <w:rFonts w:hint="default" w:ascii="Times New Roman" w:hAnsi="Times New Roman" w:eastAsia="宋体" w:cs="Times New Roman"/>
                <w:b w:val="0"/>
                <w:bCs w:val="0"/>
                <w:color w:val="auto"/>
                <w:kern w:val="2"/>
                <w:sz w:val="24"/>
                <w:szCs w:val="32"/>
                <w:highlight w:val="none"/>
                <w:lang w:val="en-US" w:eastAsia="zh-CN" w:bidi="ar-SA"/>
              </w:rPr>
              <w:t>砂处理、抛丸废气</w:t>
            </w:r>
          </w:p>
          <w:p w14:paraId="407D2F92">
            <w:pPr>
              <w:adjustRightInd w:val="0"/>
              <w:snapToGrid w:val="0"/>
              <w:spacing w:line="360" w:lineRule="auto"/>
              <w:ind w:firstLine="480" w:firstLineChars="200"/>
              <w:jc w:val="left"/>
              <w:rPr>
                <w:rFonts w:hint="default" w:ascii="Times New Roman" w:hAnsi="Times New Roman" w:eastAsia="宋体" w:cs="Times New Roman"/>
                <w:b w:val="0"/>
                <w:bCs w:val="0"/>
                <w:color w:val="auto"/>
                <w:kern w:val="2"/>
                <w:sz w:val="24"/>
                <w:szCs w:val="32"/>
                <w:highlight w:val="none"/>
                <w:lang w:val="en-US" w:eastAsia="zh-CN" w:bidi="ar-SA"/>
              </w:rPr>
            </w:pPr>
            <w:r>
              <w:rPr>
                <w:rFonts w:hint="eastAsia" w:ascii="Times New Roman" w:hAnsi="Times New Roman" w:cs="Times New Roman"/>
                <w:color w:val="auto"/>
                <w:sz w:val="24"/>
                <w:highlight w:val="none"/>
                <w:lang w:val="en-US" w:eastAsia="zh-CN"/>
              </w:rPr>
              <w:t>现有</w:t>
            </w:r>
            <w:r>
              <w:rPr>
                <w:rFonts w:hint="default" w:ascii="Times New Roman" w:hAnsi="Times New Roman" w:eastAsia="宋体" w:cs="Times New Roman"/>
                <w:b w:val="0"/>
                <w:bCs w:val="0"/>
                <w:color w:val="auto"/>
                <w:kern w:val="2"/>
                <w:sz w:val="24"/>
                <w:szCs w:val="32"/>
                <w:highlight w:val="none"/>
                <w:lang w:val="en-US" w:eastAsia="zh-CN" w:bidi="ar-SA"/>
              </w:rPr>
              <w:t>项目采用型砂，可重复利用，粉尘产生量较少，铸件落砂后的旧砂，经砂循环系统处理后回用</w:t>
            </w:r>
            <w:r>
              <w:rPr>
                <w:rFonts w:hint="eastAsia" w:ascii="Times New Roman" w:hAnsi="Times New Roman" w:eastAsia="宋体" w:cs="Times New Roman"/>
                <w:b w:val="0"/>
                <w:bCs w:val="0"/>
                <w:color w:val="auto"/>
                <w:kern w:val="2"/>
                <w:sz w:val="24"/>
                <w:szCs w:val="32"/>
                <w:highlight w:val="none"/>
                <w:lang w:val="en-US" w:eastAsia="zh-CN" w:bidi="ar-SA"/>
              </w:rPr>
              <w:t>，</w:t>
            </w:r>
            <w:r>
              <w:rPr>
                <w:rFonts w:hint="default" w:ascii="Times New Roman" w:hAnsi="Times New Roman" w:eastAsia="宋体" w:cs="Times New Roman"/>
                <w:b w:val="0"/>
                <w:bCs w:val="0"/>
                <w:color w:val="auto"/>
                <w:kern w:val="2"/>
                <w:sz w:val="24"/>
                <w:szCs w:val="32"/>
                <w:highlight w:val="none"/>
                <w:lang w:val="en-US" w:eastAsia="zh-CN" w:bidi="ar-SA"/>
              </w:rPr>
              <w:t>浇铸成型的铸铁配件落砂后，需要将</w:t>
            </w:r>
            <w:r>
              <w:rPr>
                <w:rFonts w:hint="eastAsia" w:cs="Times New Roman"/>
                <w:b w:val="0"/>
                <w:bCs w:val="0"/>
                <w:color w:val="auto"/>
                <w:kern w:val="2"/>
                <w:sz w:val="24"/>
                <w:szCs w:val="32"/>
                <w:highlight w:val="none"/>
                <w:lang w:val="en-US" w:eastAsia="zh-CN" w:bidi="ar-SA"/>
              </w:rPr>
              <w:t>表面</w:t>
            </w:r>
            <w:r>
              <w:rPr>
                <w:rFonts w:hint="default" w:ascii="Times New Roman" w:hAnsi="Times New Roman" w:eastAsia="宋体" w:cs="Times New Roman"/>
                <w:b w:val="0"/>
                <w:bCs w:val="0"/>
                <w:color w:val="auto"/>
                <w:kern w:val="2"/>
                <w:sz w:val="24"/>
                <w:szCs w:val="32"/>
                <w:highlight w:val="none"/>
                <w:lang w:val="en-US" w:eastAsia="zh-CN" w:bidi="ar-SA"/>
              </w:rPr>
              <w:t>残留的砂质进行清理，</w:t>
            </w:r>
            <w:r>
              <w:rPr>
                <w:rFonts w:hint="eastAsia" w:ascii="Times New Roman" w:hAnsi="Times New Roman" w:cs="Times New Roman"/>
                <w:color w:val="auto"/>
                <w:sz w:val="24"/>
                <w:highlight w:val="none"/>
                <w:lang w:val="en-US" w:eastAsia="zh-CN"/>
              </w:rPr>
              <w:t>现有</w:t>
            </w:r>
            <w:r>
              <w:rPr>
                <w:rFonts w:hint="default" w:ascii="Times New Roman" w:hAnsi="Times New Roman" w:eastAsia="宋体" w:cs="Times New Roman"/>
                <w:b w:val="0"/>
                <w:bCs w:val="0"/>
                <w:color w:val="auto"/>
                <w:kern w:val="2"/>
                <w:sz w:val="24"/>
                <w:szCs w:val="32"/>
                <w:highlight w:val="none"/>
                <w:lang w:val="en-US" w:eastAsia="zh-CN" w:bidi="ar-SA"/>
              </w:rPr>
              <w:t>项目采用抛丸机处理</w:t>
            </w:r>
            <w:r>
              <w:rPr>
                <w:rFonts w:hint="eastAsia" w:ascii="Times New Roman" w:hAnsi="Times New Roman" w:eastAsia="宋体" w:cs="Times New Roman"/>
                <w:b w:val="0"/>
                <w:bCs w:val="0"/>
                <w:color w:val="auto"/>
                <w:kern w:val="2"/>
                <w:sz w:val="24"/>
                <w:szCs w:val="32"/>
                <w:highlight w:val="none"/>
                <w:lang w:val="en-US" w:eastAsia="zh-CN" w:bidi="ar-SA"/>
              </w:rPr>
              <w:t>，砂处理工序废气经吸风收集后引入一套布袋除尘器装置</w:t>
            </w:r>
            <w:r>
              <w:rPr>
                <w:rFonts w:hint="eastAsia" w:cs="Times New Roman"/>
                <w:b w:val="0"/>
                <w:bCs w:val="0"/>
                <w:color w:val="auto"/>
                <w:kern w:val="2"/>
                <w:sz w:val="24"/>
                <w:szCs w:val="32"/>
                <w:highlight w:val="none"/>
                <w:lang w:val="en-US" w:eastAsia="zh-CN" w:bidi="ar-SA"/>
              </w:rPr>
              <w:t>（TA002）</w:t>
            </w:r>
            <w:r>
              <w:rPr>
                <w:rFonts w:hint="eastAsia" w:ascii="Times New Roman" w:hAnsi="Times New Roman" w:eastAsia="宋体" w:cs="Times New Roman"/>
                <w:b w:val="0"/>
                <w:bCs w:val="0"/>
                <w:color w:val="auto"/>
                <w:kern w:val="2"/>
                <w:sz w:val="24"/>
                <w:szCs w:val="32"/>
                <w:highlight w:val="none"/>
                <w:lang w:val="en-US" w:eastAsia="zh-CN" w:bidi="ar-SA"/>
              </w:rPr>
              <w:t>处理，处理后由</w:t>
            </w:r>
            <w:r>
              <w:rPr>
                <w:rFonts w:hint="default" w:ascii="Times New Roman" w:hAnsi="Times New Roman" w:eastAsia="宋体" w:cs="Times New Roman"/>
                <w:b w:val="0"/>
                <w:bCs w:val="0"/>
                <w:color w:val="auto"/>
                <w:kern w:val="2"/>
                <w:sz w:val="24"/>
                <w:szCs w:val="32"/>
                <w:highlight w:val="none"/>
                <w:lang w:val="en-US" w:eastAsia="zh-CN" w:bidi="ar-SA"/>
              </w:rPr>
              <w:t>1根15m高的排气筒（DA00</w:t>
            </w:r>
            <w:r>
              <w:rPr>
                <w:rFonts w:hint="eastAsia" w:ascii="Times New Roman" w:hAnsi="Times New Roman" w:eastAsia="宋体" w:cs="Times New Roman"/>
                <w:b w:val="0"/>
                <w:bCs w:val="0"/>
                <w:color w:val="auto"/>
                <w:kern w:val="2"/>
                <w:sz w:val="24"/>
                <w:szCs w:val="32"/>
                <w:highlight w:val="none"/>
                <w:lang w:val="en-US" w:eastAsia="zh-CN" w:bidi="ar-SA"/>
              </w:rPr>
              <w:t>2</w:t>
            </w:r>
            <w:r>
              <w:rPr>
                <w:rFonts w:hint="default" w:ascii="Times New Roman" w:hAnsi="Times New Roman" w:eastAsia="宋体" w:cs="Times New Roman"/>
                <w:b w:val="0"/>
                <w:bCs w:val="0"/>
                <w:color w:val="auto"/>
                <w:kern w:val="2"/>
                <w:sz w:val="24"/>
                <w:szCs w:val="32"/>
                <w:highlight w:val="none"/>
                <w:lang w:val="en-US" w:eastAsia="zh-CN" w:bidi="ar-SA"/>
              </w:rPr>
              <w:t>）排放</w:t>
            </w:r>
            <w:r>
              <w:rPr>
                <w:rFonts w:hint="eastAsia" w:ascii="Times New Roman" w:hAnsi="Times New Roman" w:eastAsia="宋体" w:cs="Times New Roman"/>
                <w:b w:val="0"/>
                <w:bCs w:val="0"/>
                <w:color w:val="auto"/>
                <w:kern w:val="2"/>
                <w:sz w:val="24"/>
                <w:szCs w:val="32"/>
                <w:highlight w:val="none"/>
                <w:lang w:val="en-US" w:eastAsia="zh-CN" w:bidi="ar-SA"/>
              </w:rPr>
              <w:t>，</w:t>
            </w:r>
            <w:r>
              <w:rPr>
                <w:rFonts w:hint="eastAsia" w:cs="Times New Roman"/>
                <w:b w:val="0"/>
                <w:bCs w:val="0"/>
                <w:color w:val="auto"/>
                <w:sz w:val="24"/>
                <w:szCs w:val="32"/>
                <w:highlight w:val="none"/>
                <w:lang w:val="en-US" w:eastAsia="zh-CN"/>
              </w:rPr>
              <w:t>1号厂房</w:t>
            </w:r>
            <w:r>
              <w:rPr>
                <w:rFonts w:hint="eastAsia" w:ascii="Times New Roman" w:hAnsi="Times New Roman" w:eastAsia="宋体" w:cs="Times New Roman"/>
                <w:b w:val="0"/>
                <w:bCs w:val="0"/>
                <w:color w:val="auto"/>
                <w:kern w:val="2"/>
                <w:sz w:val="24"/>
                <w:szCs w:val="32"/>
                <w:highlight w:val="none"/>
                <w:lang w:val="en-US" w:eastAsia="zh-CN" w:bidi="ar-SA"/>
              </w:rPr>
              <w:t>设2台抛丸机，抛丸机自带布袋除尘器</w:t>
            </w:r>
            <w:r>
              <w:rPr>
                <w:rFonts w:hint="eastAsia" w:cs="Times New Roman"/>
                <w:b w:val="0"/>
                <w:bCs w:val="0"/>
                <w:color w:val="auto"/>
                <w:kern w:val="2"/>
                <w:sz w:val="24"/>
                <w:szCs w:val="32"/>
                <w:highlight w:val="none"/>
                <w:lang w:val="en-US" w:eastAsia="zh-CN" w:bidi="ar-SA"/>
              </w:rPr>
              <w:t>（TA003）</w:t>
            </w:r>
            <w:r>
              <w:rPr>
                <w:rFonts w:hint="eastAsia" w:ascii="Times New Roman" w:hAnsi="Times New Roman" w:eastAsia="宋体" w:cs="Times New Roman"/>
                <w:b w:val="0"/>
                <w:bCs w:val="0"/>
                <w:color w:val="auto"/>
                <w:kern w:val="2"/>
                <w:sz w:val="24"/>
                <w:szCs w:val="32"/>
                <w:highlight w:val="none"/>
                <w:lang w:val="en-US" w:eastAsia="zh-CN" w:bidi="ar-SA"/>
              </w:rPr>
              <w:t>处理，处理后由</w:t>
            </w:r>
            <w:r>
              <w:rPr>
                <w:rFonts w:hint="default" w:ascii="Times New Roman" w:hAnsi="Times New Roman" w:eastAsia="宋体" w:cs="Times New Roman"/>
                <w:b w:val="0"/>
                <w:bCs w:val="0"/>
                <w:color w:val="auto"/>
                <w:kern w:val="2"/>
                <w:sz w:val="24"/>
                <w:szCs w:val="32"/>
                <w:highlight w:val="none"/>
                <w:lang w:val="en-US" w:eastAsia="zh-CN" w:bidi="ar-SA"/>
              </w:rPr>
              <w:t>1根15m高的排气筒（DA00</w:t>
            </w:r>
            <w:r>
              <w:rPr>
                <w:rFonts w:hint="eastAsia" w:ascii="Times New Roman" w:hAnsi="Times New Roman" w:eastAsia="宋体" w:cs="Times New Roman"/>
                <w:b w:val="0"/>
                <w:bCs w:val="0"/>
                <w:color w:val="auto"/>
                <w:kern w:val="2"/>
                <w:sz w:val="24"/>
                <w:szCs w:val="32"/>
                <w:highlight w:val="none"/>
                <w:lang w:val="en-US" w:eastAsia="zh-CN" w:bidi="ar-SA"/>
              </w:rPr>
              <w:t>3</w:t>
            </w:r>
            <w:r>
              <w:rPr>
                <w:rFonts w:hint="default" w:ascii="Times New Roman" w:hAnsi="Times New Roman" w:eastAsia="宋体" w:cs="Times New Roman"/>
                <w:b w:val="0"/>
                <w:bCs w:val="0"/>
                <w:color w:val="auto"/>
                <w:kern w:val="2"/>
                <w:sz w:val="24"/>
                <w:szCs w:val="32"/>
                <w:highlight w:val="none"/>
                <w:lang w:val="en-US" w:eastAsia="zh-CN" w:bidi="ar-SA"/>
              </w:rPr>
              <w:t>）排放</w:t>
            </w:r>
            <w:r>
              <w:rPr>
                <w:rFonts w:hint="eastAsia" w:ascii="Times New Roman" w:hAnsi="Times New Roman" w:eastAsia="宋体" w:cs="Times New Roman"/>
                <w:b w:val="0"/>
                <w:bCs w:val="0"/>
                <w:color w:val="auto"/>
                <w:kern w:val="2"/>
                <w:sz w:val="24"/>
                <w:szCs w:val="32"/>
                <w:highlight w:val="none"/>
                <w:lang w:val="en-US" w:eastAsia="zh-CN" w:bidi="ar-SA"/>
              </w:rPr>
              <w:t>。</w:t>
            </w:r>
          </w:p>
          <w:p w14:paraId="734000D6">
            <w:pPr>
              <w:adjustRightInd w:val="0"/>
              <w:snapToGrid w:val="0"/>
              <w:spacing w:line="360" w:lineRule="auto"/>
              <w:ind w:firstLine="480" w:firstLineChars="200"/>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w:t>
            </w:r>
            <w:r>
              <w:rPr>
                <w:rFonts w:hint="eastAsia" w:ascii="Times New Roman" w:hAnsi="Times New Roman" w:eastAsia="宋体" w:cs="Times New Roman"/>
                <w:bCs/>
                <w:color w:val="auto"/>
                <w:sz w:val="24"/>
                <w:highlight w:val="none"/>
                <w:lang w:val="en-US" w:eastAsia="zh-CN"/>
              </w:rPr>
              <w:t>现有项目废气治理措施达标情况</w:t>
            </w:r>
          </w:p>
          <w:p w14:paraId="69F1816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eastAsia="宋体" w:cs="Times New Roman"/>
                <w:bCs/>
                <w:color w:val="auto"/>
                <w:sz w:val="24"/>
                <w:highlight w:val="none"/>
                <w:lang w:val="en-US" w:eastAsia="zh-CN"/>
              </w:rPr>
              <w:t>根据</w:t>
            </w:r>
            <w:r>
              <w:rPr>
                <w:rFonts w:hint="default" w:ascii="Times New Roman" w:hAnsi="Times New Roman" w:cs="Times New Roman"/>
                <w:color w:val="auto"/>
                <w:sz w:val="24"/>
                <w:szCs w:val="24"/>
                <w:highlight w:val="none"/>
                <w:lang w:val="en-US" w:eastAsia="zh-CN"/>
              </w:rPr>
              <w:t>20</w:t>
            </w:r>
            <w:r>
              <w:rPr>
                <w:rFonts w:hint="eastAsia" w:cs="Times New Roman"/>
                <w:color w:val="auto"/>
                <w:sz w:val="24"/>
                <w:szCs w:val="24"/>
                <w:highlight w:val="none"/>
                <w:lang w:val="en-US" w:eastAsia="zh-CN"/>
              </w:rPr>
              <w:t>18</w:t>
            </w:r>
            <w:r>
              <w:rPr>
                <w:rFonts w:hint="default" w:ascii="Times New Roman" w:hAnsi="Times New Roman" w:cs="Times New Roman"/>
                <w:color w:val="auto"/>
                <w:sz w:val="24"/>
                <w:szCs w:val="24"/>
                <w:highlight w:val="none"/>
                <w:lang w:val="en-US" w:eastAsia="zh-CN"/>
              </w:rPr>
              <w:t>年</w:t>
            </w:r>
            <w:r>
              <w:rPr>
                <w:rFonts w:hint="eastAsia" w:ascii="Times New Roman" w:hAnsi="Times New Roman" w:cs="Times New Roman"/>
                <w:color w:val="auto"/>
                <w:sz w:val="24"/>
                <w:szCs w:val="24"/>
                <w:highlight w:val="none"/>
                <w:lang w:val="en-US" w:eastAsia="zh-CN"/>
              </w:rPr>
              <w:t>1</w:t>
            </w:r>
            <w:r>
              <w:rPr>
                <w:rFonts w:hint="eastAsia"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月</w:t>
            </w:r>
            <w:r>
              <w:rPr>
                <w:rFonts w:hint="eastAsia" w:ascii="Times New Roman" w:hAnsi="Times New Roman" w:cs="Times New Roman"/>
                <w:color w:val="auto"/>
                <w:sz w:val="24"/>
                <w:szCs w:val="24"/>
                <w:highlight w:val="none"/>
                <w:lang w:val="en-US" w:eastAsia="zh-CN"/>
              </w:rPr>
              <w:t>《年产1万吨铸铁配件项目竣工环境保护验收监测报告表</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AHLJYS2018-080</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》中的</w:t>
            </w:r>
            <w:r>
              <w:rPr>
                <w:rFonts w:hint="default" w:ascii="Times New Roman" w:hAnsi="Times New Roman" w:cs="Times New Roman"/>
                <w:color w:val="auto"/>
                <w:sz w:val="24"/>
                <w:szCs w:val="24"/>
                <w:highlight w:val="none"/>
                <w:lang w:val="en-US" w:eastAsia="zh-CN"/>
              </w:rPr>
              <w:t>监测</w:t>
            </w:r>
            <w:r>
              <w:rPr>
                <w:rFonts w:hint="eastAsia" w:ascii="Times New Roman" w:hAnsi="Times New Roman" w:cs="Times New Roman"/>
                <w:color w:val="auto"/>
                <w:sz w:val="24"/>
                <w:szCs w:val="24"/>
                <w:highlight w:val="none"/>
                <w:lang w:val="en-US" w:eastAsia="zh-CN"/>
              </w:rPr>
              <w:t>结果</w:t>
            </w:r>
            <w:r>
              <w:rPr>
                <w:rFonts w:hint="default" w:ascii="Times New Roman" w:hAnsi="Times New Roman" w:cs="Times New Roman"/>
                <w:color w:val="auto"/>
                <w:sz w:val="24"/>
                <w:szCs w:val="24"/>
                <w:highlight w:val="none"/>
                <w:lang w:val="en-US" w:eastAsia="zh-CN"/>
              </w:rPr>
              <w:t>可知</w:t>
            </w:r>
            <w:r>
              <w:rPr>
                <w:rFonts w:hint="eastAsia" w:ascii="Times New Roman" w:hAnsi="Times New Roman" w:cs="Times New Roman"/>
                <w:color w:val="auto"/>
                <w:sz w:val="24"/>
                <w:szCs w:val="24"/>
                <w:highlight w:val="none"/>
                <w:lang w:val="en-US" w:eastAsia="zh-CN"/>
              </w:rPr>
              <w:t>，现有项目验收监测期间：</w:t>
            </w:r>
          </w:p>
          <w:p w14:paraId="3EB964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64" w:firstLineChars="200"/>
              <w:jc w:val="both"/>
              <w:textAlignment w:val="auto"/>
              <w:rPr>
                <w:rFonts w:hint="default" w:ascii="Times New Roman" w:hAnsi="Times New Roman" w:eastAsia="宋体" w:cs="Times New Roman"/>
                <w:color w:val="auto"/>
                <w:spacing w:val="-4"/>
                <w:sz w:val="24"/>
                <w:highlight w:val="yellow"/>
                <w:lang w:val="en-US" w:eastAsia="zh-CN"/>
              </w:rPr>
            </w:pPr>
            <w:r>
              <w:rPr>
                <w:rFonts w:hint="eastAsia" w:ascii="Times New Roman" w:hAnsi="Times New Roman" w:eastAsia="宋体" w:cs="Times New Roman"/>
                <w:color w:val="auto"/>
                <w:spacing w:val="-4"/>
                <w:sz w:val="24"/>
                <w:highlight w:val="none"/>
                <w:lang w:val="en-US" w:eastAsia="zh-CN"/>
              </w:rPr>
              <w:t>A</w:t>
            </w:r>
            <w:r>
              <w:rPr>
                <w:rFonts w:hint="eastAsia" w:cs="Times New Roman"/>
                <w:color w:val="auto"/>
                <w:spacing w:val="-4"/>
                <w:sz w:val="24"/>
                <w:highlight w:val="none"/>
                <w:lang w:val="en-US" w:eastAsia="zh-CN"/>
              </w:rPr>
              <w:t>.</w:t>
            </w:r>
            <w:r>
              <w:rPr>
                <w:rFonts w:hint="default" w:ascii="Times New Roman" w:hAnsi="Times New Roman" w:eastAsia="宋体" w:cs="Times New Roman"/>
                <w:color w:val="auto"/>
                <w:spacing w:val="-4"/>
                <w:sz w:val="24"/>
                <w:highlight w:val="none"/>
                <w:lang w:val="en-US" w:eastAsia="zh-CN"/>
              </w:rPr>
              <w:t>中频炉产生的熔化废气收集后经高温布袋除尘</w:t>
            </w:r>
            <w:r>
              <w:rPr>
                <w:rFonts w:hint="eastAsia" w:cs="Times New Roman"/>
                <w:color w:val="auto"/>
                <w:spacing w:val="-4"/>
                <w:sz w:val="24"/>
                <w:highlight w:val="none"/>
                <w:lang w:val="en-US" w:eastAsia="zh-CN"/>
              </w:rPr>
              <w:t>器（TA001）</w:t>
            </w:r>
            <w:r>
              <w:rPr>
                <w:rFonts w:hint="default" w:ascii="Times New Roman" w:hAnsi="Times New Roman" w:eastAsia="宋体" w:cs="Times New Roman"/>
                <w:color w:val="auto"/>
                <w:spacing w:val="-4"/>
                <w:sz w:val="24"/>
                <w:highlight w:val="none"/>
                <w:lang w:val="en-US" w:eastAsia="zh-CN"/>
              </w:rPr>
              <w:t>处理后，</w:t>
            </w:r>
            <w:r>
              <w:rPr>
                <w:rFonts w:hint="eastAsia" w:ascii="Times New Roman" w:hAnsi="Times New Roman" w:eastAsia="宋体" w:cs="Times New Roman"/>
                <w:color w:val="auto"/>
                <w:spacing w:val="-4"/>
                <w:sz w:val="24"/>
                <w:highlight w:val="none"/>
                <w:lang w:val="en-US" w:eastAsia="zh-CN"/>
              </w:rPr>
              <w:t>DA001</w:t>
            </w:r>
            <w:r>
              <w:rPr>
                <w:rFonts w:hint="default" w:ascii="Times New Roman" w:hAnsi="Times New Roman" w:eastAsia="宋体" w:cs="Times New Roman"/>
                <w:color w:val="auto"/>
                <w:spacing w:val="-4"/>
                <w:sz w:val="24"/>
                <w:highlight w:val="none"/>
                <w:lang w:val="en-US" w:eastAsia="zh-CN"/>
              </w:rPr>
              <w:t>颗粒物最大排放浓度为</w:t>
            </w:r>
            <w:r>
              <w:rPr>
                <w:rFonts w:hint="eastAsia" w:cs="Times New Roman"/>
                <w:color w:val="auto"/>
                <w:spacing w:val="-4"/>
                <w:sz w:val="24"/>
                <w:highlight w:val="none"/>
                <w:lang w:val="en-US" w:eastAsia="zh-CN"/>
              </w:rPr>
              <w:t>22.8</w:t>
            </w:r>
            <w:r>
              <w:rPr>
                <w:rFonts w:hint="default" w:ascii="Times New Roman" w:hAnsi="Times New Roman" w:eastAsia="宋体" w:cs="Times New Roman"/>
                <w:color w:val="auto"/>
                <w:spacing w:val="-4"/>
                <w:sz w:val="24"/>
                <w:highlight w:val="none"/>
                <w:lang w:val="en-US" w:eastAsia="zh-CN"/>
              </w:rPr>
              <w:t>mg/m</w:t>
            </w:r>
            <w:r>
              <w:rPr>
                <w:rFonts w:hint="default" w:ascii="Times New Roman" w:hAnsi="Times New Roman" w:eastAsia="宋体" w:cs="Times New Roman"/>
                <w:color w:val="auto"/>
                <w:spacing w:val="-4"/>
                <w:sz w:val="24"/>
                <w:highlight w:val="none"/>
                <w:vertAlign w:val="superscript"/>
                <w:lang w:val="en-US" w:eastAsia="zh-CN"/>
              </w:rPr>
              <w:t>3</w:t>
            </w:r>
            <w:r>
              <w:rPr>
                <w:rFonts w:hint="default" w:ascii="Times New Roman" w:hAnsi="Times New Roman" w:eastAsia="宋体" w:cs="Times New Roman"/>
                <w:color w:val="auto"/>
                <w:spacing w:val="-4"/>
                <w:sz w:val="24"/>
                <w:highlight w:val="none"/>
                <w:lang w:val="en-US" w:eastAsia="zh-CN"/>
              </w:rPr>
              <w:t>，满足《铸造工业大气污染物排放标准》</w:t>
            </w:r>
            <w:r>
              <w:rPr>
                <w:rFonts w:hint="eastAsia" w:ascii="Times New Roman" w:hAnsi="Times New Roman" w:eastAsia="宋体" w:cs="Times New Roman"/>
                <w:color w:val="auto"/>
                <w:spacing w:val="-4"/>
                <w:sz w:val="24"/>
                <w:highlight w:val="none"/>
                <w:lang w:val="en-US" w:eastAsia="zh-CN"/>
              </w:rPr>
              <w:t>（</w:t>
            </w:r>
            <w:r>
              <w:rPr>
                <w:rFonts w:hint="default" w:ascii="Times New Roman" w:hAnsi="Times New Roman" w:eastAsia="宋体" w:cs="Times New Roman"/>
                <w:color w:val="auto"/>
                <w:spacing w:val="-4"/>
                <w:sz w:val="24"/>
                <w:highlight w:val="none"/>
                <w:lang w:val="en-US" w:eastAsia="zh-CN"/>
              </w:rPr>
              <w:t>GB</w:t>
            </w:r>
            <w:r>
              <w:rPr>
                <w:rFonts w:hint="eastAsia" w:ascii="Times New Roman" w:hAnsi="Times New Roman" w:eastAsia="宋体" w:cs="Times New Roman"/>
                <w:color w:val="auto"/>
                <w:spacing w:val="-4"/>
                <w:sz w:val="24"/>
                <w:highlight w:val="none"/>
                <w:lang w:val="en-US" w:eastAsia="zh-CN"/>
              </w:rPr>
              <w:t xml:space="preserve"> </w:t>
            </w:r>
            <w:r>
              <w:rPr>
                <w:rFonts w:hint="default" w:ascii="Times New Roman" w:hAnsi="Times New Roman" w:eastAsia="宋体" w:cs="Times New Roman"/>
                <w:color w:val="auto"/>
                <w:spacing w:val="-4"/>
                <w:sz w:val="24"/>
                <w:highlight w:val="none"/>
                <w:lang w:val="en-US" w:eastAsia="zh-CN"/>
              </w:rPr>
              <w:t>39726-2020）表1大气污染物排放限值</w:t>
            </w:r>
            <w:r>
              <w:rPr>
                <w:rFonts w:hint="eastAsia" w:cs="Times New Roman"/>
                <w:color w:val="auto"/>
                <w:spacing w:val="-4"/>
                <w:sz w:val="24"/>
                <w:highlight w:val="none"/>
                <w:lang w:val="en-US" w:eastAsia="zh-CN"/>
              </w:rPr>
              <w:t>。</w:t>
            </w:r>
          </w:p>
          <w:p w14:paraId="1792CED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64" w:firstLineChars="200"/>
              <w:jc w:val="both"/>
              <w:textAlignment w:val="auto"/>
              <w:rPr>
                <w:rFonts w:hint="default" w:ascii="Times New Roman" w:hAnsi="Times New Roman" w:eastAsia="宋体" w:cs="Times New Roman"/>
                <w:color w:val="auto"/>
                <w:spacing w:val="-4"/>
                <w:sz w:val="24"/>
                <w:highlight w:val="none"/>
                <w:lang w:val="en-US" w:eastAsia="zh-CN"/>
              </w:rPr>
            </w:pPr>
            <w:r>
              <w:rPr>
                <w:rFonts w:hint="eastAsia" w:ascii="Times New Roman" w:hAnsi="Times New Roman" w:eastAsia="宋体" w:cs="Times New Roman"/>
                <w:color w:val="auto"/>
                <w:spacing w:val="-4"/>
                <w:sz w:val="24"/>
                <w:highlight w:val="none"/>
                <w:lang w:val="en-US" w:eastAsia="zh-CN"/>
              </w:rPr>
              <w:t>B</w:t>
            </w:r>
            <w:r>
              <w:rPr>
                <w:rFonts w:hint="eastAsia" w:cs="Times New Roman"/>
                <w:color w:val="auto"/>
                <w:spacing w:val="-4"/>
                <w:sz w:val="24"/>
                <w:highlight w:val="none"/>
                <w:lang w:val="en-US" w:eastAsia="zh-CN"/>
              </w:rPr>
              <w:t>.1号厂房</w:t>
            </w:r>
            <w:r>
              <w:rPr>
                <w:rFonts w:hint="eastAsia" w:ascii="Times New Roman" w:hAnsi="Times New Roman" w:eastAsia="宋体" w:cs="Times New Roman"/>
                <w:color w:val="auto"/>
                <w:spacing w:val="-4"/>
                <w:sz w:val="24"/>
                <w:highlight w:val="none"/>
                <w:lang w:val="en-US" w:eastAsia="zh-CN"/>
              </w:rPr>
              <w:t>在</w:t>
            </w:r>
            <w:r>
              <w:rPr>
                <w:rFonts w:hint="eastAsia" w:cs="Times New Roman"/>
                <w:color w:val="auto"/>
                <w:spacing w:val="-4"/>
                <w:sz w:val="24"/>
                <w:highlight w:val="none"/>
                <w:lang w:val="en-US" w:eastAsia="zh-CN"/>
              </w:rPr>
              <w:t>抛丸、打磨</w:t>
            </w:r>
            <w:r>
              <w:rPr>
                <w:rFonts w:hint="eastAsia" w:ascii="Times New Roman" w:hAnsi="Times New Roman" w:eastAsia="宋体" w:cs="Times New Roman"/>
                <w:color w:val="auto"/>
                <w:spacing w:val="-4"/>
                <w:sz w:val="24"/>
                <w:highlight w:val="none"/>
                <w:lang w:val="en-US" w:eastAsia="zh-CN"/>
              </w:rPr>
              <w:t>工序设置集气装置，产生的废气经“布袋除尘器”装置处理后，</w:t>
            </w:r>
            <w:r>
              <w:rPr>
                <w:rFonts w:hint="eastAsia" w:cs="Times New Roman"/>
                <w:color w:val="auto"/>
                <w:spacing w:val="-4"/>
                <w:sz w:val="24"/>
                <w:highlight w:val="none"/>
                <w:lang w:val="en-US" w:eastAsia="zh-CN"/>
              </w:rPr>
              <w:t>抛丸工序</w:t>
            </w:r>
            <w:r>
              <w:rPr>
                <w:rFonts w:hint="eastAsia" w:ascii="Times New Roman" w:hAnsi="Times New Roman" w:eastAsia="宋体" w:cs="Times New Roman"/>
                <w:color w:val="auto"/>
                <w:spacing w:val="-4"/>
                <w:sz w:val="24"/>
                <w:highlight w:val="none"/>
                <w:lang w:val="en-US" w:eastAsia="zh-CN"/>
              </w:rPr>
              <w:t>颗粒物最大排放浓度为</w:t>
            </w:r>
            <w:r>
              <w:rPr>
                <w:rFonts w:hint="eastAsia" w:cs="Times New Roman"/>
                <w:color w:val="auto"/>
                <w:spacing w:val="-4"/>
                <w:sz w:val="24"/>
                <w:highlight w:val="none"/>
                <w:lang w:val="en-US" w:eastAsia="zh-CN"/>
              </w:rPr>
              <w:t>78.7</w:t>
            </w:r>
            <w:r>
              <w:rPr>
                <w:rFonts w:hint="eastAsia" w:ascii="Times New Roman" w:hAnsi="Times New Roman" w:eastAsia="宋体" w:cs="Times New Roman"/>
                <w:color w:val="auto"/>
                <w:spacing w:val="-4"/>
                <w:sz w:val="24"/>
                <w:highlight w:val="none"/>
                <w:lang w:val="en-US" w:eastAsia="zh-CN"/>
              </w:rPr>
              <w:t>mg/m</w:t>
            </w:r>
            <w:r>
              <w:rPr>
                <w:rFonts w:hint="eastAsia" w:ascii="Times New Roman" w:hAnsi="Times New Roman" w:eastAsia="宋体" w:cs="Times New Roman"/>
                <w:color w:val="auto"/>
                <w:spacing w:val="-4"/>
                <w:sz w:val="24"/>
                <w:highlight w:val="none"/>
                <w:vertAlign w:val="superscript"/>
                <w:lang w:val="en-US" w:eastAsia="zh-CN"/>
              </w:rPr>
              <w:t>3</w:t>
            </w:r>
            <w:r>
              <w:rPr>
                <w:rFonts w:hint="eastAsia" w:ascii="Times New Roman" w:hAnsi="Times New Roman" w:eastAsia="宋体" w:cs="Times New Roman"/>
                <w:color w:val="auto"/>
                <w:spacing w:val="-4"/>
                <w:sz w:val="24"/>
                <w:highlight w:val="none"/>
                <w:lang w:val="en-US" w:eastAsia="zh-CN"/>
              </w:rPr>
              <w:t>，</w:t>
            </w:r>
            <w:r>
              <w:rPr>
                <w:rFonts w:hint="eastAsia" w:cs="Times New Roman"/>
                <w:color w:val="auto"/>
                <w:spacing w:val="-4"/>
                <w:sz w:val="24"/>
                <w:highlight w:val="none"/>
                <w:lang w:val="en-US" w:eastAsia="zh-CN"/>
              </w:rPr>
              <w:t>打磨工序</w:t>
            </w:r>
            <w:r>
              <w:rPr>
                <w:rFonts w:hint="eastAsia" w:ascii="Times New Roman" w:hAnsi="Times New Roman" w:eastAsia="宋体" w:cs="Times New Roman"/>
                <w:color w:val="auto"/>
                <w:spacing w:val="-4"/>
                <w:sz w:val="24"/>
                <w:highlight w:val="none"/>
                <w:lang w:val="en-US" w:eastAsia="zh-CN"/>
              </w:rPr>
              <w:t>颗粒物最大排放浓度为</w:t>
            </w:r>
            <w:r>
              <w:rPr>
                <w:rFonts w:hint="eastAsia" w:cs="Times New Roman"/>
                <w:color w:val="auto"/>
                <w:spacing w:val="-4"/>
                <w:sz w:val="24"/>
                <w:highlight w:val="none"/>
                <w:lang w:val="en-US" w:eastAsia="zh-CN"/>
              </w:rPr>
              <w:t>25.0</w:t>
            </w:r>
            <w:r>
              <w:rPr>
                <w:rFonts w:hint="eastAsia" w:ascii="Times New Roman" w:hAnsi="Times New Roman" w:eastAsia="宋体" w:cs="Times New Roman"/>
                <w:color w:val="auto"/>
                <w:spacing w:val="-4"/>
                <w:sz w:val="24"/>
                <w:highlight w:val="none"/>
                <w:lang w:val="en-US" w:eastAsia="zh-CN"/>
              </w:rPr>
              <w:t>mg/m</w:t>
            </w:r>
            <w:r>
              <w:rPr>
                <w:rFonts w:hint="eastAsia" w:ascii="Times New Roman" w:hAnsi="Times New Roman" w:eastAsia="宋体" w:cs="Times New Roman"/>
                <w:color w:val="auto"/>
                <w:spacing w:val="-4"/>
                <w:sz w:val="24"/>
                <w:highlight w:val="none"/>
                <w:vertAlign w:val="superscript"/>
                <w:lang w:val="en-US" w:eastAsia="zh-CN"/>
              </w:rPr>
              <w:t>3</w:t>
            </w:r>
            <w:r>
              <w:rPr>
                <w:rFonts w:hint="eastAsia" w:cs="Times New Roman"/>
                <w:color w:val="auto"/>
                <w:spacing w:val="-4"/>
                <w:sz w:val="24"/>
                <w:highlight w:val="none"/>
                <w:vertAlign w:val="baseline"/>
                <w:lang w:val="en-US" w:eastAsia="zh-CN"/>
              </w:rPr>
              <w:t>，</w:t>
            </w:r>
            <w:r>
              <w:rPr>
                <w:rFonts w:hint="eastAsia" w:ascii="Times New Roman" w:hAnsi="Times New Roman" w:eastAsia="宋体" w:cs="Times New Roman"/>
                <w:color w:val="auto"/>
                <w:spacing w:val="-4"/>
                <w:sz w:val="24"/>
                <w:highlight w:val="none"/>
                <w:lang w:val="en-US" w:eastAsia="zh-CN"/>
              </w:rPr>
              <w:t>满足《大气污染物综合排放标准》（GB16297-1996）表 2 中二级标准限值要求。</w:t>
            </w:r>
          </w:p>
          <w:p w14:paraId="5421D31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64" w:firstLineChars="200"/>
              <w:jc w:val="both"/>
              <w:textAlignment w:val="auto"/>
              <w:rPr>
                <w:rFonts w:hint="eastAsia" w:ascii="Times New Roman" w:hAnsi="Times New Roman" w:eastAsia="宋体" w:cs="Times New Roman"/>
                <w:color w:val="auto"/>
                <w:spacing w:val="-4"/>
                <w:sz w:val="24"/>
                <w:highlight w:val="none"/>
                <w:lang w:val="en-US" w:eastAsia="zh-CN"/>
              </w:rPr>
            </w:pPr>
            <w:r>
              <w:rPr>
                <w:rFonts w:hint="eastAsia" w:cs="Times New Roman"/>
                <w:color w:val="auto"/>
                <w:spacing w:val="-4"/>
                <w:sz w:val="24"/>
                <w:highlight w:val="none"/>
                <w:lang w:val="en-US" w:eastAsia="zh-CN"/>
              </w:rPr>
              <w:t>C.</w:t>
            </w:r>
            <w:r>
              <w:rPr>
                <w:rFonts w:hint="eastAsia" w:ascii="Times New Roman" w:hAnsi="Times New Roman" w:eastAsia="宋体" w:cs="Times New Roman"/>
                <w:color w:val="auto"/>
                <w:spacing w:val="-4"/>
                <w:sz w:val="24"/>
                <w:highlight w:val="none"/>
                <w:lang w:val="en-US" w:eastAsia="zh-CN"/>
              </w:rPr>
              <w:t>颗粒物厂界无组织排放最大浓度为0.</w:t>
            </w:r>
            <w:r>
              <w:rPr>
                <w:rFonts w:hint="eastAsia" w:cs="Times New Roman"/>
                <w:color w:val="auto"/>
                <w:spacing w:val="-4"/>
                <w:sz w:val="24"/>
                <w:highlight w:val="none"/>
                <w:lang w:val="en-US" w:eastAsia="zh-CN"/>
              </w:rPr>
              <w:t>3</w:t>
            </w:r>
            <w:r>
              <w:rPr>
                <w:rFonts w:hint="eastAsia" w:ascii="Times New Roman" w:hAnsi="Times New Roman" w:eastAsia="宋体" w:cs="Times New Roman"/>
                <w:color w:val="auto"/>
                <w:spacing w:val="-4"/>
                <w:sz w:val="24"/>
                <w:highlight w:val="none"/>
                <w:lang w:val="en-US" w:eastAsia="zh-CN"/>
              </w:rPr>
              <w:t>mg/m</w:t>
            </w:r>
            <w:r>
              <w:rPr>
                <w:rFonts w:hint="eastAsia" w:ascii="Times New Roman" w:hAnsi="Times New Roman" w:eastAsia="宋体" w:cs="Times New Roman"/>
                <w:color w:val="auto"/>
                <w:spacing w:val="-4"/>
                <w:sz w:val="24"/>
                <w:highlight w:val="none"/>
                <w:vertAlign w:val="superscript"/>
                <w:lang w:val="en-US" w:eastAsia="zh-CN"/>
              </w:rPr>
              <w:t>3</w:t>
            </w:r>
            <w:r>
              <w:rPr>
                <w:rFonts w:hint="eastAsia" w:ascii="Times New Roman" w:hAnsi="Times New Roman" w:eastAsia="宋体" w:cs="Times New Roman"/>
                <w:color w:val="auto"/>
                <w:spacing w:val="-4"/>
                <w:sz w:val="24"/>
                <w:highlight w:val="none"/>
                <w:lang w:val="en-US" w:eastAsia="zh-CN"/>
              </w:rPr>
              <w:t>，满足《大气污染物综合排放标准》（GB 16297-1996）表2中限值；</w:t>
            </w:r>
          </w:p>
          <w:p w14:paraId="47361AA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64" w:firstLineChars="200"/>
              <w:jc w:val="both"/>
              <w:textAlignment w:val="auto"/>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color w:val="auto"/>
                <w:spacing w:val="-4"/>
                <w:sz w:val="24"/>
                <w:highlight w:val="none"/>
                <w:lang w:val="en-US" w:eastAsia="zh-CN"/>
              </w:rPr>
              <w:t>综上，现有项目废气排放可以满足其环评中的要求，</w:t>
            </w:r>
            <w:r>
              <w:rPr>
                <w:rFonts w:hint="eastAsia" w:ascii="Times New Roman" w:hAnsi="Times New Roman" w:eastAsia="宋体" w:cs="Times New Roman"/>
                <w:bCs/>
                <w:color w:val="auto"/>
                <w:sz w:val="24"/>
                <w:highlight w:val="none"/>
                <w:lang w:val="en-US" w:eastAsia="zh-CN"/>
              </w:rPr>
              <w:t>现有项目废气经治理措施处理后可以达标排放</w:t>
            </w:r>
            <w:r>
              <w:rPr>
                <w:rFonts w:hint="default" w:ascii="Times New Roman" w:hAnsi="Times New Roman" w:eastAsia="宋体" w:cs="Times New Roman"/>
                <w:color w:val="auto"/>
                <w:spacing w:val="-4"/>
                <w:sz w:val="24"/>
                <w:highlight w:val="none"/>
                <w:lang w:val="en-US" w:eastAsia="zh-CN"/>
              </w:rPr>
              <w:t>。</w:t>
            </w:r>
          </w:p>
          <w:p w14:paraId="248D39F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8-1</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现有项目验收期间有组织废气监测结果</w:t>
            </w:r>
            <w:r>
              <w:rPr>
                <w:rFonts w:hint="eastAsia" w:cs="Times New Roman"/>
                <w:b/>
                <w:bCs/>
                <w:color w:val="auto"/>
                <w:kern w:val="2"/>
                <w:sz w:val="24"/>
                <w:szCs w:val="24"/>
                <w:lang w:val="en-US" w:eastAsia="zh-CN"/>
              </w:rPr>
              <w:t>（DA001）</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257"/>
              <w:gridCol w:w="667"/>
              <w:gridCol w:w="1679"/>
              <w:gridCol w:w="866"/>
              <w:gridCol w:w="866"/>
              <w:gridCol w:w="870"/>
              <w:gridCol w:w="549"/>
              <w:gridCol w:w="790"/>
            </w:tblGrid>
            <w:tr w14:paraId="354C0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7" w:type="pct"/>
                  <w:gridSpan w:val="2"/>
                  <w:tcBorders>
                    <w:tl2br w:val="nil"/>
                    <w:tr2bl w:val="nil"/>
                  </w:tcBorders>
                  <w:noWrap w:val="0"/>
                  <w:vAlign w:val="center"/>
                </w:tcPr>
                <w:p w14:paraId="4AA3D8A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净化装置</w:t>
                  </w:r>
                </w:p>
              </w:tc>
              <w:tc>
                <w:tcPr>
                  <w:tcW w:w="1362" w:type="pct"/>
                  <w:gridSpan w:val="2"/>
                  <w:tcBorders>
                    <w:tl2br w:val="nil"/>
                    <w:tr2bl w:val="nil"/>
                  </w:tcBorders>
                  <w:noWrap w:val="0"/>
                  <w:vAlign w:val="center"/>
                </w:tcPr>
                <w:p w14:paraId="05E79FB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布袋除尘器</w:t>
                  </w:r>
                </w:p>
              </w:tc>
              <w:tc>
                <w:tcPr>
                  <w:tcW w:w="1511" w:type="pct"/>
                  <w:gridSpan w:val="3"/>
                  <w:tcBorders>
                    <w:tl2br w:val="nil"/>
                    <w:tr2bl w:val="nil"/>
                  </w:tcBorders>
                  <w:noWrap w:val="0"/>
                  <w:vAlign w:val="center"/>
                </w:tcPr>
                <w:p w14:paraId="6C5C3D2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排气筒高度</w:t>
                  </w:r>
                  <w:r>
                    <w:rPr>
                      <w:rFonts w:hint="eastAsia" w:cs="Times New Roman"/>
                      <w:b/>
                      <w:bCs/>
                      <w:color w:val="auto"/>
                      <w:kern w:val="0"/>
                      <w:sz w:val="21"/>
                      <w:szCs w:val="21"/>
                      <w:highlight w:val="none"/>
                      <w:lang w:val="en-US" w:eastAsia="zh-CN" w:bidi="ar"/>
                    </w:rPr>
                    <w:t>/内径</w:t>
                  </w:r>
                  <w:r>
                    <w:rPr>
                      <w:rFonts w:hint="default" w:ascii="Times New Roman" w:hAnsi="Times New Roman" w:eastAsia="宋体" w:cs="Times New Roman"/>
                      <w:b/>
                      <w:bCs/>
                      <w:color w:val="auto"/>
                      <w:kern w:val="0"/>
                      <w:sz w:val="21"/>
                      <w:szCs w:val="21"/>
                      <w:highlight w:val="none"/>
                      <w:lang w:val="en-US" w:eastAsia="zh-CN" w:bidi="ar"/>
                    </w:rPr>
                    <w:t>（m）</w:t>
                  </w:r>
                </w:p>
              </w:tc>
              <w:tc>
                <w:tcPr>
                  <w:tcW w:w="777" w:type="pct"/>
                  <w:gridSpan w:val="2"/>
                  <w:tcBorders>
                    <w:tl2br w:val="nil"/>
                    <w:tr2bl w:val="nil"/>
                  </w:tcBorders>
                  <w:noWrap w:val="0"/>
                  <w:vAlign w:val="center"/>
                </w:tcPr>
                <w:p w14:paraId="730699E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15</w:t>
                  </w:r>
                  <w:r>
                    <w:rPr>
                      <w:rFonts w:hint="eastAsia" w:cs="Times New Roman"/>
                      <w:color w:val="auto"/>
                      <w:kern w:val="0"/>
                      <w:sz w:val="21"/>
                      <w:szCs w:val="21"/>
                      <w:highlight w:val="none"/>
                      <w:lang w:val="en-US" w:eastAsia="zh-CN" w:bidi="ar"/>
                    </w:rPr>
                    <w:t>/0.4</w:t>
                  </w:r>
                </w:p>
              </w:tc>
            </w:tr>
            <w:tr w14:paraId="5742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5F823D2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监测日期</w:t>
                  </w:r>
                </w:p>
              </w:tc>
              <w:tc>
                <w:tcPr>
                  <w:tcW w:w="730" w:type="pct"/>
                  <w:vMerge w:val="restart"/>
                  <w:tcBorders>
                    <w:tl2br w:val="nil"/>
                    <w:tr2bl w:val="nil"/>
                  </w:tcBorders>
                  <w:noWrap w:val="0"/>
                  <w:vAlign w:val="center"/>
                </w:tcPr>
                <w:p w14:paraId="4A6C177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sz w:val="21"/>
                      <w:szCs w:val="21"/>
                      <w:highlight w:val="none"/>
                    </w:rPr>
                    <w:t>采样</w:t>
                  </w:r>
                  <w:r>
                    <w:rPr>
                      <w:rFonts w:hint="default" w:ascii="Times New Roman" w:hAnsi="Times New Roman" w:eastAsia="宋体" w:cs="Times New Roman"/>
                      <w:b/>
                      <w:bCs/>
                      <w:color w:val="auto"/>
                      <w:sz w:val="21"/>
                      <w:szCs w:val="21"/>
                      <w:highlight w:val="none"/>
                      <w:lang w:val="en-US" w:eastAsia="zh-CN"/>
                    </w:rPr>
                    <w:t>位置</w:t>
                  </w:r>
                </w:p>
              </w:tc>
              <w:tc>
                <w:tcPr>
                  <w:tcW w:w="1362" w:type="pct"/>
                  <w:gridSpan w:val="2"/>
                  <w:vMerge w:val="restart"/>
                  <w:tcBorders>
                    <w:tl2br w:val="nil"/>
                    <w:tr2bl w:val="nil"/>
                  </w:tcBorders>
                  <w:noWrap w:val="0"/>
                  <w:vAlign w:val="center"/>
                </w:tcPr>
                <w:p w14:paraId="05BD6B3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监测项目</w:t>
                  </w:r>
                </w:p>
              </w:tc>
              <w:tc>
                <w:tcPr>
                  <w:tcW w:w="1511" w:type="pct"/>
                  <w:gridSpan w:val="3"/>
                  <w:tcBorders>
                    <w:tl2br w:val="nil"/>
                    <w:tr2bl w:val="nil"/>
                  </w:tcBorders>
                  <w:noWrap w:val="0"/>
                  <w:vAlign w:val="center"/>
                </w:tcPr>
                <w:p w14:paraId="654F6A88">
                  <w:pPr>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监测点位</w:t>
                  </w:r>
                </w:p>
              </w:tc>
              <w:tc>
                <w:tcPr>
                  <w:tcW w:w="319" w:type="pct"/>
                  <w:vMerge w:val="restart"/>
                  <w:tcBorders>
                    <w:tl2br w:val="nil"/>
                    <w:tr2bl w:val="nil"/>
                  </w:tcBorders>
                  <w:noWrap w:val="0"/>
                  <w:vAlign w:val="center"/>
                </w:tcPr>
                <w:p w14:paraId="3B238A4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执行</w:t>
                  </w:r>
                </w:p>
                <w:p w14:paraId="7509EEC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标准</w:t>
                  </w:r>
                </w:p>
              </w:tc>
              <w:tc>
                <w:tcPr>
                  <w:tcW w:w="457" w:type="pct"/>
                  <w:vMerge w:val="restart"/>
                  <w:tcBorders>
                    <w:tl2br w:val="nil"/>
                    <w:tr2bl w:val="nil"/>
                  </w:tcBorders>
                  <w:noWrap w:val="0"/>
                  <w:vAlign w:val="center"/>
                </w:tcPr>
                <w:p w14:paraId="16F1BDB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达标情况</w:t>
                  </w:r>
                </w:p>
              </w:tc>
            </w:tr>
            <w:tr w14:paraId="25DE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2CB07D1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2FE5899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62" w:type="pct"/>
                  <w:gridSpan w:val="2"/>
                  <w:vMerge w:val="continue"/>
                  <w:tcBorders>
                    <w:tl2br w:val="nil"/>
                    <w:tr2bl w:val="nil"/>
                  </w:tcBorders>
                  <w:noWrap w:val="0"/>
                  <w:vAlign w:val="center"/>
                </w:tcPr>
                <w:p w14:paraId="6A77EDD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511" w:type="pct"/>
                  <w:gridSpan w:val="3"/>
                  <w:tcBorders>
                    <w:tl2br w:val="nil"/>
                    <w:tr2bl w:val="nil"/>
                  </w:tcBorders>
                  <w:noWrap w:val="0"/>
                  <w:vAlign w:val="center"/>
                </w:tcPr>
                <w:p w14:paraId="04794EDA">
                  <w:pPr>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sz w:val="21"/>
                      <w:szCs w:val="21"/>
                      <w:highlight w:val="none"/>
                      <w:lang w:val="en-US" w:eastAsia="zh-CN"/>
                    </w:rPr>
                    <w:t>熔化</w:t>
                  </w:r>
                  <w:r>
                    <w:rPr>
                      <w:rFonts w:hint="eastAsia" w:ascii="Times New Roman" w:hAnsi="Times New Roman" w:eastAsia="宋体" w:cs="Times New Roman"/>
                      <w:b/>
                      <w:bCs/>
                      <w:color w:val="auto"/>
                      <w:sz w:val="21"/>
                      <w:szCs w:val="21"/>
                      <w:highlight w:val="none"/>
                      <w:lang w:val="en-US" w:eastAsia="zh-CN"/>
                    </w:rPr>
                    <w:t>废气</w:t>
                  </w:r>
                  <w:r>
                    <w:rPr>
                      <w:rFonts w:hint="default" w:ascii="Times New Roman" w:hAnsi="Times New Roman" w:eastAsia="宋体" w:cs="Times New Roman"/>
                      <w:b/>
                      <w:bCs/>
                      <w:color w:val="auto"/>
                      <w:sz w:val="21"/>
                      <w:szCs w:val="21"/>
                      <w:highlight w:val="none"/>
                      <w:lang w:val="en-US" w:eastAsia="zh-CN"/>
                    </w:rPr>
                    <w:t>排气筒（DA00</w:t>
                  </w:r>
                  <w:r>
                    <w:rPr>
                      <w:rFonts w:hint="eastAsia" w:ascii="Times New Roman" w:hAnsi="Times New Roman" w:eastAsia="宋体"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val="en-US" w:eastAsia="zh-CN"/>
                    </w:rPr>
                    <w:t>）</w:t>
                  </w:r>
                </w:p>
              </w:tc>
              <w:tc>
                <w:tcPr>
                  <w:tcW w:w="319" w:type="pct"/>
                  <w:vMerge w:val="continue"/>
                  <w:tcBorders>
                    <w:tl2br w:val="nil"/>
                    <w:tr2bl w:val="nil"/>
                  </w:tcBorders>
                  <w:noWrap w:val="0"/>
                  <w:vAlign w:val="center"/>
                </w:tcPr>
                <w:p w14:paraId="0A070DC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457" w:type="pct"/>
                  <w:vMerge w:val="continue"/>
                  <w:tcBorders>
                    <w:tl2br w:val="nil"/>
                    <w:tr2bl w:val="nil"/>
                  </w:tcBorders>
                  <w:noWrap w:val="0"/>
                  <w:vAlign w:val="center"/>
                </w:tcPr>
                <w:p w14:paraId="26A5000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132E2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14E7F449">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2018.7.23</w:t>
                  </w:r>
                </w:p>
              </w:tc>
              <w:tc>
                <w:tcPr>
                  <w:tcW w:w="730" w:type="pct"/>
                  <w:vMerge w:val="restart"/>
                  <w:tcBorders>
                    <w:tl2br w:val="nil"/>
                    <w:tr2bl w:val="nil"/>
                  </w:tcBorders>
                  <w:noWrap w:val="0"/>
                  <w:vAlign w:val="center"/>
                </w:tcPr>
                <w:p w14:paraId="79DB3E5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0810A3E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503" w:type="pct"/>
                  <w:tcBorders>
                    <w:tl2br w:val="nil"/>
                    <w:tr2bl w:val="nil"/>
                  </w:tcBorders>
                  <w:noWrap w:val="0"/>
                  <w:vAlign w:val="center"/>
                </w:tcPr>
                <w:p w14:paraId="0956886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2664</w:t>
                  </w:r>
                </w:p>
              </w:tc>
              <w:tc>
                <w:tcPr>
                  <w:tcW w:w="503" w:type="pct"/>
                  <w:tcBorders>
                    <w:tl2br w:val="nil"/>
                    <w:tr2bl w:val="nil"/>
                  </w:tcBorders>
                  <w:noWrap w:val="0"/>
                  <w:vAlign w:val="center"/>
                </w:tcPr>
                <w:p w14:paraId="3146844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2752</w:t>
                  </w:r>
                </w:p>
              </w:tc>
              <w:tc>
                <w:tcPr>
                  <w:tcW w:w="503" w:type="pct"/>
                  <w:tcBorders>
                    <w:tl2br w:val="nil"/>
                    <w:tr2bl w:val="nil"/>
                  </w:tcBorders>
                  <w:noWrap w:val="0"/>
                  <w:vAlign w:val="center"/>
                </w:tcPr>
                <w:p w14:paraId="58EF241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2689</w:t>
                  </w:r>
                </w:p>
              </w:tc>
              <w:tc>
                <w:tcPr>
                  <w:tcW w:w="319" w:type="pct"/>
                  <w:tcBorders>
                    <w:tl2br w:val="nil"/>
                    <w:tr2bl w:val="nil"/>
                  </w:tcBorders>
                  <w:noWrap w:val="0"/>
                  <w:vAlign w:val="center"/>
                </w:tcPr>
                <w:p w14:paraId="04AC228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2C7D9EC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0B157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6D1EB94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1A3E821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3B8AE25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42D310E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503" w:type="pct"/>
                  <w:tcBorders>
                    <w:tl2br w:val="nil"/>
                    <w:tr2bl w:val="nil"/>
                  </w:tcBorders>
                  <w:noWrap w:val="0"/>
                  <w:vAlign w:val="center"/>
                </w:tcPr>
                <w:p w14:paraId="18ED5AE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996</w:t>
                  </w:r>
                </w:p>
              </w:tc>
              <w:tc>
                <w:tcPr>
                  <w:tcW w:w="503" w:type="pct"/>
                  <w:tcBorders>
                    <w:tl2br w:val="nil"/>
                    <w:tr2bl w:val="nil"/>
                  </w:tcBorders>
                  <w:noWrap w:val="0"/>
                  <w:vAlign w:val="center"/>
                </w:tcPr>
                <w:p w14:paraId="7CC70EE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975</w:t>
                  </w:r>
                </w:p>
              </w:tc>
              <w:tc>
                <w:tcPr>
                  <w:tcW w:w="503" w:type="pct"/>
                  <w:tcBorders>
                    <w:tl2br w:val="nil"/>
                    <w:tr2bl w:val="nil"/>
                  </w:tcBorders>
                  <w:noWrap w:val="0"/>
                  <w:vAlign w:val="center"/>
                </w:tcPr>
                <w:p w14:paraId="467C133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954</w:t>
                  </w:r>
                </w:p>
              </w:tc>
              <w:tc>
                <w:tcPr>
                  <w:tcW w:w="319" w:type="pct"/>
                  <w:tcBorders>
                    <w:tl2br w:val="nil"/>
                    <w:tr2bl w:val="nil"/>
                  </w:tcBorders>
                  <w:noWrap w:val="0"/>
                  <w:vAlign w:val="center"/>
                </w:tcPr>
                <w:p w14:paraId="1B7E800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7E3CDFD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49F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703B791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528E153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2BA24E9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A301C1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503" w:type="pct"/>
                  <w:tcBorders>
                    <w:tl2br w:val="nil"/>
                    <w:tr2bl w:val="nil"/>
                  </w:tcBorders>
                  <w:noWrap w:val="0"/>
                  <w:vAlign w:val="center"/>
                </w:tcPr>
                <w:p w14:paraId="3609189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2.65</w:t>
                  </w:r>
                </w:p>
              </w:tc>
              <w:tc>
                <w:tcPr>
                  <w:tcW w:w="503" w:type="pct"/>
                  <w:tcBorders>
                    <w:tl2br w:val="nil"/>
                    <w:tr2bl w:val="nil"/>
                  </w:tcBorders>
                  <w:noWrap w:val="0"/>
                  <w:vAlign w:val="center"/>
                </w:tcPr>
                <w:p w14:paraId="21A332F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2.68</w:t>
                  </w:r>
                </w:p>
              </w:tc>
              <w:tc>
                <w:tcPr>
                  <w:tcW w:w="503" w:type="pct"/>
                  <w:tcBorders>
                    <w:tl2br w:val="nil"/>
                    <w:tr2bl w:val="nil"/>
                  </w:tcBorders>
                  <w:noWrap w:val="0"/>
                  <w:vAlign w:val="center"/>
                </w:tcPr>
                <w:p w14:paraId="4A42C76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2.56</w:t>
                  </w:r>
                </w:p>
              </w:tc>
              <w:tc>
                <w:tcPr>
                  <w:tcW w:w="319" w:type="pct"/>
                  <w:tcBorders>
                    <w:tl2br w:val="nil"/>
                    <w:tr2bl w:val="nil"/>
                  </w:tcBorders>
                  <w:noWrap w:val="0"/>
                  <w:vAlign w:val="center"/>
                </w:tcPr>
                <w:p w14:paraId="1DC3E07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57343AD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62D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10AE7D9D">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1EA5052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11CE0E7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503" w:type="pct"/>
                  <w:tcBorders>
                    <w:tl2br w:val="nil"/>
                    <w:tr2bl w:val="nil"/>
                  </w:tcBorders>
                  <w:noWrap w:val="0"/>
                  <w:vAlign w:val="center"/>
                </w:tcPr>
                <w:p w14:paraId="4B93DE2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2621</w:t>
                  </w:r>
                </w:p>
              </w:tc>
              <w:tc>
                <w:tcPr>
                  <w:tcW w:w="503" w:type="pct"/>
                  <w:tcBorders>
                    <w:tl2br w:val="nil"/>
                    <w:tr2bl w:val="nil"/>
                  </w:tcBorders>
                  <w:noWrap w:val="0"/>
                  <w:vAlign w:val="center"/>
                </w:tcPr>
                <w:p w14:paraId="6A9BD64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2710</w:t>
                  </w:r>
                </w:p>
              </w:tc>
              <w:tc>
                <w:tcPr>
                  <w:tcW w:w="503" w:type="pct"/>
                  <w:tcBorders>
                    <w:tl2br w:val="nil"/>
                    <w:tr2bl w:val="nil"/>
                  </w:tcBorders>
                  <w:noWrap w:val="0"/>
                  <w:vAlign w:val="center"/>
                </w:tcPr>
                <w:p w14:paraId="7EB2AA4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2651</w:t>
                  </w:r>
                </w:p>
              </w:tc>
              <w:tc>
                <w:tcPr>
                  <w:tcW w:w="319" w:type="pct"/>
                  <w:tcBorders>
                    <w:tl2br w:val="nil"/>
                    <w:tr2bl w:val="nil"/>
                  </w:tcBorders>
                  <w:noWrap w:val="0"/>
                  <w:vAlign w:val="center"/>
                </w:tcPr>
                <w:p w14:paraId="7D5369C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3018866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551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2B9E2D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2AA427F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07D2C48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1C4E52B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503" w:type="pct"/>
                  <w:tcBorders>
                    <w:tl2br w:val="nil"/>
                    <w:tr2bl w:val="nil"/>
                  </w:tcBorders>
                  <w:noWrap w:val="0"/>
                  <w:vAlign w:val="center"/>
                </w:tcPr>
                <w:p w14:paraId="466D89D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20.5</w:t>
                  </w:r>
                </w:p>
              </w:tc>
              <w:tc>
                <w:tcPr>
                  <w:tcW w:w="503" w:type="pct"/>
                  <w:tcBorders>
                    <w:tl2br w:val="nil"/>
                    <w:tr2bl w:val="nil"/>
                  </w:tcBorders>
                  <w:noWrap w:val="0"/>
                  <w:vAlign w:val="center"/>
                </w:tcPr>
                <w:p w14:paraId="7EE4C52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21.6</w:t>
                  </w:r>
                </w:p>
              </w:tc>
              <w:tc>
                <w:tcPr>
                  <w:tcW w:w="503" w:type="pct"/>
                  <w:tcBorders>
                    <w:tl2br w:val="nil"/>
                    <w:tr2bl w:val="nil"/>
                  </w:tcBorders>
                  <w:noWrap w:val="0"/>
                  <w:vAlign w:val="center"/>
                </w:tcPr>
                <w:p w14:paraId="3C7FC58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22.8</w:t>
                  </w:r>
                </w:p>
              </w:tc>
              <w:tc>
                <w:tcPr>
                  <w:tcW w:w="319" w:type="pct"/>
                  <w:tcBorders>
                    <w:tl2br w:val="nil"/>
                    <w:tr2bl w:val="nil"/>
                  </w:tcBorders>
                  <w:noWrap w:val="0"/>
                  <w:vAlign w:val="center"/>
                </w:tcPr>
                <w:p w14:paraId="1D92607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30</w:t>
                  </w:r>
                </w:p>
              </w:tc>
              <w:tc>
                <w:tcPr>
                  <w:tcW w:w="457" w:type="pct"/>
                  <w:tcBorders>
                    <w:tl2br w:val="nil"/>
                    <w:tr2bl w:val="nil"/>
                  </w:tcBorders>
                  <w:noWrap w:val="0"/>
                  <w:vAlign w:val="center"/>
                </w:tcPr>
                <w:p w14:paraId="63D0BED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7C65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4C5B8C7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0552855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1217ED5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085CE54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503" w:type="pct"/>
                  <w:tcBorders>
                    <w:tl2br w:val="nil"/>
                    <w:tr2bl w:val="nil"/>
                  </w:tcBorders>
                  <w:noWrap w:val="0"/>
                  <w:vAlign w:val="center"/>
                </w:tcPr>
                <w:p w14:paraId="061CBBF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0.0537</w:t>
                  </w:r>
                </w:p>
              </w:tc>
              <w:tc>
                <w:tcPr>
                  <w:tcW w:w="503" w:type="pct"/>
                  <w:tcBorders>
                    <w:tl2br w:val="nil"/>
                    <w:tr2bl w:val="nil"/>
                  </w:tcBorders>
                  <w:noWrap w:val="0"/>
                  <w:vAlign w:val="center"/>
                </w:tcPr>
                <w:p w14:paraId="0FF2714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0.0585</w:t>
                  </w:r>
                </w:p>
              </w:tc>
              <w:tc>
                <w:tcPr>
                  <w:tcW w:w="503" w:type="pct"/>
                  <w:tcBorders>
                    <w:tl2br w:val="nil"/>
                    <w:tr2bl w:val="nil"/>
                  </w:tcBorders>
                  <w:noWrap w:val="0"/>
                  <w:vAlign w:val="center"/>
                </w:tcPr>
                <w:p w14:paraId="0B3DB92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0.0604</w:t>
                  </w:r>
                </w:p>
              </w:tc>
              <w:tc>
                <w:tcPr>
                  <w:tcW w:w="319" w:type="pct"/>
                  <w:tcBorders>
                    <w:tl2br w:val="nil"/>
                    <w:tr2bl w:val="nil"/>
                  </w:tcBorders>
                  <w:noWrap w:val="0"/>
                  <w:vAlign w:val="center"/>
                </w:tcPr>
                <w:p w14:paraId="45FD82A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7961E08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CF7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5BD0DA46">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w:t>
                  </w:r>
                  <w:r>
                    <w:rPr>
                      <w:rFonts w:hint="eastAsia" w:ascii="Times New Roman" w:hAnsi="Times New Roman" w:eastAsia="宋体" w:cs="Times New Roman"/>
                      <w:color w:val="auto"/>
                      <w:spacing w:val="3"/>
                      <w:sz w:val="20"/>
                      <w:szCs w:val="20"/>
                      <w:lang w:val="en-US" w:eastAsia="zh-CN"/>
                    </w:rPr>
                    <w:t>4</w:t>
                  </w:r>
                </w:p>
              </w:tc>
              <w:tc>
                <w:tcPr>
                  <w:tcW w:w="730" w:type="pct"/>
                  <w:vMerge w:val="restart"/>
                  <w:tcBorders>
                    <w:tl2br w:val="nil"/>
                    <w:tr2bl w:val="nil"/>
                  </w:tcBorders>
                  <w:noWrap w:val="0"/>
                  <w:vAlign w:val="center"/>
                </w:tcPr>
                <w:p w14:paraId="60424B8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1CD85F3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503" w:type="pct"/>
                  <w:tcBorders>
                    <w:tl2br w:val="nil"/>
                    <w:tr2bl w:val="nil"/>
                  </w:tcBorders>
                  <w:noWrap w:val="0"/>
                  <w:vAlign w:val="center"/>
                </w:tcPr>
                <w:p w14:paraId="73FDEDA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2755</w:t>
                  </w:r>
                </w:p>
              </w:tc>
              <w:tc>
                <w:tcPr>
                  <w:tcW w:w="503" w:type="pct"/>
                  <w:tcBorders>
                    <w:tl2br w:val="nil"/>
                    <w:tr2bl w:val="nil"/>
                  </w:tcBorders>
                  <w:noWrap w:val="0"/>
                  <w:vAlign w:val="center"/>
                </w:tcPr>
                <w:p w14:paraId="06650A3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2812</w:t>
                  </w:r>
                </w:p>
              </w:tc>
              <w:tc>
                <w:tcPr>
                  <w:tcW w:w="503" w:type="pct"/>
                  <w:tcBorders>
                    <w:tl2br w:val="nil"/>
                    <w:tr2bl w:val="nil"/>
                  </w:tcBorders>
                  <w:noWrap w:val="0"/>
                  <w:vAlign w:val="center"/>
                </w:tcPr>
                <w:p w14:paraId="6891033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2698</w:t>
                  </w:r>
                </w:p>
              </w:tc>
              <w:tc>
                <w:tcPr>
                  <w:tcW w:w="319" w:type="pct"/>
                  <w:tcBorders>
                    <w:tl2br w:val="nil"/>
                    <w:tr2bl w:val="nil"/>
                  </w:tcBorders>
                  <w:noWrap w:val="0"/>
                  <w:vAlign w:val="center"/>
                </w:tcPr>
                <w:p w14:paraId="22E1A44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23F0F54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7A38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4D39F7B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1ADF43B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2D758CD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48D1562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503" w:type="pct"/>
                  <w:tcBorders>
                    <w:tl2br w:val="nil"/>
                    <w:tr2bl w:val="nil"/>
                  </w:tcBorders>
                  <w:noWrap w:val="0"/>
                  <w:vAlign w:val="center"/>
                </w:tcPr>
                <w:p w14:paraId="0360D91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951</w:t>
                  </w:r>
                </w:p>
              </w:tc>
              <w:tc>
                <w:tcPr>
                  <w:tcW w:w="503" w:type="pct"/>
                  <w:tcBorders>
                    <w:tl2br w:val="nil"/>
                    <w:tr2bl w:val="nil"/>
                  </w:tcBorders>
                  <w:noWrap w:val="0"/>
                  <w:vAlign w:val="center"/>
                </w:tcPr>
                <w:p w14:paraId="734D51D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943</w:t>
                  </w:r>
                </w:p>
              </w:tc>
              <w:tc>
                <w:tcPr>
                  <w:tcW w:w="503" w:type="pct"/>
                  <w:tcBorders>
                    <w:tl2br w:val="nil"/>
                    <w:tr2bl w:val="nil"/>
                  </w:tcBorders>
                  <w:noWrap w:val="0"/>
                  <w:vAlign w:val="center"/>
                </w:tcPr>
                <w:p w14:paraId="26F4E7C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878</w:t>
                  </w:r>
                </w:p>
              </w:tc>
              <w:tc>
                <w:tcPr>
                  <w:tcW w:w="319" w:type="pct"/>
                  <w:tcBorders>
                    <w:tl2br w:val="nil"/>
                    <w:tr2bl w:val="nil"/>
                  </w:tcBorders>
                  <w:noWrap w:val="0"/>
                  <w:vAlign w:val="center"/>
                </w:tcPr>
                <w:p w14:paraId="45085D9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1142CCE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5CCC9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4E18B1D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4227B56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566686B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6E21159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503" w:type="pct"/>
                  <w:tcBorders>
                    <w:tl2br w:val="nil"/>
                    <w:tr2bl w:val="nil"/>
                  </w:tcBorders>
                  <w:noWrap w:val="0"/>
                  <w:vAlign w:val="center"/>
                </w:tcPr>
                <w:p w14:paraId="584B6A1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2.62</w:t>
                  </w:r>
                </w:p>
              </w:tc>
              <w:tc>
                <w:tcPr>
                  <w:tcW w:w="503" w:type="pct"/>
                  <w:tcBorders>
                    <w:tl2br w:val="nil"/>
                    <w:tr2bl w:val="nil"/>
                  </w:tcBorders>
                  <w:noWrap w:val="0"/>
                  <w:vAlign w:val="center"/>
                </w:tcPr>
                <w:p w14:paraId="3CEF0C9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2.65</w:t>
                  </w:r>
                </w:p>
              </w:tc>
              <w:tc>
                <w:tcPr>
                  <w:tcW w:w="503" w:type="pct"/>
                  <w:tcBorders>
                    <w:tl2br w:val="nil"/>
                    <w:tr2bl w:val="nil"/>
                  </w:tcBorders>
                  <w:noWrap w:val="0"/>
                  <w:vAlign w:val="center"/>
                </w:tcPr>
                <w:p w14:paraId="14A6429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2.37</w:t>
                  </w:r>
                </w:p>
              </w:tc>
              <w:tc>
                <w:tcPr>
                  <w:tcW w:w="319" w:type="pct"/>
                  <w:tcBorders>
                    <w:tl2br w:val="nil"/>
                    <w:tr2bl w:val="nil"/>
                  </w:tcBorders>
                  <w:noWrap w:val="0"/>
                  <w:vAlign w:val="center"/>
                </w:tcPr>
                <w:p w14:paraId="50CF9EF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227D8F6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418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256F8F56">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0E413AA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0C7B67A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503" w:type="pct"/>
                  <w:tcBorders>
                    <w:tl2br w:val="nil"/>
                    <w:tr2bl w:val="nil"/>
                  </w:tcBorders>
                  <w:noWrap w:val="0"/>
                  <w:vAlign w:val="center"/>
                </w:tcPr>
                <w:p w14:paraId="7137F0C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2658</w:t>
                  </w:r>
                </w:p>
              </w:tc>
              <w:tc>
                <w:tcPr>
                  <w:tcW w:w="503" w:type="pct"/>
                  <w:tcBorders>
                    <w:tl2br w:val="nil"/>
                    <w:tr2bl w:val="nil"/>
                  </w:tcBorders>
                  <w:noWrap w:val="0"/>
                  <w:vAlign w:val="center"/>
                </w:tcPr>
                <w:p w14:paraId="35BCBEB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2745</w:t>
                  </w:r>
                </w:p>
              </w:tc>
              <w:tc>
                <w:tcPr>
                  <w:tcW w:w="503" w:type="pct"/>
                  <w:tcBorders>
                    <w:tl2br w:val="nil"/>
                    <w:tr2bl w:val="nil"/>
                  </w:tcBorders>
                  <w:noWrap w:val="0"/>
                  <w:vAlign w:val="center"/>
                </w:tcPr>
                <w:p w14:paraId="0CA297B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2656</w:t>
                  </w:r>
                </w:p>
              </w:tc>
              <w:tc>
                <w:tcPr>
                  <w:tcW w:w="319" w:type="pct"/>
                  <w:tcBorders>
                    <w:tl2br w:val="nil"/>
                    <w:tr2bl w:val="nil"/>
                  </w:tcBorders>
                  <w:noWrap w:val="0"/>
                  <w:vAlign w:val="center"/>
                </w:tcPr>
                <w:p w14:paraId="42DF0FF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5EFB9A8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21D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74D623F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7BE5F82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5D88658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62B8441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503" w:type="pct"/>
                  <w:tcBorders>
                    <w:tl2br w:val="nil"/>
                    <w:tr2bl w:val="nil"/>
                  </w:tcBorders>
                  <w:noWrap w:val="0"/>
                  <w:vAlign w:val="center"/>
                </w:tcPr>
                <w:p w14:paraId="34E46F3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20. 1</w:t>
                  </w:r>
                </w:p>
              </w:tc>
              <w:tc>
                <w:tcPr>
                  <w:tcW w:w="503" w:type="pct"/>
                  <w:tcBorders>
                    <w:tl2br w:val="nil"/>
                    <w:tr2bl w:val="nil"/>
                  </w:tcBorders>
                  <w:noWrap w:val="0"/>
                  <w:vAlign w:val="center"/>
                </w:tcPr>
                <w:p w14:paraId="52C8BD3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17.8</w:t>
                  </w:r>
                </w:p>
              </w:tc>
              <w:tc>
                <w:tcPr>
                  <w:tcW w:w="503" w:type="pct"/>
                  <w:tcBorders>
                    <w:tl2br w:val="nil"/>
                    <w:tr2bl w:val="nil"/>
                  </w:tcBorders>
                  <w:noWrap w:val="0"/>
                  <w:vAlign w:val="center"/>
                </w:tcPr>
                <w:p w14:paraId="4985DA6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22.5</w:t>
                  </w:r>
                </w:p>
              </w:tc>
              <w:tc>
                <w:tcPr>
                  <w:tcW w:w="319" w:type="pct"/>
                  <w:tcBorders>
                    <w:tl2br w:val="nil"/>
                    <w:tr2bl w:val="nil"/>
                  </w:tcBorders>
                  <w:noWrap w:val="0"/>
                  <w:vAlign w:val="center"/>
                </w:tcPr>
                <w:p w14:paraId="0B0B25E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30</w:t>
                  </w:r>
                </w:p>
              </w:tc>
              <w:tc>
                <w:tcPr>
                  <w:tcW w:w="457" w:type="pct"/>
                  <w:tcBorders>
                    <w:tl2br w:val="nil"/>
                    <w:tr2bl w:val="nil"/>
                  </w:tcBorders>
                  <w:noWrap w:val="0"/>
                  <w:vAlign w:val="center"/>
                </w:tcPr>
                <w:p w14:paraId="1C8B461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54A7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175EC27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3E002B8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7B6CBC9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13FF74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503" w:type="pct"/>
                  <w:tcBorders>
                    <w:tl2br w:val="nil"/>
                    <w:tr2bl w:val="nil"/>
                  </w:tcBorders>
                  <w:noWrap w:val="0"/>
                  <w:vAlign w:val="center"/>
                </w:tcPr>
                <w:p w14:paraId="39AACA2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0.0534</w:t>
                  </w:r>
                </w:p>
              </w:tc>
              <w:tc>
                <w:tcPr>
                  <w:tcW w:w="503" w:type="pct"/>
                  <w:tcBorders>
                    <w:tl2br w:val="nil"/>
                    <w:tr2bl w:val="nil"/>
                  </w:tcBorders>
                  <w:noWrap w:val="0"/>
                  <w:vAlign w:val="center"/>
                </w:tcPr>
                <w:p w14:paraId="5FAB209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0.0489</w:t>
                  </w:r>
                </w:p>
              </w:tc>
              <w:tc>
                <w:tcPr>
                  <w:tcW w:w="503" w:type="pct"/>
                  <w:tcBorders>
                    <w:tl2br w:val="nil"/>
                    <w:tr2bl w:val="nil"/>
                  </w:tcBorders>
                  <w:noWrap w:val="0"/>
                  <w:vAlign w:val="center"/>
                </w:tcPr>
                <w:p w14:paraId="2DDD892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0.0598</w:t>
                  </w:r>
                </w:p>
              </w:tc>
              <w:tc>
                <w:tcPr>
                  <w:tcW w:w="319" w:type="pct"/>
                  <w:tcBorders>
                    <w:tl2br w:val="nil"/>
                    <w:tr2bl w:val="nil"/>
                  </w:tcBorders>
                  <w:noWrap w:val="0"/>
                  <w:vAlign w:val="center"/>
                </w:tcPr>
                <w:p w14:paraId="47983E8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0250AB7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14:paraId="206E1500">
            <w:pPr>
              <w:widowControl/>
              <w:adjustRightInd w:val="0"/>
              <w:snapToGrid w:val="0"/>
              <w:spacing w:line="240" w:lineRule="auto"/>
              <w:jc w:val="left"/>
              <w:rPr>
                <w:rFonts w:hint="default" w:ascii="Times New Roman" w:hAnsi="Times New Roman" w:eastAsia="宋体" w:cs="Times New Roman"/>
                <w:b/>
                <w:bCs/>
                <w:color w:val="FF0000"/>
                <w:kern w:val="0"/>
                <w:sz w:val="18"/>
                <w:szCs w:val="18"/>
                <w:highlight w:val="none"/>
                <w:lang w:val="en-US" w:eastAsia="zh-CN"/>
              </w:rPr>
            </w:pPr>
          </w:p>
          <w:p w14:paraId="5BC9D57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8-2</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现有项目验收期间有组织废气监测结果</w:t>
            </w:r>
            <w:r>
              <w:rPr>
                <w:rFonts w:hint="eastAsia" w:cs="Times New Roman"/>
                <w:b/>
                <w:bCs/>
                <w:color w:val="auto"/>
                <w:kern w:val="2"/>
                <w:sz w:val="24"/>
                <w:szCs w:val="24"/>
                <w:lang w:val="en-US" w:eastAsia="zh-CN"/>
              </w:rPr>
              <w:t>（DA003）</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257"/>
              <w:gridCol w:w="667"/>
              <w:gridCol w:w="1679"/>
              <w:gridCol w:w="866"/>
              <w:gridCol w:w="866"/>
              <w:gridCol w:w="870"/>
              <w:gridCol w:w="549"/>
              <w:gridCol w:w="790"/>
            </w:tblGrid>
            <w:tr w14:paraId="2EF3A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7" w:type="pct"/>
                  <w:gridSpan w:val="2"/>
                  <w:tcBorders>
                    <w:tl2br w:val="nil"/>
                    <w:tr2bl w:val="nil"/>
                  </w:tcBorders>
                  <w:noWrap w:val="0"/>
                  <w:vAlign w:val="center"/>
                </w:tcPr>
                <w:p w14:paraId="19CAA37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净化装置</w:t>
                  </w:r>
                </w:p>
              </w:tc>
              <w:tc>
                <w:tcPr>
                  <w:tcW w:w="1362" w:type="pct"/>
                  <w:gridSpan w:val="2"/>
                  <w:tcBorders>
                    <w:tl2br w:val="nil"/>
                    <w:tr2bl w:val="nil"/>
                  </w:tcBorders>
                  <w:noWrap w:val="0"/>
                  <w:vAlign w:val="center"/>
                </w:tcPr>
                <w:p w14:paraId="7659733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布袋除尘器</w:t>
                  </w:r>
                </w:p>
              </w:tc>
              <w:tc>
                <w:tcPr>
                  <w:tcW w:w="1511" w:type="pct"/>
                  <w:gridSpan w:val="3"/>
                  <w:tcBorders>
                    <w:tl2br w:val="nil"/>
                    <w:tr2bl w:val="nil"/>
                  </w:tcBorders>
                  <w:noWrap w:val="0"/>
                  <w:vAlign w:val="center"/>
                </w:tcPr>
                <w:p w14:paraId="5938F56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排气筒高度</w:t>
                  </w:r>
                  <w:r>
                    <w:rPr>
                      <w:rFonts w:hint="eastAsia" w:cs="Times New Roman"/>
                      <w:b/>
                      <w:bCs/>
                      <w:color w:val="auto"/>
                      <w:kern w:val="0"/>
                      <w:sz w:val="21"/>
                      <w:szCs w:val="21"/>
                      <w:highlight w:val="none"/>
                      <w:lang w:val="en-US" w:eastAsia="zh-CN" w:bidi="ar"/>
                    </w:rPr>
                    <w:t>/内径</w:t>
                  </w:r>
                  <w:r>
                    <w:rPr>
                      <w:rFonts w:hint="default" w:ascii="Times New Roman" w:hAnsi="Times New Roman" w:eastAsia="宋体" w:cs="Times New Roman"/>
                      <w:b/>
                      <w:bCs/>
                      <w:color w:val="auto"/>
                      <w:kern w:val="0"/>
                      <w:sz w:val="21"/>
                      <w:szCs w:val="21"/>
                      <w:highlight w:val="none"/>
                      <w:lang w:val="en-US" w:eastAsia="zh-CN" w:bidi="ar"/>
                    </w:rPr>
                    <w:t>（m）</w:t>
                  </w:r>
                </w:p>
              </w:tc>
              <w:tc>
                <w:tcPr>
                  <w:tcW w:w="777" w:type="pct"/>
                  <w:gridSpan w:val="2"/>
                  <w:tcBorders>
                    <w:tl2br w:val="nil"/>
                    <w:tr2bl w:val="nil"/>
                  </w:tcBorders>
                  <w:noWrap w:val="0"/>
                  <w:vAlign w:val="center"/>
                </w:tcPr>
                <w:p w14:paraId="1B69FE0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15</w:t>
                  </w:r>
                  <w:r>
                    <w:rPr>
                      <w:rFonts w:hint="eastAsia" w:cs="Times New Roman"/>
                      <w:color w:val="auto"/>
                      <w:kern w:val="0"/>
                      <w:sz w:val="21"/>
                      <w:szCs w:val="21"/>
                      <w:highlight w:val="none"/>
                      <w:lang w:val="en-US" w:eastAsia="zh-CN" w:bidi="ar"/>
                    </w:rPr>
                    <w:t>/0.4</w:t>
                  </w:r>
                </w:p>
              </w:tc>
            </w:tr>
            <w:tr w14:paraId="5454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3256416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监测日期</w:t>
                  </w:r>
                </w:p>
              </w:tc>
              <w:tc>
                <w:tcPr>
                  <w:tcW w:w="730" w:type="pct"/>
                  <w:vMerge w:val="restart"/>
                  <w:tcBorders>
                    <w:tl2br w:val="nil"/>
                    <w:tr2bl w:val="nil"/>
                  </w:tcBorders>
                  <w:noWrap w:val="0"/>
                  <w:vAlign w:val="center"/>
                </w:tcPr>
                <w:p w14:paraId="528BD13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sz w:val="21"/>
                      <w:szCs w:val="21"/>
                      <w:highlight w:val="none"/>
                    </w:rPr>
                    <w:t>采样</w:t>
                  </w:r>
                  <w:r>
                    <w:rPr>
                      <w:rFonts w:hint="default" w:ascii="Times New Roman" w:hAnsi="Times New Roman" w:eastAsia="宋体" w:cs="Times New Roman"/>
                      <w:b/>
                      <w:bCs/>
                      <w:color w:val="auto"/>
                      <w:sz w:val="21"/>
                      <w:szCs w:val="21"/>
                      <w:highlight w:val="none"/>
                      <w:lang w:val="en-US" w:eastAsia="zh-CN"/>
                    </w:rPr>
                    <w:t>位置</w:t>
                  </w:r>
                </w:p>
              </w:tc>
              <w:tc>
                <w:tcPr>
                  <w:tcW w:w="1362" w:type="pct"/>
                  <w:gridSpan w:val="2"/>
                  <w:vMerge w:val="restart"/>
                  <w:tcBorders>
                    <w:tl2br w:val="nil"/>
                    <w:tr2bl w:val="nil"/>
                  </w:tcBorders>
                  <w:noWrap w:val="0"/>
                  <w:vAlign w:val="center"/>
                </w:tcPr>
                <w:p w14:paraId="0EC0727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监测项目</w:t>
                  </w:r>
                </w:p>
              </w:tc>
              <w:tc>
                <w:tcPr>
                  <w:tcW w:w="1511" w:type="pct"/>
                  <w:gridSpan w:val="3"/>
                  <w:tcBorders>
                    <w:tl2br w:val="nil"/>
                    <w:tr2bl w:val="nil"/>
                  </w:tcBorders>
                  <w:noWrap w:val="0"/>
                  <w:vAlign w:val="center"/>
                </w:tcPr>
                <w:p w14:paraId="6C39896D">
                  <w:pPr>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监测点位</w:t>
                  </w:r>
                </w:p>
              </w:tc>
              <w:tc>
                <w:tcPr>
                  <w:tcW w:w="319" w:type="pct"/>
                  <w:vMerge w:val="restart"/>
                  <w:tcBorders>
                    <w:tl2br w:val="nil"/>
                    <w:tr2bl w:val="nil"/>
                  </w:tcBorders>
                  <w:noWrap w:val="0"/>
                  <w:vAlign w:val="center"/>
                </w:tcPr>
                <w:p w14:paraId="6D75FED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执行</w:t>
                  </w:r>
                </w:p>
                <w:p w14:paraId="7897ACA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标准</w:t>
                  </w:r>
                </w:p>
              </w:tc>
              <w:tc>
                <w:tcPr>
                  <w:tcW w:w="457" w:type="pct"/>
                  <w:vMerge w:val="restart"/>
                  <w:tcBorders>
                    <w:tl2br w:val="nil"/>
                    <w:tr2bl w:val="nil"/>
                  </w:tcBorders>
                  <w:noWrap w:val="0"/>
                  <w:vAlign w:val="center"/>
                </w:tcPr>
                <w:p w14:paraId="6BE67C9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达标情况</w:t>
                  </w:r>
                </w:p>
              </w:tc>
            </w:tr>
            <w:tr w14:paraId="1A5AD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6F5F4F2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082F282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62" w:type="pct"/>
                  <w:gridSpan w:val="2"/>
                  <w:vMerge w:val="continue"/>
                  <w:tcBorders>
                    <w:tl2br w:val="nil"/>
                    <w:tr2bl w:val="nil"/>
                  </w:tcBorders>
                  <w:noWrap w:val="0"/>
                  <w:vAlign w:val="center"/>
                </w:tcPr>
                <w:p w14:paraId="5A456B5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511" w:type="pct"/>
                  <w:gridSpan w:val="3"/>
                  <w:tcBorders>
                    <w:tl2br w:val="nil"/>
                    <w:tr2bl w:val="nil"/>
                  </w:tcBorders>
                  <w:noWrap w:val="0"/>
                  <w:vAlign w:val="center"/>
                </w:tcPr>
                <w:p w14:paraId="3DB16415">
                  <w:pPr>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sz w:val="21"/>
                      <w:szCs w:val="21"/>
                      <w:highlight w:val="none"/>
                      <w:lang w:val="en-US" w:eastAsia="zh-CN"/>
                    </w:rPr>
                    <w:t>打磨</w:t>
                  </w:r>
                  <w:r>
                    <w:rPr>
                      <w:rFonts w:hint="eastAsia" w:ascii="Times New Roman" w:hAnsi="Times New Roman" w:eastAsia="宋体" w:cs="Times New Roman"/>
                      <w:b/>
                      <w:bCs/>
                      <w:color w:val="auto"/>
                      <w:sz w:val="21"/>
                      <w:szCs w:val="21"/>
                      <w:highlight w:val="none"/>
                      <w:lang w:val="en-US" w:eastAsia="zh-CN"/>
                    </w:rPr>
                    <w:t>废气</w:t>
                  </w:r>
                  <w:r>
                    <w:rPr>
                      <w:rFonts w:hint="default" w:ascii="Times New Roman" w:hAnsi="Times New Roman" w:eastAsia="宋体" w:cs="Times New Roman"/>
                      <w:b/>
                      <w:bCs/>
                      <w:color w:val="auto"/>
                      <w:sz w:val="21"/>
                      <w:szCs w:val="21"/>
                      <w:highlight w:val="none"/>
                      <w:lang w:val="en-US" w:eastAsia="zh-CN"/>
                    </w:rPr>
                    <w:t>排气筒（DA00</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319" w:type="pct"/>
                  <w:vMerge w:val="continue"/>
                  <w:tcBorders>
                    <w:tl2br w:val="nil"/>
                    <w:tr2bl w:val="nil"/>
                  </w:tcBorders>
                  <w:noWrap w:val="0"/>
                  <w:vAlign w:val="center"/>
                </w:tcPr>
                <w:p w14:paraId="2D5CD12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457" w:type="pct"/>
                  <w:vMerge w:val="continue"/>
                  <w:tcBorders>
                    <w:tl2br w:val="nil"/>
                    <w:tr2bl w:val="nil"/>
                  </w:tcBorders>
                  <w:noWrap w:val="0"/>
                  <w:vAlign w:val="center"/>
                </w:tcPr>
                <w:p w14:paraId="6BED2E8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r>
            <w:tr w14:paraId="15E4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036DD1EA">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2018.7.23</w:t>
                  </w:r>
                </w:p>
              </w:tc>
              <w:tc>
                <w:tcPr>
                  <w:tcW w:w="730" w:type="pct"/>
                  <w:vMerge w:val="restart"/>
                  <w:tcBorders>
                    <w:tl2br w:val="nil"/>
                    <w:tr2bl w:val="nil"/>
                  </w:tcBorders>
                  <w:noWrap w:val="0"/>
                  <w:vAlign w:val="center"/>
                </w:tcPr>
                <w:p w14:paraId="6F03937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02EDF34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yellow"/>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503" w:type="pct"/>
                  <w:tcBorders>
                    <w:tl2br w:val="nil"/>
                    <w:tr2bl w:val="nil"/>
                  </w:tcBorders>
                  <w:noWrap w:val="0"/>
                  <w:vAlign w:val="center"/>
                </w:tcPr>
                <w:p w14:paraId="3EA07C9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178</w:t>
                  </w:r>
                </w:p>
              </w:tc>
              <w:tc>
                <w:tcPr>
                  <w:tcW w:w="503" w:type="pct"/>
                  <w:tcBorders>
                    <w:tl2br w:val="nil"/>
                    <w:tr2bl w:val="nil"/>
                  </w:tcBorders>
                  <w:noWrap w:val="0"/>
                  <w:vAlign w:val="center"/>
                </w:tcPr>
                <w:p w14:paraId="7EFB721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177</w:t>
                  </w:r>
                </w:p>
              </w:tc>
              <w:tc>
                <w:tcPr>
                  <w:tcW w:w="503" w:type="pct"/>
                  <w:tcBorders>
                    <w:tl2br w:val="nil"/>
                    <w:tr2bl w:val="nil"/>
                  </w:tcBorders>
                  <w:noWrap w:val="0"/>
                  <w:vAlign w:val="center"/>
                </w:tcPr>
                <w:p w14:paraId="205ECC8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179</w:t>
                  </w:r>
                </w:p>
              </w:tc>
              <w:tc>
                <w:tcPr>
                  <w:tcW w:w="319" w:type="pct"/>
                  <w:tcBorders>
                    <w:tl2br w:val="nil"/>
                    <w:tr2bl w:val="nil"/>
                  </w:tcBorders>
                  <w:noWrap w:val="0"/>
                  <w:vAlign w:val="center"/>
                </w:tcPr>
                <w:p w14:paraId="6071348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31A2A70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073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56EB860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296997C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14E04D2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397FA52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0C42C1A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342.3</w:t>
                  </w:r>
                </w:p>
              </w:tc>
              <w:tc>
                <w:tcPr>
                  <w:tcW w:w="858" w:type="dxa"/>
                  <w:tcBorders>
                    <w:tl2br w:val="nil"/>
                    <w:tr2bl w:val="nil"/>
                  </w:tcBorders>
                  <w:noWrap w:val="0"/>
                  <w:vAlign w:val="center"/>
                </w:tcPr>
                <w:p w14:paraId="5B1E98D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348.5</w:t>
                  </w:r>
                </w:p>
              </w:tc>
              <w:tc>
                <w:tcPr>
                  <w:tcW w:w="861" w:type="dxa"/>
                  <w:tcBorders>
                    <w:tl2br w:val="nil"/>
                    <w:tr2bl w:val="nil"/>
                  </w:tcBorders>
                  <w:noWrap w:val="0"/>
                  <w:vAlign w:val="center"/>
                </w:tcPr>
                <w:p w14:paraId="6347269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343.6</w:t>
                  </w:r>
                </w:p>
              </w:tc>
              <w:tc>
                <w:tcPr>
                  <w:tcW w:w="319" w:type="pct"/>
                  <w:tcBorders>
                    <w:tl2br w:val="nil"/>
                    <w:tr2bl w:val="nil"/>
                  </w:tcBorders>
                  <w:noWrap w:val="0"/>
                  <w:vAlign w:val="center"/>
                </w:tcPr>
                <w:p w14:paraId="0312D58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248CF22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58D9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177DDA6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4068B17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7F6CB6B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48AB9E7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858" w:type="dxa"/>
                  <w:tcBorders>
                    <w:tl2br w:val="nil"/>
                    <w:tr2bl w:val="nil"/>
                  </w:tcBorders>
                  <w:noWrap w:val="0"/>
                  <w:vAlign w:val="top"/>
                </w:tcPr>
                <w:p w14:paraId="6D82898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0.0609</w:t>
                  </w:r>
                </w:p>
              </w:tc>
              <w:tc>
                <w:tcPr>
                  <w:tcW w:w="858" w:type="dxa"/>
                  <w:tcBorders>
                    <w:tl2br w:val="nil"/>
                    <w:tr2bl w:val="nil"/>
                  </w:tcBorders>
                  <w:noWrap w:val="0"/>
                  <w:vAlign w:val="top"/>
                </w:tcPr>
                <w:p w14:paraId="4C4F297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0.0616</w:t>
                  </w:r>
                </w:p>
              </w:tc>
              <w:tc>
                <w:tcPr>
                  <w:tcW w:w="861" w:type="dxa"/>
                  <w:tcBorders>
                    <w:tl2br w:val="nil"/>
                    <w:tr2bl w:val="nil"/>
                  </w:tcBorders>
                  <w:noWrap w:val="0"/>
                  <w:vAlign w:val="top"/>
                </w:tcPr>
                <w:p w14:paraId="06A6643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0.0615</w:t>
                  </w:r>
                </w:p>
              </w:tc>
              <w:tc>
                <w:tcPr>
                  <w:tcW w:w="319" w:type="pct"/>
                  <w:tcBorders>
                    <w:tl2br w:val="nil"/>
                    <w:tr2bl w:val="nil"/>
                  </w:tcBorders>
                  <w:noWrap w:val="0"/>
                  <w:vAlign w:val="center"/>
                </w:tcPr>
                <w:p w14:paraId="592AE86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0A4B8FE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C7B0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6BB3A821">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7FC0D18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475195F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58" w:type="dxa"/>
                  <w:tcBorders>
                    <w:tl2br w:val="nil"/>
                    <w:tr2bl w:val="nil"/>
                  </w:tcBorders>
                  <w:noWrap w:val="0"/>
                  <w:vAlign w:val="top"/>
                </w:tcPr>
                <w:p w14:paraId="2C10F21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711</w:t>
                  </w:r>
                </w:p>
              </w:tc>
              <w:tc>
                <w:tcPr>
                  <w:tcW w:w="858" w:type="dxa"/>
                  <w:tcBorders>
                    <w:tl2br w:val="nil"/>
                    <w:tr2bl w:val="nil"/>
                  </w:tcBorders>
                  <w:noWrap w:val="0"/>
                  <w:vAlign w:val="top"/>
                </w:tcPr>
                <w:p w14:paraId="02BE5F6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723</w:t>
                  </w:r>
                </w:p>
              </w:tc>
              <w:tc>
                <w:tcPr>
                  <w:tcW w:w="861" w:type="dxa"/>
                  <w:tcBorders>
                    <w:tl2br w:val="nil"/>
                    <w:tr2bl w:val="nil"/>
                  </w:tcBorders>
                  <w:noWrap w:val="0"/>
                  <w:vAlign w:val="top"/>
                </w:tcPr>
                <w:p w14:paraId="3935CF7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716</w:t>
                  </w:r>
                </w:p>
              </w:tc>
              <w:tc>
                <w:tcPr>
                  <w:tcW w:w="319" w:type="pct"/>
                  <w:tcBorders>
                    <w:tl2br w:val="nil"/>
                    <w:tr2bl w:val="nil"/>
                  </w:tcBorders>
                  <w:noWrap w:val="0"/>
                  <w:vAlign w:val="center"/>
                </w:tcPr>
                <w:p w14:paraId="48832A7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1D9EF7A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1AC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A2E2F1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5C095FB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2062C48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64EED8C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6AF80C6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23.2</w:t>
                  </w:r>
                </w:p>
              </w:tc>
              <w:tc>
                <w:tcPr>
                  <w:tcW w:w="858" w:type="dxa"/>
                  <w:tcBorders>
                    <w:tl2br w:val="nil"/>
                    <w:tr2bl w:val="nil"/>
                  </w:tcBorders>
                  <w:noWrap w:val="0"/>
                  <w:vAlign w:val="center"/>
                </w:tcPr>
                <w:p w14:paraId="561A183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24.8</w:t>
                  </w:r>
                </w:p>
              </w:tc>
              <w:tc>
                <w:tcPr>
                  <w:tcW w:w="861" w:type="dxa"/>
                  <w:tcBorders>
                    <w:tl2br w:val="nil"/>
                    <w:tr2bl w:val="nil"/>
                  </w:tcBorders>
                  <w:noWrap w:val="0"/>
                  <w:vAlign w:val="center"/>
                </w:tcPr>
                <w:p w14:paraId="55450EE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24.9</w:t>
                  </w:r>
                </w:p>
              </w:tc>
              <w:tc>
                <w:tcPr>
                  <w:tcW w:w="319" w:type="pct"/>
                  <w:tcBorders>
                    <w:tl2br w:val="nil"/>
                    <w:tr2bl w:val="nil"/>
                  </w:tcBorders>
                  <w:noWrap w:val="0"/>
                  <w:vAlign w:val="center"/>
                </w:tcPr>
                <w:p w14:paraId="13326E0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30</w:t>
                  </w:r>
                </w:p>
              </w:tc>
              <w:tc>
                <w:tcPr>
                  <w:tcW w:w="457" w:type="pct"/>
                  <w:tcBorders>
                    <w:tl2br w:val="nil"/>
                    <w:tr2bl w:val="nil"/>
                  </w:tcBorders>
                  <w:noWrap w:val="0"/>
                  <w:vAlign w:val="center"/>
                </w:tcPr>
                <w:p w14:paraId="05794F3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4A39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4FC7B6E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7FDE3C0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3AC434D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0098B6C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858" w:type="dxa"/>
                  <w:tcBorders>
                    <w:tl2br w:val="nil"/>
                    <w:tr2bl w:val="nil"/>
                  </w:tcBorders>
                  <w:noWrap w:val="0"/>
                  <w:vAlign w:val="top"/>
                </w:tcPr>
                <w:p w14:paraId="79F1440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0.0165</w:t>
                  </w:r>
                </w:p>
              </w:tc>
              <w:tc>
                <w:tcPr>
                  <w:tcW w:w="858" w:type="dxa"/>
                  <w:tcBorders>
                    <w:tl2br w:val="nil"/>
                    <w:tr2bl w:val="nil"/>
                  </w:tcBorders>
                  <w:noWrap w:val="0"/>
                  <w:vAlign w:val="top"/>
                </w:tcPr>
                <w:p w14:paraId="20DEA10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0.0180</w:t>
                  </w:r>
                </w:p>
              </w:tc>
              <w:tc>
                <w:tcPr>
                  <w:tcW w:w="861" w:type="dxa"/>
                  <w:tcBorders>
                    <w:tl2br w:val="nil"/>
                    <w:tr2bl w:val="nil"/>
                  </w:tcBorders>
                  <w:noWrap w:val="0"/>
                  <w:vAlign w:val="top"/>
                </w:tcPr>
                <w:p w14:paraId="1D39EAA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0.0178</w:t>
                  </w:r>
                </w:p>
              </w:tc>
              <w:tc>
                <w:tcPr>
                  <w:tcW w:w="319" w:type="pct"/>
                  <w:tcBorders>
                    <w:tl2br w:val="nil"/>
                    <w:tr2bl w:val="nil"/>
                  </w:tcBorders>
                  <w:noWrap w:val="0"/>
                  <w:vAlign w:val="center"/>
                </w:tcPr>
                <w:p w14:paraId="5BC3EA8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784E23F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5802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64EA858A">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w:t>
                  </w:r>
                  <w:r>
                    <w:rPr>
                      <w:rFonts w:hint="eastAsia" w:ascii="Times New Roman" w:hAnsi="Times New Roman" w:eastAsia="宋体" w:cs="Times New Roman"/>
                      <w:color w:val="auto"/>
                      <w:spacing w:val="3"/>
                      <w:sz w:val="20"/>
                      <w:szCs w:val="20"/>
                      <w:lang w:val="en-US" w:eastAsia="zh-CN"/>
                    </w:rPr>
                    <w:t>4</w:t>
                  </w:r>
                </w:p>
              </w:tc>
              <w:tc>
                <w:tcPr>
                  <w:tcW w:w="730" w:type="pct"/>
                  <w:vMerge w:val="restart"/>
                  <w:tcBorders>
                    <w:tl2br w:val="nil"/>
                    <w:tr2bl w:val="nil"/>
                  </w:tcBorders>
                  <w:noWrap w:val="0"/>
                  <w:vAlign w:val="center"/>
                </w:tcPr>
                <w:p w14:paraId="6B43F81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14A0A3E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503" w:type="pct"/>
                  <w:tcBorders>
                    <w:tl2br w:val="nil"/>
                    <w:tr2bl w:val="nil"/>
                  </w:tcBorders>
                  <w:noWrap w:val="0"/>
                  <w:vAlign w:val="center"/>
                </w:tcPr>
                <w:p w14:paraId="5A26E5D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177</w:t>
                  </w:r>
                </w:p>
              </w:tc>
              <w:tc>
                <w:tcPr>
                  <w:tcW w:w="503" w:type="pct"/>
                  <w:tcBorders>
                    <w:tl2br w:val="nil"/>
                    <w:tr2bl w:val="nil"/>
                  </w:tcBorders>
                  <w:noWrap w:val="0"/>
                  <w:vAlign w:val="center"/>
                </w:tcPr>
                <w:p w14:paraId="694C977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178</w:t>
                  </w:r>
                </w:p>
              </w:tc>
              <w:tc>
                <w:tcPr>
                  <w:tcW w:w="503" w:type="pct"/>
                  <w:tcBorders>
                    <w:tl2br w:val="nil"/>
                    <w:tr2bl w:val="nil"/>
                  </w:tcBorders>
                  <w:noWrap w:val="0"/>
                  <w:vAlign w:val="center"/>
                </w:tcPr>
                <w:p w14:paraId="7460EAE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179</w:t>
                  </w:r>
                </w:p>
              </w:tc>
              <w:tc>
                <w:tcPr>
                  <w:tcW w:w="319" w:type="pct"/>
                  <w:tcBorders>
                    <w:tl2br w:val="nil"/>
                    <w:tr2bl w:val="nil"/>
                  </w:tcBorders>
                  <w:noWrap w:val="0"/>
                  <w:vAlign w:val="center"/>
                </w:tcPr>
                <w:p w14:paraId="4EFB9D4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7177E35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AE5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4DA9BB5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124DF09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5121116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061EB89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1BC31F8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342.3</w:t>
                  </w:r>
                </w:p>
              </w:tc>
              <w:tc>
                <w:tcPr>
                  <w:tcW w:w="858" w:type="dxa"/>
                  <w:tcBorders>
                    <w:tl2br w:val="nil"/>
                    <w:tr2bl w:val="nil"/>
                  </w:tcBorders>
                  <w:noWrap w:val="0"/>
                  <w:vAlign w:val="center"/>
                </w:tcPr>
                <w:p w14:paraId="67AE058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347.2</w:t>
                  </w:r>
                </w:p>
              </w:tc>
              <w:tc>
                <w:tcPr>
                  <w:tcW w:w="861" w:type="dxa"/>
                  <w:tcBorders>
                    <w:tl2br w:val="nil"/>
                    <w:tr2bl w:val="nil"/>
                  </w:tcBorders>
                  <w:noWrap w:val="0"/>
                  <w:vAlign w:val="center"/>
                </w:tcPr>
                <w:p w14:paraId="4E16247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343.0</w:t>
                  </w:r>
                </w:p>
              </w:tc>
              <w:tc>
                <w:tcPr>
                  <w:tcW w:w="319" w:type="pct"/>
                  <w:tcBorders>
                    <w:tl2br w:val="nil"/>
                    <w:tr2bl w:val="nil"/>
                  </w:tcBorders>
                  <w:noWrap w:val="0"/>
                  <w:vAlign w:val="center"/>
                </w:tcPr>
                <w:p w14:paraId="0B4C452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1FD7AA5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935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3D3AE5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35B66EA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2E98081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75B0E48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858" w:type="dxa"/>
                  <w:tcBorders>
                    <w:tl2br w:val="nil"/>
                    <w:tr2bl w:val="nil"/>
                  </w:tcBorders>
                  <w:noWrap w:val="0"/>
                  <w:vAlign w:val="top"/>
                </w:tcPr>
                <w:p w14:paraId="3D72D82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0.0605</w:t>
                  </w:r>
                </w:p>
              </w:tc>
              <w:tc>
                <w:tcPr>
                  <w:tcW w:w="858" w:type="dxa"/>
                  <w:tcBorders>
                    <w:tl2br w:val="nil"/>
                    <w:tr2bl w:val="nil"/>
                  </w:tcBorders>
                  <w:noWrap w:val="0"/>
                  <w:vAlign w:val="top"/>
                </w:tcPr>
                <w:p w14:paraId="0912158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0.0618</w:t>
                  </w:r>
                </w:p>
              </w:tc>
              <w:tc>
                <w:tcPr>
                  <w:tcW w:w="861" w:type="dxa"/>
                  <w:tcBorders>
                    <w:tl2br w:val="nil"/>
                    <w:tr2bl w:val="nil"/>
                  </w:tcBorders>
                  <w:noWrap w:val="0"/>
                  <w:vAlign w:val="top"/>
                </w:tcPr>
                <w:p w14:paraId="2499984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0.0614</w:t>
                  </w:r>
                </w:p>
              </w:tc>
              <w:tc>
                <w:tcPr>
                  <w:tcW w:w="319" w:type="pct"/>
                  <w:tcBorders>
                    <w:tl2br w:val="nil"/>
                    <w:tr2bl w:val="nil"/>
                  </w:tcBorders>
                  <w:noWrap w:val="0"/>
                  <w:vAlign w:val="center"/>
                </w:tcPr>
                <w:p w14:paraId="380D7D2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4F35790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0C2E5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1FA20165">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1DD4AAC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213254A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58" w:type="dxa"/>
                  <w:tcBorders>
                    <w:tl2br w:val="nil"/>
                    <w:tr2bl w:val="nil"/>
                  </w:tcBorders>
                  <w:noWrap w:val="0"/>
                  <w:vAlign w:val="top"/>
                </w:tcPr>
                <w:p w14:paraId="156E6C3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712</w:t>
                  </w:r>
                </w:p>
              </w:tc>
              <w:tc>
                <w:tcPr>
                  <w:tcW w:w="858" w:type="dxa"/>
                  <w:tcBorders>
                    <w:tl2br w:val="nil"/>
                    <w:tr2bl w:val="nil"/>
                  </w:tcBorders>
                  <w:noWrap w:val="0"/>
                  <w:vAlign w:val="top"/>
                </w:tcPr>
                <w:p w14:paraId="4522E13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724</w:t>
                  </w:r>
                </w:p>
              </w:tc>
              <w:tc>
                <w:tcPr>
                  <w:tcW w:w="861" w:type="dxa"/>
                  <w:tcBorders>
                    <w:tl2br w:val="nil"/>
                    <w:tr2bl w:val="nil"/>
                  </w:tcBorders>
                  <w:noWrap w:val="0"/>
                  <w:vAlign w:val="top"/>
                </w:tcPr>
                <w:p w14:paraId="0F81145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718</w:t>
                  </w:r>
                </w:p>
              </w:tc>
              <w:tc>
                <w:tcPr>
                  <w:tcW w:w="319" w:type="pct"/>
                  <w:tcBorders>
                    <w:tl2br w:val="nil"/>
                    <w:tr2bl w:val="nil"/>
                  </w:tcBorders>
                  <w:noWrap w:val="0"/>
                  <w:vAlign w:val="center"/>
                </w:tcPr>
                <w:p w14:paraId="3F13E7D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62B91A9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3A6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70D871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32F4B2C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4E1A6C0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0408A46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687EBAD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23.2</w:t>
                  </w:r>
                </w:p>
              </w:tc>
              <w:tc>
                <w:tcPr>
                  <w:tcW w:w="858" w:type="dxa"/>
                  <w:tcBorders>
                    <w:tl2br w:val="nil"/>
                    <w:tr2bl w:val="nil"/>
                  </w:tcBorders>
                  <w:noWrap w:val="0"/>
                  <w:vAlign w:val="center"/>
                </w:tcPr>
                <w:p w14:paraId="7460144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24.8</w:t>
                  </w:r>
                </w:p>
              </w:tc>
              <w:tc>
                <w:tcPr>
                  <w:tcW w:w="861" w:type="dxa"/>
                  <w:tcBorders>
                    <w:tl2br w:val="nil"/>
                    <w:tr2bl w:val="nil"/>
                  </w:tcBorders>
                  <w:noWrap w:val="0"/>
                  <w:vAlign w:val="center"/>
                </w:tcPr>
                <w:p w14:paraId="70B7F26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25.0</w:t>
                  </w:r>
                </w:p>
              </w:tc>
              <w:tc>
                <w:tcPr>
                  <w:tcW w:w="319" w:type="pct"/>
                  <w:tcBorders>
                    <w:tl2br w:val="nil"/>
                    <w:tr2bl w:val="nil"/>
                  </w:tcBorders>
                  <w:noWrap w:val="0"/>
                  <w:vAlign w:val="center"/>
                </w:tcPr>
                <w:p w14:paraId="6EB8F54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30</w:t>
                  </w:r>
                </w:p>
              </w:tc>
              <w:tc>
                <w:tcPr>
                  <w:tcW w:w="457" w:type="pct"/>
                  <w:tcBorders>
                    <w:tl2br w:val="nil"/>
                    <w:tr2bl w:val="nil"/>
                  </w:tcBorders>
                  <w:noWrap w:val="0"/>
                  <w:vAlign w:val="center"/>
                </w:tcPr>
                <w:p w14:paraId="4296100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080E2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1CD2F14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61E662D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3AE0952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6BE4DF9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858" w:type="dxa"/>
                  <w:tcBorders>
                    <w:tl2br w:val="nil"/>
                    <w:tr2bl w:val="nil"/>
                  </w:tcBorders>
                  <w:noWrap w:val="0"/>
                  <w:vAlign w:val="top"/>
                </w:tcPr>
                <w:p w14:paraId="301E6D9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0.0166</w:t>
                  </w:r>
                </w:p>
              </w:tc>
              <w:tc>
                <w:tcPr>
                  <w:tcW w:w="858" w:type="dxa"/>
                  <w:tcBorders>
                    <w:tl2br w:val="nil"/>
                    <w:tr2bl w:val="nil"/>
                  </w:tcBorders>
                  <w:noWrap w:val="0"/>
                  <w:vAlign w:val="top"/>
                </w:tcPr>
                <w:p w14:paraId="6162BAF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0.0180</w:t>
                  </w:r>
                </w:p>
              </w:tc>
              <w:tc>
                <w:tcPr>
                  <w:tcW w:w="861" w:type="dxa"/>
                  <w:tcBorders>
                    <w:tl2br w:val="nil"/>
                    <w:tr2bl w:val="nil"/>
                  </w:tcBorders>
                  <w:noWrap w:val="0"/>
                  <w:vAlign w:val="top"/>
                </w:tcPr>
                <w:p w14:paraId="46B8FB6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0.0180</w:t>
                  </w:r>
                </w:p>
              </w:tc>
              <w:tc>
                <w:tcPr>
                  <w:tcW w:w="319" w:type="pct"/>
                  <w:tcBorders>
                    <w:tl2br w:val="nil"/>
                    <w:tr2bl w:val="nil"/>
                  </w:tcBorders>
                  <w:noWrap w:val="0"/>
                  <w:vAlign w:val="center"/>
                </w:tcPr>
                <w:p w14:paraId="494D032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1C3E739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14:paraId="3AC5970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FF0000"/>
                <w:kern w:val="2"/>
                <w:sz w:val="24"/>
                <w:szCs w:val="24"/>
                <w:lang w:val="en-US" w:eastAsia="zh-CN"/>
              </w:rPr>
            </w:pPr>
          </w:p>
          <w:p w14:paraId="766D85C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8-3</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现有项目验收期间有组织废气监测结果</w:t>
            </w:r>
            <w:r>
              <w:rPr>
                <w:rFonts w:hint="eastAsia" w:cs="Times New Roman"/>
                <w:b/>
                <w:bCs/>
                <w:color w:val="auto"/>
                <w:kern w:val="2"/>
                <w:sz w:val="24"/>
                <w:szCs w:val="24"/>
                <w:lang w:val="en-US" w:eastAsia="zh-CN"/>
              </w:rPr>
              <w:t>（DA003）</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257"/>
              <w:gridCol w:w="667"/>
              <w:gridCol w:w="1679"/>
              <w:gridCol w:w="866"/>
              <w:gridCol w:w="866"/>
              <w:gridCol w:w="870"/>
              <w:gridCol w:w="549"/>
              <w:gridCol w:w="790"/>
            </w:tblGrid>
            <w:tr w14:paraId="769D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7" w:type="pct"/>
                  <w:gridSpan w:val="2"/>
                  <w:tcBorders>
                    <w:tl2br w:val="nil"/>
                    <w:tr2bl w:val="nil"/>
                  </w:tcBorders>
                  <w:noWrap w:val="0"/>
                  <w:vAlign w:val="center"/>
                </w:tcPr>
                <w:p w14:paraId="6E190535">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净化装置</w:t>
                  </w:r>
                </w:p>
              </w:tc>
              <w:tc>
                <w:tcPr>
                  <w:tcW w:w="1362" w:type="pct"/>
                  <w:gridSpan w:val="2"/>
                  <w:tcBorders>
                    <w:tl2br w:val="nil"/>
                    <w:tr2bl w:val="nil"/>
                  </w:tcBorders>
                  <w:noWrap w:val="0"/>
                  <w:vAlign w:val="center"/>
                </w:tcPr>
                <w:p w14:paraId="1BE076C7">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布袋除尘器</w:t>
                  </w:r>
                </w:p>
              </w:tc>
              <w:tc>
                <w:tcPr>
                  <w:tcW w:w="1511" w:type="pct"/>
                  <w:gridSpan w:val="3"/>
                  <w:tcBorders>
                    <w:tl2br w:val="nil"/>
                    <w:tr2bl w:val="nil"/>
                  </w:tcBorders>
                  <w:noWrap w:val="0"/>
                  <w:vAlign w:val="center"/>
                </w:tcPr>
                <w:p w14:paraId="67B6FB0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排气筒高度</w:t>
                  </w:r>
                  <w:r>
                    <w:rPr>
                      <w:rFonts w:hint="eastAsia" w:cs="Times New Roman"/>
                      <w:b/>
                      <w:bCs/>
                      <w:color w:val="auto"/>
                      <w:kern w:val="0"/>
                      <w:sz w:val="21"/>
                      <w:szCs w:val="21"/>
                      <w:highlight w:val="none"/>
                      <w:lang w:val="en-US" w:eastAsia="zh-CN" w:bidi="ar"/>
                    </w:rPr>
                    <w:t>/内径</w:t>
                  </w:r>
                  <w:r>
                    <w:rPr>
                      <w:rFonts w:hint="default" w:ascii="Times New Roman" w:hAnsi="Times New Roman" w:eastAsia="宋体" w:cs="Times New Roman"/>
                      <w:b/>
                      <w:bCs/>
                      <w:color w:val="auto"/>
                      <w:kern w:val="0"/>
                      <w:sz w:val="21"/>
                      <w:szCs w:val="21"/>
                      <w:highlight w:val="none"/>
                      <w:lang w:val="en-US" w:eastAsia="zh-CN" w:bidi="ar"/>
                    </w:rPr>
                    <w:t>（m）</w:t>
                  </w:r>
                </w:p>
              </w:tc>
              <w:tc>
                <w:tcPr>
                  <w:tcW w:w="777" w:type="pct"/>
                  <w:gridSpan w:val="2"/>
                  <w:tcBorders>
                    <w:tl2br w:val="nil"/>
                    <w:tr2bl w:val="nil"/>
                  </w:tcBorders>
                  <w:noWrap w:val="0"/>
                  <w:vAlign w:val="center"/>
                </w:tcPr>
                <w:p w14:paraId="6924F12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15</w:t>
                  </w:r>
                  <w:r>
                    <w:rPr>
                      <w:rFonts w:hint="eastAsia" w:cs="Times New Roman"/>
                      <w:color w:val="auto"/>
                      <w:kern w:val="0"/>
                      <w:sz w:val="21"/>
                      <w:szCs w:val="21"/>
                      <w:highlight w:val="none"/>
                      <w:lang w:val="en-US" w:eastAsia="zh-CN" w:bidi="ar"/>
                    </w:rPr>
                    <w:t>/0.4</w:t>
                  </w:r>
                </w:p>
              </w:tc>
            </w:tr>
            <w:tr w14:paraId="7BCC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290F31B7">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监测日期</w:t>
                  </w:r>
                </w:p>
              </w:tc>
              <w:tc>
                <w:tcPr>
                  <w:tcW w:w="730" w:type="pct"/>
                  <w:vMerge w:val="restart"/>
                  <w:tcBorders>
                    <w:tl2br w:val="nil"/>
                    <w:tr2bl w:val="nil"/>
                  </w:tcBorders>
                  <w:noWrap w:val="0"/>
                  <w:vAlign w:val="center"/>
                </w:tcPr>
                <w:p w14:paraId="3F2D227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sz w:val="21"/>
                      <w:szCs w:val="21"/>
                      <w:highlight w:val="none"/>
                    </w:rPr>
                    <w:t>采样</w:t>
                  </w:r>
                  <w:r>
                    <w:rPr>
                      <w:rFonts w:hint="default" w:ascii="Times New Roman" w:hAnsi="Times New Roman" w:eastAsia="宋体" w:cs="Times New Roman"/>
                      <w:b/>
                      <w:bCs/>
                      <w:color w:val="auto"/>
                      <w:sz w:val="21"/>
                      <w:szCs w:val="21"/>
                      <w:highlight w:val="none"/>
                      <w:lang w:val="en-US" w:eastAsia="zh-CN"/>
                    </w:rPr>
                    <w:t>位置</w:t>
                  </w:r>
                </w:p>
              </w:tc>
              <w:tc>
                <w:tcPr>
                  <w:tcW w:w="1362" w:type="pct"/>
                  <w:gridSpan w:val="2"/>
                  <w:vMerge w:val="restart"/>
                  <w:tcBorders>
                    <w:tl2br w:val="nil"/>
                    <w:tr2bl w:val="nil"/>
                  </w:tcBorders>
                  <w:noWrap w:val="0"/>
                  <w:vAlign w:val="center"/>
                </w:tcPr>
                <w:p w14:paraId="40D194B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监测项目</w:t>
                  </w:r>
                </w:p>
              </w:tc>
              <w:tc>
                <w:tcPr>
                  <w:tcW w:w="1511" w:type="pct"/>
                  <w:gridSpan w:val="3"/>
                  <w:tcBorders>
                    <w:tl2br w:val="nil"/>
                    <w:tr2bl w:val="nil"/>
                  </w:tcBorders>
                  <w:noWrap w:val="0"/>
                  <w:vAlign w:val="center"/>
                </w:tcPr>
                <w:p w14:paraId="6E5A0274">
                  <w:pPr>
                    <w:keepNext w:val="0"/>
                    <w:keepLines w:val="0"/>
                    <w:pageBreakBefore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监测点位</w:t>
                  </w:r>
                </w:p>
              </w:tc>
              <w:tc>
                <w:tcPr>
                  <w:tcW w:w="319" w:type="pct"/>
                  <w:vMerge w:val="restart"/>
                  <w:tcBorders>
                    <w:tl2br w:val="nil"/>
                    <w:tr2bl w:val="nil"/>
                  </w:tcBorders>
                  <w:noWrap w:val="0"/>
                  <w:vAlign w:val="center"/>
                </w:tcPr>
                <w:p w14:paraId="493E5FC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执行</w:t>
                  </w:r>
                </w:p>
                <w:p w14:paraId="7433429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标准</w:t>
                  </w:r>
                </w:p>
              </w:tc>
              <w:tc>
                <w:tcPr>
                  <w:tcW w:w="457" w:type="pct"/>
                  <w:vMerge w:val="restart"/>
                  <w:tcBorders>
                    <w:tl2br w:val="nil"/>
                    <w:tr2bl w:val="nil"/>
                  </w:tcBorders>
                  <w:noWrap w:val="0"/>
                  <w:vAlign w:val="center"/>
                </w:tcPr>
                <w:p w14:paraId="2DC68AC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达标情况</w:t>
                  </w:r>
                </w:p>
              </w:tc>
            </w:tr>
            <w:tr w14:paraId="2C2E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741022B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2C63939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1362" w:type="pct"/>
                  <w:gridSpan w:val="2"/>
                  <w:vMerge w:val="continue"/>
                  <w:tcBorders>
                    <w:tl2br w:val="nil"/>
                    <w:tr2bl w:val="nil"/>
                  </w:tcBorders>
                  <w:noWrap w:val="0"/>
                  <w:vAlign w:val="center"/>
                </w:tcPr>
                <w:p w14:paraId="30F7DAF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1511" w:type="pct"/>
                  <w:gridSpan w:val="3"/>
                  <w:tcBorders>
                    <w:tl2br w:val="nil"/>
                    <w:tr2bl w:val="nil"/>
                  </w:tcBorders>
                  <w:noWrap w:val="0"/>
                  <w:vAlign w:val="center"/>
                </w:tcPr>
                <w:p w14:paraId="7FE78D3A">
                  <w:pPr>
                    <w:keepNext w:val="0"/>
                    <w:keepLines w:val="0"/>
                    <w:pageBreakBefore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sz w:val="21"/>
                      <w:szCs w:val="21"/>
                      <w:highlight w:val="none"/>
                      <w:lang w:val="en-US" w:eastAsia="zh-CN"/>
                    </w:rPr>
                    <w:t>1#抛丸</w:t>
                  </w:r>
                  <w:r>
                    <w:rPr>
                      <w:rFonts w:hint="eastAsia" w:ascii="Times New Roman" w:hAnsi="Times New Roman" w:eastAsia="宋体" w:cs="Times New Roman"/>
                      <w:b/>
                      <w:bCs/>
                      <w:color w:val="auto"/>
                      <w:sz w:val="21"/>
                      <w:szCs w:val="21"/>
                      <w:highlight w:val="none"/>
                      <w:lang w:val="en-US" w:eastAsia="zh-CN"/>
                    </w:rPr>
                    <w:t>废气</w:t>
                  </w:r>
                  <w:r>
                    <w:rPr>
                      <w:rFonts w:hint="default" w:ascii="Times New Roman" w:hAnsi="Times New Roman" w:eastAsia="宋体" w:cs="Times New Roman"/>
                      <w:b/>
                      <w:bCs/>
                      <w:color w:val="auto"/>
                      <w:sz w:val="21"/>
                      <w:szCs w:val="21"/>
                      <w:highlight w:val="none"/>
                      <w:lang w:val="en-US" w:eastAsia="zh-CN"/>
                    </w:rPr>
                    <w:t>排气筒（DA00</w:t>
                  </w:r>
                  <w:r>
                    <w:rPr>
                      <w:rFonts w:hint="eastAsia" w:ascii="Times New Roman" w:hAnsi="Times New Roman" w:eastAsia="宋体"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319" w:type="pct"/>
                  <w:vMerge w:val="continue"/>
                  <w:tcBorders>
                    <w:tl2br w:val="nil"/>
                    <w:tr2bl w:val="nil"/>
                  </w:tcBorders>
                  <w:noWrap w:val="0"/>
                  <w:vAlign w:val="center"/>
                </w:tcPr>
                <w:p w14:paraId="64E1DF1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457" w:type="pct"/>
                  <w:vMerge w:val="continue"/>
                  <w:tcBorders>
                    <w:tl2br w:val="nil"/>
                    <w:tr2bl w:val="nil"/>
                  </w:tcBorders>
                  <w:noWrap w:val="0"/>
                  <w:vAlign w:val="center"/>
                </w:tcPr>
                <w:p w14:paraId="14E7B8E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r>
            <w:tr w14:paraId="387B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56695B7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2018.7.23</w:t>
                  </w:r>
                </w:p>
              </w:tc>
              <w:tc>
                <w:tcPr>
                  <w:tcW w:w="730" w:type="pct"/>
                  <w:vMerge w:val="restart"/>
                  <w:tcBorders>
                    <w:tl2br w:val="nil"/>
                    <w:tr2bl w:val="nil"/>
                  </w:tcBorders>
                  <w:noWrap w:val="0"/>
                  <w:vAlign w:val="center"/>
                </w:tcPr>
                <w:p w14:paraId="3297439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4B1FEE47">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yellow"/>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79" w:type="dxa"/>
                  <w:tcBorders>
                    <w:tl2br w:val="nil"/>
                    <w:tr2bl w:val="nil"/>
                  </w:tcBorders>
                  <w:noWrap w:val="0"/>
                  <w:vAlign w:val="center"/>
                </w:tcPr>
                <w:p w14:paraId="7F8692B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863</w:t>
                  </w:r>
                </w:p>
              </w:tc>
              <w:tc>
                <w:tcPr>
                  <w:tcW w:w="879" w:type="dxa"/>
                  <w:tcBorders>
                    <w:tl2br w:val="nil"/>
                    <w:tr2bl w:val="nil"/>
                  </w:tcBorders>
                  <w:noWrap w:val="0"/>
                  <w:vAlign w:val="center"/>
                </w:tcPr>
                <w:p w14:paraId="53AAE53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860</w:t>
                  </w:r>
                </w:p>
              </w:tc>
              <w:tc>
                <w:tcPr>
                  <w:tcW w:w="883" w:type="dxa"/>
                  <w:tcBorders>
                    <w:tl2br w:val="nil"/>
                    <w:tr2bl w:val="nil"/>
                  </w:tcBorders>
                  <w:noWrap w:val="0"/>
                  <w:vAlign w:val="center"/>
                </w:tcPr>
                <w:p w14:paraId="4BC382D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865</w:t>
                  </w:r>
                </w:p>
              </w:tc>
              <w:tc>
                <w:tcPr>
                  <w:tcW w:w="319" w:type="pct"/>
                  <w:tcBorders>
                    <w:tl2br w:val="nil"/>
                    <w:tr2bl w:val="nil"/>
                  </w:tcBorders>
                  <w:noWrap w:val="0"/>
                  <w:vAlign w:val="center"/>
                </w:tcPr>
                <w:p w14:paraId="6C1A159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6ABD4F9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01CC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64AF516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779C70F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717701B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14C8435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0141B70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125.6</w:t>
                  </w:r>
                </w:p>
              </w:tc>
              <w:tc>
                <w:tcPr>
                  <w:tcW w:w="858" w:type="dxa"/>
                  <w:tcBorders>
                    <w:tl2br w:val="nil"/>
                    <w:tr2bl w:val="nil"/>
                  </w:tcBorders>
                  <w:noWrap w:val="0"/>
                  <w:vAlign w:val="center"/>
                </w:tcPr>
                <w:p w14:paraId="39BFA227">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126.4</w:t>
                  </w:r>
                </w:p>
              </w:tc>
              <w:tc>
                <w:tcPr>
                  <w:tcW w:w="861" w:type="dxa"/>
                  <w:tcBorders>
                    <w:tl2br w:val="nil"/>
                    <w:tr2bl w:val="nil"/>
                  </w:tcBorders>
                  <w:noWrap w:val="0"/>
                  <w:vAlign w:val="center"/>
                </w:tcPr>
                <w:p w14:paraId="3DD5DB1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126.2</w:t>
                  </w:r>
                </w:p>
              </w:tc>
              <w:tc>
                <w:tcPr>
                  <w:tcW w:w="319" w:type="pct"/>
                  <w:tcBorders>
                    <w:tl2br w:val="nil"/>
                    <w:tr2bl w:val="nil"/>
                  </w:tcBorders>
                  <w:noWrap w:val="0"/>
                  <w:vAlign w:val="center"/>
                </w:tcPr>
                <w:p w14:paraId="4CF6E4B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43A63F3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DD34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56829F4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55AF908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206E57E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CFA575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858" w:type="dxa"/>
                  <w:tcBorders>
                    <w:tl2br w:val="nil"/>
                    <w:tr2bl w:val="nil"/>
                  </w:tcBorders>
                  <w:noWrap w:val="0"/>
                  <w:vAlign w:val="center"/>
                </w:tcPr>
                <w:p w14:paraId="32854812">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2"/>
                      <w:sz w:val="20"/>
                      <w:szCs w:val="20"/>
                    </w:rPr>
                    <w:t>0.109</w:t>
                  </w:r>
                </w:p>
              </w:tc>
              <w:tc>
                <w:tcPr>
                  <w:tcW w:w="858" w:type="dxa"/>
                  <w:tcBorders>
                    <w:tl2br w:val="nil"/>
                    <w:tr2bl w:val="nil"/>
                  </w:tcBorders>
                  <w:noWrap w:val="0"/>
                  <w:vAlign w:val="center"/>
                </w:tcPr>
                <w:p w14:paraId="580D06F8">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2"/>
                      <w:sz w:val="20"/>
                      <w:szCs w:val="20"/>
                    </w:rPr>
                    <w:t>0.109</w:t>
                  </w:r>
                </w:p>
              </w:tc>
              <w:tc>
                <w:tcPr>
                  <w:tcW w:w="861" w:type="dxa"/>
                  <w:tcBorders>
                    <w:tl2br w:val="nil"/>
                    <w:tr2bl w:val="nil"/>
                  </w:tcBorders>
                  <w:noWrap w:val="0"/>
                  <w:vAlign w:val="center"/>
                </w:tcPr>
                <w:p w14:paraId="3E238A40">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1"/>
                      <w:sz w:val="20"/>
                      <w:szCs w:val="20"/>
                    </w:rPr>
                    <w:t>0.110</w:t>
                  </w:r>
                </w:p>
              </w:tc>
              <w:tc>
                <w:tcPr>
                  <w:tcW w:w="319" w:type="pct"/>
                  <w:tcBorders>
                    <w:tl2br w:val="nil"/>
                    <w:tr2bl w:val="nil"/>
                  </w:tcBorders>
                  <w:noWrap w:val="0"/>
                  <w:vAlign w:val="center"/>
                </w:tcPr>
                <w:p w14:paraId="1557E50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73B0363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880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0A404A6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72F6957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0551AB4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58" w:type="dxa"/>
                  <w:tcBorders>
                    <w:tl2br w:val="nil"/>
                    <w:tr2bl w:val="nil"/>
                  </w:tcBorders>
                  <w:noWrap w:val="0"/>
                  <w:vAlign w:val="center"/>
                </w:tcPr>
                <w:p w14:paraId="526BA39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720</w:t>
                  </w:r>
                </w:p>
              </w:tc>
              <w:tc>
                <w:tcPr>
                  <w:tcW w:w="858" w:type="dxa"/>
                  <w:tcBorders>
                    <w:tl2br w:val="nil"/>
                    <w:tr2bl w:val="nil"/>
                  </w:tcBorders>
                  <w:noWrap w:val="0"/>
                  <w:vAlign w:val="center"/>
                </w:tcPr>
                <w:p w14:paraId="1D64963C">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719</w:t>
                  </w:r>
                </w:p>
              </w:tc>
              <w:tc>
                <w:tcPr>
                  <w:tcW w:w="861" w:type="dxa"/>
                  <w:tcBorders>
                    <w:tl2br w:val="nil"/>
                    <w:tr2bl w:val="nil"/>
                  </w:tcBorders>
                  <w:noWrap w:val="0"/>
                  <w:vAlign w:val="center"/>
                </w:tcPr>
                <w:p w14:paraId="76FF5420">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717</w:t>
                  </w:r>
                </w:p>
              </w:tc>
              <w:tc>
                <w:tcPr>
                  <w:tcW w:w="319" w:type="pct"/>
                  <w:tcBorders>
                    <w:tl2br w:val="nil"/>
                    <w:tr2bl w:val="nil"/>
                  </w:tcBorders>
                  <w:noWrap w:val="0"/>
                  <w:vAlign w:val="center"/>
                </w:tcPr>
                <w:p w14:paraId="1C03E86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3F3DB74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E1CC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E34F60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079205B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7480168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6186B8C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45C949DC">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76.3</w:t>
                  </w:r>
                </w:p>
              </w:tc>
              <w:tc>
                <w:tcPr>
                  <w:tcW w:w="858" w:type="dxa"/>
                  <w:tcBorders>
                    <w:tl2br w:val="nil"/>
                    <w:tr2bl w:val="nil"/>
                  </w:tcBorders>
                  <w:noWrap w:val="0"/>
                  <w:vAlign w:val="center"/>
                </w:tcPr>
                <w:p w14:paraId="07B08DD8">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76. 1</w:t>
                  </w:r>
                </w:p>
              </w:tc>
              <w:tc>
                <w:tcPr>
                  <w:tcW w:w="861" w:type="dxa"/>
                  <w:tcBorders>
                    <w:tl2br w:val="nil"/>
                    <w:tr2bl w:val="nil"/>
                  </w:tcBorders>
                  <w:noWrap w:val="0"/>
                  <w:vAlign w:val="center"/>
                </w:tcPr>
                <w:p w14:paraId="4E766E4A">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78.7</w:t>
                  </w:r>
                </w:p>
              </w:tc>
              <w:tc>
                <w:tcPr>
                  <w:tcW w:w="319" w:type="pct"/>
                  <w:tcBorders>
                    <w:tl2br w:val="nil"/>
                    <w:tr2bl w:val="nil"/>
                  </w:tcBorders>
                  <w:noWrap w:val="0"/>
                  <w:vAlign w:val="center"/>
                </w:tcPr>
                <w:p w14:paraId="3D9A286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120</w:t>
                  </w:r>
                </w:p>
              </w:tc>
              <w:tc>
                <w:tcPr>
                  <w:tcW w:w="457" w:type="pct"/>
                  <w:tcBorders>
                    <w:tl2br w:val="nil"/>
                    <w:tr2bl w:val="nil"/>
                  </w:tcBorders>
                  <w:noWrap w:val="0"/>
                  <w:vAlign w:val="center"/>
                </w:tcPr>
                <w:p w14:paraId="713A91C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1B267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08EFA30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03E94F8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7420D87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6DB71D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858" w:type="dxa"/>
                  <w:tcBorders>
                    <w:tl2br w:val="nil"/>
                    <w:tr2bl w:val="nil"/>
                  </w:tcBorders>
                  <w:noWrap w:val="0"/>
                  <w:vAlign w:val="center"/>
                </w:tcPr>
                <w:p w14:paraId="7F16E30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0.0550</w:t>
                  </w:r>
                </w:p>
              </w:tc>
              <w:tc>
                <w:tcPr>
                  <w:tcW w:w="858" w:type="dxa"/>
                  <w:tcBorders>
                    <w:tl2br w:val="nil"/>
                    <w:tr2bl w:val="nil"/>
                  </w:tcBorders>
                  <w:noWrap w:val="0"/>
                  <w:vAlign w:val="center"/>
                </w:tcPr>
                <w:p w14:paraId="35849CC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0.0548</w:t>
                  </w:r>
                </w:p>
              </w:tc>
              <w:tc>
                <w:tcPr>
                  <w:tcW w:w="861" w:type="dxa"/>
                  <w:tcBorders>
                    <w:tl2br w:val="nil"/>
                    <w:tr2bl w:val="nil"/>
                  </w:tcBorders>
                  <w:noWrap w:val="0"/>
                  <w:vAlign w:val="center"/>
                </w:tcPr>
                <w:p w14:paraId="31A8C3A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0.0564</w:t>
                  </w:r>
                </w:p>
              </w:tc>
              <w:tc>
                <w:tcPr>
                  <w:tcW w:w="319" w:type="pct"/>
                  <w:tcBorders>
                    <w:tl2br w:val="nil"/>
                    <w:tr2bl w:val="nil"/>
                  </w:tcBorders>
                  <w:noWrap w:val="0"/>
                  <w:vAlign w:val="center"/>
                </w:tcPr>
                <w:p w14:paraId="641B18B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3F7F2C9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499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7C8169F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w:t>
                  </w:r>
                  <w:r>
                    <w:rPr>
                      <w:rFonts w:hint="eastAsia" w:ascii="Times New Roman" w:hAnsi="Times New Roman" w:eastAsia="宋体" w:cs="Times New Roman"/>
                      <w:color w:val="auto"/>
                      <w:spacing w:val="3"/>
                      <w:sz w:val="20"/>
                      <w:szCs w:val="20"/>
                      <w:lang w:val="en-US" w:eastAsia="zh-CN"/>
                    </w:rPr>
                    <w:t>4</w:t>
                  </w:r>
                </w:p>
              </w:tc>
              <w:tc>
                <w:tcPr>
                  <w:tcW w:w="730" w:type="pct"/>
                  <w:vMerge w:val="restart"/>
                  <w:tcBorders>
                    <w:tl2br w:val="nil"/>
                    <w:tr2bl w:val="nil"/>
                  </w:tcBorders>
                  <w:noWrap w:val="0"/>
                  <w:vAlign w:val="center"/>
                </w:tcPr>
                <w:p w14:paraId="0C70DE2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7775027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79" w:type="dxa"/>
                  <w:tcBorders>
                    <w:tl2br w:val="nil"/>
                    <w:tr2bl w:val="nil"/>
                  </w:tcBorders>
                  <w:noWrap w:val="0"/>
                  <w:vAlign w:val="center"/>
                </w:tcPr>
                <w:p w14:paraId="5104A87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862</w:t>
                  </w:r>
                </w:p>
              </w:tc>
              <w:tc>
                <w:tcPr>
                  <w:tcW w:w="879" w:type="dxa"/>
                  <w:tcBorders>
                    <w:tl2br w:val="nil"/>
                    <w:tr2bl w:val="nil"/>
                  </w:tcBorders>
                  <w:noWrap w:val="0"/>
                  <w:vAlign w:val="center"/>
                </w:tcPr>
                <w:p w14:paraId="6F36D83F">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865</w:t>
                  </w:r>
                </w:p>
              </w:tc>
              <w:tc>
                <w:tcPr>
                  <w:tcW w:w="883" w:type="dxa"/>
                  <w:tcBorders>
                    <w:tl2br w:val="nil"/>
                    <w:tr2bl w:val="nil"/>
                  </w:tcBorders>
                  <w:noWrap w:val="0"/>
                  <w:vAlign w:val="center"/>
                </w:tcPr>
                <w:p w14:paraId="5FAD0EAF">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860</w:t>
                  </w:r>
                </w:p>
              </w:tc>
              <w:tc>
                <w:tcPr>
                  <w:tcW w:w="319" w:type="pct"/>
                  <w:tcBorders>
                    <w:tl2br w:val="nil"/>
                    <w:tr2bl w:val="nil"/>
                  </w:tcBorders>
                  <w:noWrap w:val="0"/>
                  <w:vAlign w:val="center"/>
                </w:tcPr>
                <w:p w14:paraId="52EEB31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24DD3AC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7B6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0D30054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78FC6C25">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08B10EB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08216E6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071B208C">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125.5</w:t>
                  </w:r>
                </w:p>
              </w:tc>
              <w:tc>
                <w:tcPr>
                  <w:tcW w:w="858" w:type="dxa"/>
                  <w:tcBorders>
                    <w:tl2br w:val="nil"/>
                    <w:tr2bl w:val="nil"/>
                  </w:tcBorders>
                  <w:noWrap w:val="0"/>
                  <w:vAlign w:val="center"/>
                </w:tcPr>
                <w:p w14:paraId="02F1187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126. 1</w:t>
                  </w:r>
                </w:p>
              </w:tc>
              <w:tc>
                <w:tcPr>
                  <w:tcW w:w="861" w:type="dxa"/>
                  <w:tcBorders>
                    <w:tl2br w:val="nil"/>
                    <w:tr2bl w:val="nil"/>
                  </w:tcBorders>
                  <w:noWrap w:val="0"/>
                  <w:vAlign w:val="center"/>
                </w:tcPr>
                <w:p w14:paraId="0A496335">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126.8</w:t>
                  </w:r>
                </w:p>
              </w:tc>
              <w:tc>
                <w:tcPr>
                  <w:tcW w:w="319" w:type="pct"/>
                  <w:tcBorders>
                    <w:tl2br w:val="nil"/>
                    <w:tr2bl w:val="nil"/>
                  </w:tcBorders>
                  <w:noWrap w:val="0"/>
                  <w:vAlign w:val="center"/>
                </w:tcPr>
                <w:p w14:paraId="0AA9C495">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49F9233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BE3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57F7C1B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5C30223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72B70CC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24094F4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858" w:type="dxa"/>
                  <w:tcBorders>
                    <w:tl2br w:val="nil"/>
                    <w:tr2bl w:val="nil"/>
                  </w:tcBorders>
                  <w:noWrap w:val="0"/>
                  <w:vAlign w:val="center"/>
                </w:tcPr>
                <w:p w14:paraId="2F801D49">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0.109</w:t>
                  </w:r>
                </w:p>
              </w:tc>
              <w:tc>
                <w:tcPr>
                  <w:tcW w:w="858" w:type="dxa"/>
                  <w:tcBorders>
                    <w:tl2br w:val="nil"/>
                    <w:tr2bl w:val="nil"/>
                  </w:tcBorders>
                  <w:noWrap w:val="0"/>
                  <w:vAlign w:val="center"/>
                </w:tcPr>
                <w:p w14:paraId="14D9B036">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0.110</w:t>
                  </w:r>
                </w:p>
              </w:tc>
              <w:tc>
                <w:tcPr>
                  <w:tcW w:w="861" w:type="dxa"/>
                  <w:tcBorders>
                    <w:tl2br w:val="nil"/>
                    <w:tr2bl w:val="nil"/>
                  </w:tcBorders>
                  <w:noWrap w:val="0"/>
                  <w:vAlign w:val="center"/>
                </w:tcPr>
                <w:p w14:paraId="6E39DF3A">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0.110</w:t>
                  </w:r>
                </w:p>
              </w:tc>
              <w:tc>
                <w:tcPr>
                  <w:tcW w:w="319" w:type="pct"/>
                  <w:tcBorders>
                    <w:tl2br w:val="nil"/>
                    <w:tr2bl w:val="nil"/>
                  </w:tcBorders>
                  <w:noWrap w:val="0"/>
                  <w:vAlign w:val="center"/>
                </w:tcPr>
                <w:p w14:paraId="60EDA95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78A9D0F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5A00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6CB0642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5E6E921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20FAAE5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58" w:type="dxa"/>
                  <w:tcBorders>
                    <w:tl2br w:val="nil"/>
                    <w:tr2bl w:val="nil"/>
                  </w:tcBorders>
                  <w:noWrap w:val="0"/>
                  <w:vAlign w:val="center"/>
                </w:tcPr>
                <w:p w14:paraId="0E0FEB78">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725</w:t>
                  </w:r>
                </w:p>
              </w:tc>
              <w:tc>
                <w:tcPr>
                  <w:tcW w:w="858" w:type="dxa"/>
                  <w:tcBorders>
                    <w:tl2br w:val="nil"/>
                    <w:tr2bl w:val="nil"/>
                  </w:tcBorders>
                  <w:noWrap w:val="0"/>
                  <w:vAlign w:val="center"/>
                </w:tcPr>
                <w:p w14:paraId="7EE838BB">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721</w:t>
                  </w:r>
                </w:p>
              </w:tc>
              <w:tc>
                <w:tcPr>
                  <w:tcW w:w="861" w:type="dxa"/>
                  <w:tcBorders>
                    <w:tl2br w:val="nil"/>
                    <w:tr2bl w:val="nil"/>
                  </w:tcBorders>
                  <w:noWrap w:val="0"/>
                  <w:vAlign w:val="center"/>
                </w:tcPr>
                <w:p w14:paraId="58B4D8BB">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727</w:t>
                  </w:r>
                </w:p>
              </w:tc>
              <w:tc>
                <w:tcPr>
                  <w:tcW w:w="319" w:type="pct"/>
                  <w:tcBorders>
                    <w:tl2br w:val="nil"/>
                    <w:tr2bl w:val="nil"/>
                  </w:tcBorders>
                  <w:noWrap w:val="0"/>
                  <w:vAlign w:val="center"/>
                </w:tcPr>
                <w:p w14:paraId="06FD103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06CD780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598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6002EDA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2EB01ED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49F6251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0396116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3FF494A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75.9</w:t>
                  </w:r>
                </w:p>
              </w:tc>
              <w:tc>
                <w:tcPr>
                  <w:tcW w:w="858" w:type="dxa"/>
                  <w:tcBorders>
                    <w:tl2br w:val="nil"/>
                    <w:tr2bl w:val="nil"/>
                  </w:tcBorders>
                  <w:noWrap w:val="0"/>
                  <w:vAlign w:val="center"/>
                </w:tcPr>
                <w:p w14:paraId="4B8EC25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77.9</w:t>
                  </w:r>
                </w:p>
              </w:tc>
              <w:tc>
                <w:tcPr>
                  <w:tcW w:w="861" w:type="dxa"/>
                  <w:tcBorders>
                    <w:tl2br w:val="nil"/>
                    <w:tr2bl w:val="nil"/>
                  </w:tcBorders>
                  <w:noWrap w:val="0"/>
                  <w:vAlign w:val="center"/>
                </w:tcPr>
                <w:p w14:paraId="5658061C">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77.5</w:t>
                  </w:r>
                </w:p>
              </w:tc>
              <w:tc>
                <w:tcPr>
                  <w:tcW w:w="319" w:type="pct"/>
                  <w:tcBorders>
                    <w:tl2br w:val="nil"/>
                    <w:tr2bl w:val="nil"/>
                  </w:tcBorders>
                  <w:noWrap w:val="0"/>
                  <w:vAlign w:val="center"/>
                </w:tcPr>
                <w:p w14:paraId="5255E15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120</w:t>
                  </w:r>
                </w:p>
              </w:tc>
              <w:tc>
                <w:tcPr>
                  <w:tcW w:w="457" w:type="pct"/>
                  <w:tcBorders>
                    <w:tl2br w:val="nil"/>
                    <w:tr2bl w:val="nil"/>
                  </w:tcBorders>
                  <w:noWrap w:val="0"/>
                  <w:vAlign w:val="center"/>
                </w:tcPr>
                <w:p w14:paraId="3E420BB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1AE5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6B205CA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7D7DEE2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3F20A7D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5B0FD8C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858" w:type="dxa"/>
                  <w:tcBorders>
                    <w:tl2br w:val="nil"/>
                    <w:tr2bl w:val="nil"/>
                  </w:tcBorders>
                  <w:noWrap w:val="0"/>
                  <w:vAlign w:val="center"/>
                </w:tcPr>
                <w:p w14:paraId="439A554E">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0.055</w:t>
                  </w:r>
                </w:p>
              </w:tc>
              <w:tc>
                <w:tcPr>
                  <w:tcW w:w="858" w:type="dxa"/>
                  <w:tcBorders>
                    <w:tl2br w:val="nil"/>
                    <w:tr2bl w:val="nil"/>
                  </w:tcBorders>
                  <w:noWrap w:val="0"/>
                  <w:vAlign w:val="center"/>
                </w:tcPr>
                <w:p w14:paraId="3972AB9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0.0561</w:t>
                  </w:r>
                </w:p>
              </w:tc>
              <w:tc>
                <w:tcPr>
                  <w:tcW w:w="861" w:type="dxa"/>
                  <w:tcBorders>
                    <w:tl2br w:val="nil"/>
                    <w:tr2bl w:val="nil"/>
                  </w:tcBorders>
                  <w:noWrap w:val="0"/>
                  <w:vAlign w:val="center"/>
                </w:tcPr>
                <w:p w14:paraId="4C4DA819">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0.0563</w:t>
                  </w:r>
                </w:p>
              </w:tc>
              <w:tc>
                <w:tcPr>
                  <w:tcW w:w="319" w:type="pct"/>
                  <w:tcBorders>
                    <w:tl2br w:val="nil"/>
                    <w:tr2bl w:val="nil"/>
                  </w:tcBorders>
                  <w:noWrap w:val="0"/>
                  <w:vAlign w:val="center"/>
                </w:tcPr>
                <w:p w14:paraId="339D499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5D037E87">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14:paraId="28006E9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8-4</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现有项目验收期间有组织废气监测结果</w:t>
            </w:r>
            <w:r>
              <w:rPr>
                <w:rFonts w:hint="eastAsia" w:cs="Times New Roman"/>
                <w:b/>
                <w:bCs/>
                <w:color w:val="auto"/>
                <w:kern w:val="2"/>
                <w:sz w:val="24"/>
                <w:szCs w:val="24"/>
                <w:lang w:val="en-US" w:eastAsia="zh-CN"/>
              </w:rPr>
              <w:t>（DA003）</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257"/>
              <w:gridCol w:w="667"/>
              <w:gridCol w:w="1679"/>
              <w:gridCol w:w="866"/>
              <w:gridCol w:w="866"/>
              <w:gridCol w:w="870"/>
              <w:gridCol w:w="549"/>
              <w:gridCol w:w="790"/>
            </w:tblGrid>
            <w:tr w14:paraId="600E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47" w:type="pct"/>
                  <w:gridSpan w:val="2"/>
                  <w:tcBorders>
                    <w:tl2br w:val="nil"/>
                    <w:tr2bl w:val="nil"/>
                  </w:tcBorders>
                  <w:noWrap w:val="0"/>
                  <w:vAlign w:val="center"/>
                </w:tcPr>
                <w:p w14:paraId="41C5716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净化装置</w:t>
                  </w:r>
                </w:p>
              </w:tc>
              <w:tc>
                <w:tcPr>
                  <w:tcW w:w="1362" w:type="pct"/>
                  <w:gridSpan w:val="2"/>
                  <w:tcBorders>
                    <w:tl2br w:val="nil"/>
                    <w:tr2bl w:val="nil"/>
                  </w:tcBorders>
                  <w:noWrap w:val="0"/>
                  <w:vAlign w:val="center"/>
                </w:tcPr>
                <w:p w14:paraId="41964B7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布袋除尘器</w:t>
                  </w:r>
                </w:p>
              </w:tc>
              <w:tc>
                <w:tcPr>
                  <w:tcW w:w="1511" w:type="pct"/>
                  <w:gridSpan w:val="3"/>
                  <w:tcBorders>
                    <w:tl2br w:val="nil"/>
                    <w:tr2bl w:val="nil"/>
                  </w:tcBorders>
                  <w:noWrap w:val="0"/>
                  <w:vAlign w:val="center"/>
                </w:tcPr>
                <w:p w14:paraId="240ED7B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排气筒高度</w:t>
                  </w:r>
                  <w:r>
                    <w:rPr>
                      <w:rFonts w:hint="eastAsia" w:cs="Times New Roman"/>
                      <w:b/>
                      <w:bCs/>
                      <w:color w:val="auto"/>
                      <w:kern w:val="0"/>
                      <w:sz w:val="21"/>
                      <w:szCs w:val="21"/>
                      <w:highlight w:val="none"/>
                      <w:lang w:val="en-US" w:eastAsia="zh-CN" w:bidi="ar"/>
                    </w:rPr>
                    <w:t>/内径</w:t>
                  </w:r>
                  <w:r>
                    <w:rPr>
                      <w:rFonts w:hint="default" w:ascii="Times New Roman" w:hAnsi="Times New Roman" w:eastAsia="宋体" w:cs="Times New Roman"/>
                      <w:b/>
                      <w:bCs/>
                      <w:color w:val="auto"/>
                      <w:kern w:val="0"/>
                      <w:sz w:val="21"/>
                      <w:szCs w:val="21"/>
                      <w:highlight w:val="none"/>
                      <w:lang w:val="en-US" w:eastAsia="zh-CN" w:bidi="ar"/>
                    </w:rPr>
                    <w:t>（m）</w:t>
                  </w:r>
                </w:p>
              </w:tc>
              <w:tc>
                <w:tcPr>
                  <w:tcW w:w="777" w:type="pct"/>
                  <w:gridSpan w:val="2"/>
                  <w:tcBorders>
                    <w:tl2br w:val="nil"/>
                    <w:tr2bl w:val="nil"/>
                  </w:tcBorders>
                  <w:noWrap w:val="0"/>
                  <w:vAlign w:val="center"/>
                </w:tcPr>
                <w:p w14:paraId="6F3ED25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15</w:t>
                  </w:r>
                  <w:r>
                    <w:rPr>
                      <w:rFonts w:hint="eastAsia" w:cs="Times New Roman"/>
                      <w:color w:val="auto"/>
                      <w:kern w:val="0"/>
                      <w:sz w:val="21"/>
                      <w:szCs w:val="21"/>
                      <w:highlight w:val="none"/>
                      <w:lang w:val="en-US" w:eastAsia="zh-CN" w:bidi="ar"/>
                    </w:rPr>
                    <w:t>/0.4</w:t>
                  </w:r>
                </w:p>
              </w:tc>
            </w:tr>
            <w:tr w14:paraId="21AA2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33E4205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监测日期</w:t>
                  </w:r>
                </w:p>
              </w:tc>
              <w:tc>
                <w:tcPr>
                  <w:tcW w:w="730" w:type="pct"/>
                  <w:vMerge w:val="restart"/>
                  <w:tcBorders>
                    <w:tl2br w:val="nil"/>
                    <w:tr2bl w:val="nil"/>
                  </w:tcBorders>
                  <w:noWrap w:val="0"/>
                  <w:vAlign w:val="center"/>
                </w:tcPr>
                <w:p w14:paraId="0121F4D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sz w:val="21"/>
                      <w:szCs w:val="21"/>
                      <w:highlight w:val="none"/>
                    </w:rPr>
                    <w:t>采样</w:t>
                  </w:r>
                  <w:r>
                    <w:rPr>
                      <w:rFonts w:hint="default" w:ascii="Times New Roman" w:hAnsi="Times New Roman" w:eastAsia="宋体" w:cs="Times New Roman"/>
                      <w:b/>
                      <w:bCs/>
                      <w:color w:val="auto"/>
                      <w:sz w:val="21"/>
                      <w:szCs w:val="21"/>
                      <w:highlight w:val="none"/>
                      <w:lang w:val="en-US" w:eastAsia="zh-CN"/>
                    </w:rPr>
                    <w:t>位置</w:t>
                  </w:r>
                </w:p>
              </w:tc>
              <w:tc>
                <w:tcPr>
                  <w:tcW w:w="1362" w:type="pct"/>
                  <w:gridSpan w:val="2"/>
                  <w:vMerge w:val="restart"/>
                  <w:tcBorders>
                    <w:tl2br w:val="nil"/>
                    <w:tr2bl w:val="nil"/>
                  </w:tcBorders>
                  <w:noWrap w:val="0"/>
                  <w:vAlign w:val="center"/>
                </w:tcPr>
                <w:p w14:paraId="2D54FE3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监测项目</w:t>
                  </w:r>
                </w:p>
              </w:tc>
              <w:tc>
                <w:tcPr>
                  <w:tcW w:w="1511" w:type="pct"/>
                  <w:gridSpan w:val="3"/>
                  <w:tcBorders>
                    <w:tl2br w:val="nil"/>
                    <w:tr2bl w:val="nil"/>
                  </w:tcBorders>
                  <w:noWrap w:val="0"/>
                  <w:vAlign w:val="center"/>
                </w:tcPr>
                <w:p w14:paraId="3CBBF258">
                  <w:pPr>
                    <w:keepNext w:val="0"/>
                    <w:keepLines w:val="0"/>
                    <w:pageBreakBefore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监测点位</w:t>
                  </w:r>
                </w:p>
              </w:tc>
              <w:tc>
                <w:tcPr>
                  <w:tcW w:w="319" w:type="pct"/>
                  <w:vMerge w:val="restart"/>
                  <w:tcBorders>
                    <w:tl2br w:val="nil"/>
                    <w:tr2bl w:val="nil"/>
                  </w:tcBorders>
                  <w:noWrap w:val="0"/>
                  <w:vAlign w:val="center"/>
                </w:tcPr>
                <w:p w14:paraId="422A16E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执行</w:t>
                  </w:r>
                </w:p>
                <w:p w14:paraId="0D214F8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标准</w:t>
                  </w:r>
                </w:p>
              </w:tc>
              <w:tc>
                <w:tcPr>
                  <w:tcW w:w="457" w:type="pct"/>
                  <w:vMerge w:val="restart"/>
                  <w:tcBorders>
                    <w:tl2br w:val="nil"/>
                    <w:tr2bl w:val="nil"/>
                  </w:tcBorders>
                  <w:noWrap w:val="0"/>
                  <w:vAlign w:val="center"/>
                </w:tcPr>
                <w:p w14:paraId="617141A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达标情况</w:t>
                  </w:r>
                </w:p>
              </w:tc>
            </w:tr>
            <w:tr w14:paraId="05AD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704F1E9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31B5F05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1362" w:type="pct"/>
                  <w:gridSpan w:val="2"/>
                  <w:vMerge w:val="continue"/>
                  <w:tcBorders>
                    <w:tl2br w:val="nil"/>
                    <w:tr2bl w:val="nil"/>
                  </w:tcBorders>
                  <w:noWrap w:val="0"/>
                  <w:vAlign w:val="center"/>
                </w:tcPr>
                <w:p w14:paraId="465DA50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1511" w:type="pct"/>
                  <w:gridSpan w:val="3"/>
                  <w:tcBorders>
                    <w:tl2br w:val="nil"/>
                    <w:tr2bl w:val="nil"/>
                  </w:tcBorders>
                  <w:noWrap w:val="0"/>
                  <w:vAlign w:val="center"/>
                </w:tcPr>
                <w:p w14:paraId="688A9E34">
                  <w:pPr>
                    <w:keepNext w:val="0"/>
                    <w:keepLines w:val="0"/>
                    <w:pageBreakBefore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b/>
                      <w:bCs/>
                      <w:color w:val="auto"/>
                      <w:sz w:val="21"/>
                      <w:szCs w:val="21"/>
                      <w:highlight w:val="none"/>
                      <w:lang w:val="en-US" w:eastAsia="zh-CN"/>
                    </w:rPr>
                    <w:t>2#抛丸</w:t>
                  </w:r>
                  <w:r>
                    <w:rPr>
                      <w:rFonts w:hint="eastAsia" w:ascii="Times New Roman" w:hAnsi="Times New Roman" w:eastAsia="宋体" w:cs="Times New Roman"/>
                      <w:b/>
                      <w:bCs/>
                      <w:color w:val="auto"/>
                      <w:sz w:val="21"/>
                      <w:szCs w:val="21"/>
                      <w:highlight w:val="none"/>
                      <w:lang w:val="en-US" w:eastAsia="zh-CN"/>
                    </w:rPr>
                    <w:t>废气</w:t>
                  </w:r>
                  <w:r>
                    <w:rPr>
                      <w:rFonts w:hint="default" w:ascii="Times New Roman" w:hAnsi="Times New Roman" w:eastAsia="宋体" w:cs="Times New Roman"/>
                      <w:b/>
                      <w:bCs/>
                      <w:color w:val="auto"/>
                      <w:sz w:val="21"/>
                      <w:szCs w:val="21"/>
                      <w:highlight w:val="none"/>
                      <w:lang w:val="en-US" w:eastAsia="zh-CN"/>
                    </w:rPr>
                    <w:t>排气筒（DA00</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319" w:type="pct"/>
                  <w:vMerge w:val="continue"/>
                  <w:tcBorders>
                    <w:tl2br w:val="nil"/>
                    <w:tr2bl w:val="nil"/>
                  </w:tcBorders>
                  <w:noWrap w:val="0"/>
                  <w:vAlign w:val="center"/>
                </w:tcPr>
                <w:p w14:paraId="739886F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457" w:type="pct"/>
                  <w:vMerge w:val="continue"/>
                  <w:tcBorders>
                    <w:tl2br w:val="nil"/>
                    <w:tr2bl w:val="nil"/>
                  </w:tcBorders>
                  <w:noWrap w:val="0"/>
                  <w:vAlign w:val="center"/>
                </w:tcPr>
                <w:p w14:paraId="1627A60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r>
            <w:tr w14:paraId="6DFD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640C7E7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highlight w:val="none"/>
                    </w:rPr>
                    <w:t>2018.7.23</w:t>
                  </w:r>
                </w:p>
              </w:tc>
              <w:tc>
                <w:tcPr>
                  <w:tcW w:w="730" w:type="pct"/>
                  <w:vMerge w:val="restart"/>
                  <w:tcBorders>
                    <w:tl2br w:val="nil"/>
                    <w:tr2bl w:val="nil"/>
                  </w:tcBorders>
                  <w:noWrap w:val="0"/>
                  <w:vAlign w:val="center"/>
                </w:tcPr>
                <w:p w14:paraId="2649C68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5D11923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79" w:type="dxa"/>
                  <w:tcBorders>
                    <w:tl2br w:val="nil"/>
                    <w:tr2bl w:val="nil"/>
                  </w:tcBorders>
                  <w:noWrap w:val="0"/>
                  <w:vAlign w:val="center"/>
                </w:tcPr>
                <w:p w14:paraId="354932A9">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z w:val="20"/>
                      <w:szCs w:val="20"/>
                      <w:highlight w:val="none"/>
                    </w:rPr>
                    <w:t>870</w:t>
                  </w:r>
                </w:p>
              </w:tc>
              <w:tc>
                <w:tcPr>
                  <w:tcW w:w="879" w:type="dxa"/>
                  <w:tcBorders>
                    <w:tl2br w:val="nil"/>
                    <w:tr2bl w:val="nil"/>
                  </w:tcBorders>
                  <w:noWrap w:val="0"/>
                  <w:vAlign w:val="center"/>
                </w:tcPr>
                <w:p w14:paraId="5F4B825D">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z w:val="20"/>
                      <w:szCs w:val="20"/>
                      <w:highlight w:val="none"/>
                    </w:rPr>
                    <w:t>872</w:t>
                  </w:r>
                </w:p>
              </w:tc>
              <w:tc>
                <w:tcPr>
                  <w:tcW w:w="883" w:type="dxa"/>
                  <w:tcBorders>
                    <w:tl2br w:val="nil"/>
                    <w:tr2bl w:val="nil"/>
                  </w:tcBorders>
                  <w:noWrap w:val="0"/>
                  <w:vAlign w:val="center"/>
                </w:tcPr>
                <w:p w14:paraId="1A55A344">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z w:val="20"/>
                      <w:szCs w:val="20"/>
                      <w:highlight w:val="none"/>
                    </w:rPr>
                    <w:t>871</w:t>
                  </w:r>
                </w:p>
              </w:tc>
              <w:tc>
                <w:tcPr>
                  <w:tcW w:w="319" w:type="pct"/>
                  <w:tcBorders>
                    <w:tl2br w:val="nil"/>
                    <w:tr2bl w:val="nil"/>
                  </w:tcBorders>
                  <w:noWrap w:val="0"/>
                  <w:vAlign w:val="center"/>
                </w:tcPr>
                <w:p w14:paraId="3E5EA70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5BD115A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7B39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3C8CA5A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22748CC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3722EE0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0AB3F98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527BEAC8">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40.0</w:t>
                  </w:r>
                </w:p>
              </w:tc>
              <w:tc>
                <w:tcPr>
                  <w:tcW w:w="858" w:type="dxa"/>
                  <w:tcBorders>
                    <w:tl2br w:val="nil"/>
                    <w:tr2bl w:val="nil"/>
                  </w:tcBorders>
                  <w:noWrap w:val="0"/>
                  <w:vAlign w:val="center"/>
                </w:tcPr>
                <w:p w14:paraId="36D3774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2"/>
                      <w:sz w:val="20"/>
                      <w:szCs w:val="20"/>
                    </w:rPr>
                    <w:t>38.3</w:t>
                  </w:r>
                </w:p>
              </w:tc>
              <w:tc>
                <w:tcPr>
                  <w:tcW w:w="861" w:type="dxa"/>
                  <w:tcBorders>
                    <w:tl2br w:val="nil"/>
                    <w:tr2bl w:val="nil"/>
                  </w:tcBorders>
                  <w:noWrap w:val="0"/>
                  <w:vAlign w:val="center"/>
                </w:tcPr>
                <w:p w14:paraId="4D9CE3A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2"/>
                      <w:sz w:val="20"/>
                      <w:szCs w:val="20"/>
                    </w:rPr>
                    <w:t>39.7</w:t>
                  </w:r>
                </w:p>
              </w:tc>
              <w:tc>
                <w:tcPr>
                  <w:tcW w:w="319" w:type="pct"/>
                  <w:tcBorders>
                    <w:tl2br w:val="nil"/>
                    <w:tr2bl w:val="nil"/>
                  </w:tcBorders>
                  <w:noWrap w:val="0"/>
                  <w:vAlign w:val="center"/>
                </w:tcPr>
                <w:p w14:paraId="5B6B105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054CD40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5D3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F19555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0F340635">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199DFF1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6BE9BA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858" w:type="dxa"/>
                  <w:tcBorders>
                    <w:tl2br w:val="nil"/>
                    <w:tr2bl w:val="nil"/>
                  </w:tcBorders>
                  <w:noWrap w:val="0"/>
                  <w:vAlign w:val="center"/>
                </w:tcPr>
                <w:p w14:paraId="085E11BF">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0.0348</w:t>
                  </w:r>
                </w:p>
              </w:tc>
              <w:tc>
                <w:tcPr>
                  <w:tcW w:w="858" w:type="dxa"/>
                  <w:tcBorders>
                    <w:tl2br w:val="nil"/>
                    <w:tr2bl w:val="nil"/>
                  </w:tcBorders>
                  <w:noWrap w:val="0"/>
                  <w:vAlign w:val="center"/>
                </w:tcPr>
                <w:p w14:paraId="1D2620FE">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0.0334</w:t>
                  </w:r>
                </w:p>
              </w:tc>
              <w:tc>
                <w:tcPr>
                  <w:tcW w:w="861" w:type="dxa"/>
                  <w:tcBorders>
                    <w:tl2br w:val="nil"/>
                    <w:tr2bl w:val="nil"/>
                  </w:tcBorders>
                  <w:noWrap w:val="0"/>
                  <w:vAlign w:val="center"/>
                </w:tcPr>
                <w:p w14:paraId="5EC7BCE9">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0.0346</w:t>
                  </w:r>
                </w:p>
              </w:tc>
              <w:tc>
                <w:tcPr>
                  <w:tcW w:w="319" w:type="pct"/>
                  <w:tcBorders>
                    <w:tl2br w:val="nil"/>
                    <w:tr2bl w:val="nil"/>
                  </w:tcBorders>
                  <w:noWrap w:val="0"/>
                  <w:vAlign w:val="center"/>
                </w:tcPr>
                <w:p w14:paraId="541EE61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01E9064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758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3FAF5C8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24D7CD0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4FD8B01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58" w:type="dxa"/>
                  <w:tcBorders>
                    <w:tl2br w:val="nil"/>
                    <w:tr2bl w:val="nil"/>
                  </w:tcBorders>
                  <w:noWrap w:val="0"/>
                  <w:vAlign w:val="center"/>
                </w:tcPr>
                <w:p w14:paraId="3ABBBE1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731</w:t>
                  </w:r>
                </w:p>
              </w:tc>
              <w:tc>
                <w:tcPr>
                  <w:tcW w:w="858" w:type="dxa"/>
                  <w:tcBorders>
                    <w:tl2br w:val="nil"/>
                    <w:tr2bl w:val="nil"/>
                  </w:tcBorders>
                  <w:noWrap w:val="0"/>
                  <w:vAlign w:val="center"/>
                </w:tcPr>
                <w:p w14:paraId="4BB946A7">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729</w:t>
                  </w:r>
                </w:p>
              </w:tc>
              <w:tc>
                <w:tcPr>
                  <w:tcW w:w="861" w:type="dxa"/>
                  <w:tcBorders>
                    <w:tl2br w:val="nil"/>
                    <w:tr2bl w:val="nil"/>
                  </w:tcBorders>
                  <w:noWrap w:val="0"/>
                  <w:vAlign w:val="center"/>
                </w:tcPr>
                <w:p w14:paraId="2405FDC3">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730</w:t>
                  </w:r>
                </w:p>
              </w:tc>
              <w:tc>
                <w:tcPr>
                  <w:tcW w:w="319" w:type="pct"/>
                  <w:tcBorders>
                    <w:tl2br w:val="nil"/>
                    <w:tr2bl w:val="nil"/>
                  </w:tcBorders>
                  <w:noWrap w:val="0"/>
                  <w:vAlign w:val="center"/>
                </w:tcPr>
                <w:p w14:paraId="0EE04E4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4ACADA9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82B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54CA307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15D9988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156DE33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5ABF977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15A4177A">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5.3</w:t>
                  </w:r>
                </w:p>
              </w:tc>
              <w:tc>
                <w:tcPr>
                  <w:tcW w:w="858" w:type="dxa"/>
                  <w:tcBorders>
                    <w:tl2br w:val="nil"/>
                    <w:tr2bl w:val="nil"/>
                  </w:tcBorders>
                  <w:noWrap w:val="0"/>
                  <w:vAlign w:val="center"/>
                </w:tcPr>
                <w:p w14:paraId="0CA3150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5.3</w:t>
                  </w:r>
                </w:p>
              </w:tc>
              <w:tc>
                <w:tcPr>
                  <w:tcW w:w="861" w:type="dxa"/>
                  <w:tcBorders>
                    <w:tl2br w:val="nil"/>
                    <w:tr2bl w:val="nil"/>
                  </w:tcBorders>
                  <w:noWrap w:val="0"/>
                  <w:vAlign w:val="center"/>
                </w:tcPr>
                <w:p w14:paraId="6E3A6DA7">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5.3</w:t>
                  </w:r>
                </w:p>
              </w:tc>
              <w:tc>
                <w:tcPr>
                  <w:tcW w:w="319" w:type="pct"/>
                  <w:tcBorders>
                    <w:tl2br w:val="nil"/>
                    <w:tr2bl w:val="nil"/>
                  </w:tcBorders>
                  <w:noWrap w:val="0"/>
                  <w:vAlign w:val="center"/>
                </w:tcPr>
                <w:p w14:paraId="5F5D3606">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30</w:t>
                  </w:r>
                </w:p>
              </w:tc>
              <w:tc>
                <w:tcPr>
                  <w:tcW w:w="457" w:type="pct"/>
                  <w:tcBorders>
                    <w:tl2br w:val="nil"/>
                    <w:tr2bl w:val="nil"/>
                  </w:tcBorders>
                  <w:noWrap w:val="0"/>
                  <w:vAlign w:val="center"/>
                </w:tcPr>
                <w:p w14:paraId="3318846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452C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578D3093">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3B6D6BA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77C6C63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FB9DB3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858" w:type="dxa"/>
                  <w:tcBorders>
                    <w:tl2br w:val="nil"/>
                    <w:tr2bl w:val="nil"/>
                  </w:tcBorders>
                  <w:noWrap w:val="0"/>
                  <w:vAlign w:val="center"/>
                </w:tcPr>
                <w:p w14:paraId="51470ACF">
                  <w:pPr>
                    <w:keepNext w:val="0"/>
                    <w:keepLines w:val="0"/>
                    <w:pageBreakBefore w:val="0"/>
                    <w:kinsoku/>
                    <w:wordWrap/>
                    <w:overflowPunct/>
                    <w:topLinePunct w:val="0"/>
                    <w:autoSpaceDE/>
                    <w:autoSpaceDN/>
                    <w:bidi w:val="0"/>
                    <w:adjustRightInd/>
                    <w:snapToGrid/>
                    <w:spacing w:line="195" w:lineRule="auto"/>
                    <w:ind w:left="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3"/>
                      <w:sz w:val="20"/>
                      <w:szCs w:val="20"/>
                    </w:rPr>
                    <w:t>0.0038</w:t>
                  </w:r>
                  <w:r>
                    <w:rPr>
                      <w:rFonts w:ascii="Times New Roman" w:hAnsi="Times New Roman" w:eastAsia="Times New Roman" w:cs="Times New Roman"/>
                      <w:color w:val="auto"/>
                      <w:sz w:val="20"/>
                      <w:szCs w:val="20"/>
                    </w:rPr>
                    <w:t>7</w:t>
                  </w:r>
                </w:p>
              </w:tc>
              <w:tc>
                <w:tcPr>
                  <w:tcW w:w="858" w:type="dxa"/>
                  <w:tcBorders>
                    <w:tl2br w:val="nil"/>
                    <w:tr2bl w:val="nil"/>
                  </w:tcBorders>
                  <w:noWrap w:val="0"/>
                  <w:vAlign w:val="center"/>
                </w:tcPr>
                <w:p w14:paraId="4AA24A0A">
                  <w:pPr>
                    <w:keepNext w:val="0"/>
                    <w:keepLines w:val="0"/>
                    <w:pageBreakBefore w:val="0"/>
                    <w:kinsoku/>
                    <w:wordWrap/>
                    <w:overflowPunct/>
                    <w:topLinePunct w:val="0"/>
                    <w:autoSpaceDE/>
                    <w:autoSpaceDN/>
                    <w:bidi w:val="0"/>
                    <w:adjustRightInd/>
                    <w:snapToGrid/>
                    <w:spacing w:line="195" w:lineRule="auto"/>
                    <w:ind w:left="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3"/>
                      <w:sz w:val="20"/>
                      <w:szCs w:val="20"/>
                    </w:rPr>
                    <w:t>0.0038</w:t>
                  </w:r>
                  <w:r>
                    <w:rPr>
                      <w:rFonts w:ascii="Times New Roman" w:hAnsi="Times New Roman" w:eastAsia="Times New Roman" w:cs="Times New Roman"/>
                      <w:color w:val="auto"/>
                      <w:sz w:val="20"/>
                      <w:szCs w:val="20"/>
                    </w:rPr>
                    <w:t>7</w:t>
                  </w:r>
                </w:p>
              </w:tc>
              <w:tc>
                <w:tcPr>
                  <w:tcW w:w="861" w:type="dxa"/>
                  <w:tcBorders>
                    <w:tl2br w:val="nil"/>
                    <w:tr2bl w:val="nil"/>
                  </w:tcBorders>
                  <w:noWrap w:val="0"/>
                  <w:vAlign w:val="center"/>
                </w:tcPr>
                <w:p w14:paraId="037A9BED">
                  <w:pPr>
                    <w:keepNext w:val="0"/>
                    <w:keepLines w:val="0"/>
                    <w:pageBreakBefore w:val="0"/>
                    <w:kinsoku/>
                    <w:wordWrap/>
                    <w:overflowPunct/>
                    <w:topLinePunct w:val="0"/>
                    <w:autoSpaceDE/>
                    <w:autoSpaceDN/>
                    <w:bidi w:val="0"/>
                    <w:adjustRightInd/>
                    <w:snapToGrid/>
                    <w:spacing w:line="195" w:lineRule="auto"/>
                    <w:ind w:left="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3"/>
                      <w:sz w:val="20"/>
                      <w:szCs w:val="20"/>
                    </w:rPr>
                    <w:t>0.0038</w:t>
                  </w:r>
                  <w:r>
                    <w:rPr>
                      <w:rFonts w:ascii="Times New Roman" w:hAnsi="Times New Roman" w:eastAsia="Times New Roman" w:cs="Times New Roman"/>
                      <w:color w:val="auto"/>
                      <w:sz w:val="20"/>
                      <w:szCs w:val="20"/>
                    </w:rPr>
                    <w:t>7</w:t>
                  </w:r>
                </w:p>
              </w:tc>
              <w:tc>
                <w:tcPr>
                  <w:tcW w:w="319" w:type="pct"/>
                  <w:tcBorders>
                    <w:tl2br w:val="nil"/>
                    <w:tr2bl w:val="nil"/>
                  </w:tcBorders>
                  <w:noWrap w:val="0"/>
                  <w:vAlign w:val="center"/>
                </w:tcPr>
                <w:p w14:paraId="0C1ED63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610248E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4B15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restart"/>
                  <w:tcBorders>
                    <w:tl2br w:val="nil"/>
                    <w:tr2bl w:val="nil"/>
                  </w:tcBorders>
                  <w:noWrap w:val="0"/>
                  <w:vAlign w:val="center"/>
                </w:tcPr>
                <w:p w14:paraId="4750396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r>
                    <w:rPr>
                      <w:rFonts w:ascii="Times New Roman" w:hAnsi="Times New Roman" w:eastAsia="Times New Roman" w:cs="Times New Roman"/>
                      <w:color w:val="auto"/>
                      <w:spacing w:val="3"/>
                      <w:sz w:val="20"/>
                      <w:szCs w:val="20"/>
                    </w:rPr>
                    <w:t>2018.7.2</w:t>
                  </w:r>
                  <w:r>
                    <w:rPr>
                      <w:rFonts w:hint="eastAsia" w:ascii="Times New Roman" w:hAnsi="Times New Roman" w:eastAsia="宋体" w:cs="Times New Roman"/>
                      <w:color w:val="auto"/>
                      <w:spacing w:val="3"/>
                      <w:sz w:val="20"/>
                      <w:szCs w:val="20"/>
                      <w:lang w:val="en-US" w:eastAsia="zh-CN"/>
                    </w:rPr>
                    <w:t>4</w:t>
                  </w:r>
                </w:p>
              </w:tc>
              <w:tc>
                <w:tcPr>
                  <w:tcW w:w="730" w:type="pct"/>
                  <w:vMerge w:val="restart"/>
                  <w:tcBorders>
                    <w:tl2br w:val="nil"/>
                    <w:tr2bl w:val="nil"/>
                  </w:tcBorders>
                  <w:noWrap w:val="0"/>
                  <w:vAlign w:val="center"/>
                </w:tcPr>
                <w:p w14:paraId="56CBDEB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废气处理设施进口</w:t>
                  </w:r>
                </w:p>
              </w:tc>
              <w:tc>
                <w:tcPr>
                  <w:tcW w:w="1362" w:type="pct"/>
                  <w:gridSpan w:val="2"/>
                  <w:tcBorders>
                    <w:tl2br w:val="nil"/>
                    <w:tr2bl w:val="nil"/>
                  </w:tcBorders>
                  <w:noWrap w:val="0"/>
                  <w:vAlign w:val="center"/>
                </w:tcPr>
                <w:p w14:paraId="7A47569A">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79" w:type="dxa"/>
                  <w:tcBorders>
                    <w:tl2br w:val="nil"/>
                    <w:tr2bl w:val="nil"/>
                  </w:tcBorders>
                  <w:noWrap w:val="0"/>
                  <w:vAlign w:val="center"/>
                </w:tcPr>
                <w:p w14:paraId="27873BA9">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872</w:t>
                  </w:r>
                </w:p>
              </w:tc>
              <w:tc>
                <w:tcPr>
                  <w:tcW w:w="879" w:type="dxa"/>
                  <w:tcBorders>
                    <w:tl2br w:val="nil"/>
                    <w:tr2bl w:val="nil"/>
                  </w:tcBorders>
                  <w:noWrap w:val="0"/>
                  <w:vAlign w:val="center"/>
                </w:tcPr>
                <w:p w14:paraId="30A311AF">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871</w:t>
                  </w:r>
                </w:p>
              </w:tc>
              <w:tc>
                <w:tcPr>
                  <w:tcW w:w="883" w:type="dxa"/>
                  <w:tcBorders>
                    <w:tl2br w:val="nil"/>
                    <w:tr2bl w:val="nil"/>
                  </w:tcBorders>
                  <w:noWrap w:val="0"/>
                  <w:vAlign w:val="center"/>
                </w:tcPr>
                <w:p w14:paraId="73C6C230">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870</w:t>
                  </w:r>
                </w:p>
              </w:tc>
              <w:tc>
                <w:tcPr>
                  <w:tcW w:w="319" w:type="pct"/>
                  <w:tcBorders>
                    <w:tl2br w:val="nil"/>
                    <w:tr2bl w:val="nil"/>
                  </w:tcBorders>
                  <w:noWrap w:val="0"/>
                  <w:vAlign w:val="center"/>
                </w:tcPr>
                <w:p w14:paraId="391E2C8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3680285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837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7" w:type="pct"/>
                  <w:vMerge w:val="continue"/>
                  <w:tcBorders>
                    <w:tl2br w:val="nil"/>
                    <w:tr2bl w:val="nil"/>
                  </w:tcBorders>
                  <w:noWrap w:val="0"/>
                  <w:vAlign w:val="center"/>
                </w:tcPr>
                <w:p w14:paraId="397AD9F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591EAA7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3FEE364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04181A5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4818B96B">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1"/>
                      <w:sz w:val="20"/>
                      <w:szCs w:val="20"/>
                    </w:rPr>
                    <w:t>39.7</w:t>
                  </w:r>
                </w:p>
              </w:tc>
              <w:tc>
                <w:tcPr>
                  <w:tcW w:w="858" w:type="dxa"/>
                  <w:tcBorders>
                    <w:tl2br w:val="nil"/>
                    <w:tr2bl w:val="nil"/>
                  </w:tcBorders>
                  <w:noWrap w:val="0"/>
                  <w:vAlign w:val="center"/>
                </w:tcPr>
                <w:p w14:paraId="3183D000">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38.7</w:t>
                  </w:r>
                </w:p>
              </w:tc>
              <w:tc>
                <w:tcPr>
                  <w:tcW w:w="861" w:type="dxa"/>
                  <w:tcBorders>
                    <w:tl2br w:val="nil"/>
                    <w:tr2bl w:val="nil"/>
                  </w:tcBorders>
                  <w:noWrap w:val="0"/>
                  <w:vAlign w:val="center"/>
                </w:tcPr>
                <w:p w14:paraId="529E770E">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39.9</w:t>
                  </w:r>
                </w:p>
              </w:tc>
              <w:tc>
                <w:tcPr>
                  <w:tcW w:w="319" w:type="pct"/>
                  <w:tcBorders>
                    <w:tl2br w:val="nil"/>
                    <w:tr2bl w:val="nil"/>
                  </w:tcBorders>
                  <w:noWrap w:val="0"/>
                  <w:vAlign w:val="center"/>
                </w:tcPr>
                <w:p w14:paraId="79EF5E8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31EE5FA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78C4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6095AE27">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520B3A3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continue"/>
                  <w:tcBorders>
                    <w:tl2br w:val="nil"/>
                    <w:tr2bl w:val="nil"/>
                  </w:tcBorders>
                  <w:noWrap w:val="0"/>
                  <w:vAlign w:val="center"/>
                </w:tcPr>
                <w:p w14:paraId="5F1B2C0F">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975" w:type="pct"/>
                  <w:tcBorders>
                    <w:tl2br w:val="nil"/>
                    <w:tr2bl w:val="nil"/>
                  </w:tcBorders>
                  <w:noWrap w:val="0"/>
                  <w:vAlign w:val="center"/>
                </w:tcPr>
                <w:p w14:paraId="3A56AE1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速率（kg/h）</w:t>
                  </w:r>
                </w:p>
              </w:tc>
              <w:tc>
                <w:tcPr>
                  <w:tcW w:w="858" w:type="dxa"/>
                  <w:tcBorders>
                    <w:tl2br w:val="nil"/>
                    <w:tr2bl w:val="nil"/>
                  </w:tcBorders>
                  <w:noWrap w:val="0"/>
                  <w:vAlign w:val="center"/>
                </w:tcPr>
                <w:p w14:paraId="457D850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0.0347</w:t>
                  </w:r>
                </w:p>
              </w:tc>
              <w:tc>
                <w:tcPr>
                  <w:tcW w:w="858" w:type="dxa"/>
                  <w:tcBorders>
                    <w:tl2br w:val="nil"/>
                    <w:tr2bl w:val="nil"/>
                  </w:tcBorders>
                  <w:noWrap w:val="0"/>
                  <w:vAlign w:val="center"/>
                </w:tcPr>
                <w:p w14:paraId="442CE400">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3"/>
                      <w:sz w:val="20"/>
                      <w:szCs w:val="20"/>
                    </w:rPr>
                    <w:t>0.0337</w:t>
                  </w:r>
                </w:p>
              </w:tc>
              <w:tc>
                <w:tcPr>
                  <w:tcW w:w="861" w:type="dxa"/>
                  <w:tcBorders>
                    <w:tl2br w:val="nil"/>
                    <w:tr2bl w:val="nil"/>
                  </w:tcBorders>
                  <w:noWrap w:val="0"/>
                  <w:vAlign w:val="center"/>
                </w:tcPr>
                <w:p w14:paraId="5817DD9C">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3"/>
                      <w:sz w:val="20"/>
                      <w:szCs w:val="20"/>
                    </w:rPr>
                    <w:t>0.0348</w:t>
                  </w:r>
                </w:p>
              </w:tc>
              <w:tc>
                <w:tcPr>
                  <w:tcW w:w="319" w:type="pct"/>
                  <w:tcBorders>
                    <w:tl2br w:val="nil"/>
                    <w:tr2bl w:val="nil"/>
                  </w:tcBorders>
                  <w:noWrap w:val="0"/>
                  <w:vAlign w:val="center"/>
                </w:tcPr>
                <w:p w14:paraId="191EFF6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6418496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C88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74D6E335">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eastAsia" w:ascii="Times New Roman" w:hAnsi="Times New Roman" w:eastAsia="宋体" w:cs="Times New Roman"/>
                      <w:color w:val="auto"/>
                      <w:kern w:val="0"/>
                      <w:sz w:val="21"/>
                      <w:szCs w:val="21"/>
                      <w:highlight w:val="none"/>
                      <w:lang w:val="en-US" w:eastAsia="zh-CN" w:bidi="ar"/>
                    </w:rPr>
                  </w:pPr>
                </w:p>
              </w:tc>
              <w:tc>
                <w:tcPr>
                  <w:tcW w:w="730" w:type="pct"/>
                  <w:vMerge w:val="restart"/>
                  <w:tcBorders>
                    <w:tl2br w:val="nil"/>
                    <w:tr2bl w:val="nil"/>
                  </w:tcBorders>
                  <w:noWrap w:val="0"/>
                  <w:vAlign w:val="center"/>
                </w:tcPr>
                <w:p w14:paraId="53327DF4">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废气处理设施出口</w:t>
                  </w:r>
                </w:p>
              </w:tc>
              <w:tc>
                <w:tcPr>
                  <w:tcW w:w="1362" w:type="pct"/>
                  <w:gridSpan w:val="2"/>
                  <w:tcBorders>
                    <w:tl2br w:val="nil"/>
                    <w:tr2bl w:val="nil"/>
                  </w:tcBorders>
                  <w:noWrap w:val="0"/>
                  <w:vAlign w:val="center"/>
                </w:tcPr>
                <w:p w14:paraId="7EAE60F1">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风量（m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/h）</w:t>
                  </w:r>
                </w:p>
              </w:tc>
              <w:tc>
                <w:tcPr>
                  <w:tcW w:w="858" w:type="dxa"/>
                  <w:tcBorders>
                    <w:tl2br w:val="nil"/>
                    <w:tr2bl w:val="nil"/>
                  </w:tcBorders>
                  <w:noWrap w:val="0"/>
                  <w:vAlign w:val="center"/>
                </w:tcPr>
                <w:p w14:paraId="6F53E9EA">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731</w:t>
                  </w:r>
                </w:p>
              </w:tc>
              <w:tc>
                <w:tcPr>
                  <w:tcW w:w="858" w:type="dxa"/>
                  <w:tcBorders>
                    <w:tl2br w:val="nil"/>
                    <w:tr2bl w:val="nil"/>
                  </w:tcBorders>
                  <w:noWrap w:val="0"/>
                  <w:vAlign w:val="center"/>
                </w:tcPr>
                <w:p w14:paraId="14B2A8CF">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738</w:t>
                  </w:r>
                </w:p>
              </w:tc>
              <w:tc>
                <w:tcPr>
                  <w:tcW w:w="861" w:type="dxa"/>
                  <w:tcBorders>
                    <w:tl2br w:val="nil"/>
                    <w:tr2bl w:val="nil"/>
                  </w:tcBorders>
                  <w:noWrap w:val="0"/>
                  <w:vAlign w:val="center"/>
                </w:tcPr>
                <w:p w14:paraId="345C32EC">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pacing w:val="2"/>
                      <w:sz w:val="20"/>
                      <w:szCs w:val="20"/>
                    </w:rPr>
                    <w:t>741</w:t>
                  </w:r>
                </w:p>
              </w:tc>
              <w:tc>
                <w:tcPr>
                  <w:tcW w:w="319" w:type="pct"/>
                  <w:tcBorders>
                    <w:tl2br w:val="nil"/>
                    <w:tr2bl w:val="nil"/>
                  </w:tcBorders>
                  <w:noWrap w:val="0"/>
                  <w:vAlign w:val="center"/>
                </w:tcPr>
                <w:p w14:paraId="1FD4735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5470CBF0">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5CD0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42E1BBE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730" w:type="pct"/>
                  <w:vMerge w:val="continue"/>
                  <w:tcBorders>
                    <w:tl2br w:val="nil"/>
                    <w:tr2bl w:val="nil"/>
                  </w:tcBorders>
                  <w:noWrap w:val="0"/>
                  <w:vAlign w:val="center"/>
                </w:tcPr>
                <w:p w14:paraId="41F6701E">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p>
              </w:tc>
              <w:tc>
                <w:tcPr>
                  <w:tcW w:w="387" w:type="pct"/>
                  <w:vMerge w:val="restart"/>
                  <w:tcBorders>
                    <w:tl2br w:val="nil"/>
                    <w:tr2bl w:val="nil"/>
                  </w:tcBorders>
                  <w:noWrap w:val="0"/>
                  <w:vAlign w:val="center"/>
                </w:tcPr>
                <w:p w14:paraId="44F3497D">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颗粒物</w:t>
                  </w:r>
                </w:p>
              </w:tc>
              <w:tc>
                <w:tcPr>
                  <w:tcW w:w="975" w:type="pct"/>
                  <w:tcBorders>
                    <w:tl2br w:val="nil"/>
                    <w:tr2bl w:val="nil"/>
                  </w:tcBorders>
                  <w:noWrap w:val="0"/>
                  <w:vAlign w:val="center"/>
                </w:tcPr>
                <w:p w14:paraId="752D302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排放浓度（mg/m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w:t>
                  </w:r>
                </w:p>
              </w:tc>
              <w:tc>
                <w:tcPr>
                  <w:tcW w:w="858" w:type="dxa"/>
                  <w:tcBorders>
                    <w:tl2br w:val="nil"/>
                    <w:tr2bl w:val="nil"/>
                  </w:tcBorders>
                  <w:noWrap w:val="0"/>
                  <w:vAlign w:val="center"/>
                </w:tcPr>
                <w:p w14:paraId="6A4AB101">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5.6</w:t>
                  </w:r>
                </w:p>
              </w:tc>
              <w:tc>
                <w:tcPr>
                  <w:tcW w:w="858" w:type="dxa"/>
                  <w:tcBorders>
                    <w:tl2br w:val="nil"/>
                    <w:tr2bl w:val="nil"/>
                  </w:tcBorders>
                  <w:noWrap w:val="0"/>
                  <w:vAlign w:val="center"/>
                </w:tcPr>
                <w:p w14:paraId="259E5BEA">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5.6</w:t>
                  </w:r>
                </w:p>
              </w:tc>
              <w:tc>
                <w:tcPr>
                  <w:tcW w:w="861" w:type="dxa"/>
                  <w:tcBorders>
                    <w:tl2br w:val="nil"/>
                    <w:tr2bl w:val="nil"/>
                  </w:tcBorders>
                  <w:noWrap w:val="0"/>
                  <w:vAlign w:val="center"/>
                </w:tcPr>
                <w:p w14:paraId="218A5AB5">
                  <w:pPr>
                    <w:keepNext w:val="0"/>
                    <w:keepLines w:val="0"/>
                    <w:pageBreakBefore w:val="0"/>
                    <w:kinsoku/>
                    <w:wordWrap/>
                    <w:overflowPunct/>
                    <w:topLinePunct w:val="0"/>
                    <w:autoSpaceDE/>
                    <w:autoSpaceDN/>
                    <w:bidi w:val="0"/>
                    <w:adjustRightInd/>
                    <w:snapToGrid/>
                    <w:spacing w:line="195"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5.6</w:t>
                  </w:r>
                </w:p>
              </w:tc>
              <w:tc>
                <w:tcPr>
                  <w:tcW w:w="319" w:type="pct"/>
                  <w:tcBorders>
                    <w:tl2br w:val="nil"/>
                    <w:tr2bl w:val="nil"/>
                  </w:tcBorders>
                  <w:noWrap w:val="0"/>
                  <w:vAlign w:val="center"/>
                </w:tcPr>
                <w:p w14:paraId="6A83D13B">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30</w:t>
                  </w:r>
                </w:p>
              </w:tc>
              <w:tc>
                <w:tcPr>
                  <w:tcW w:w="457" w:type="pct"/>
                  <w:tcBorders>
                    <w:tl2br w:val="nil"/>
                    <w:tr2bl w:val="nil"/>
                  </w:tcBorders>
                  <w:noWrap w:val="0"/>
                  <w:vAlign w:val="center"/>
                </w:tcPr>
                <w:p w14:paraId="387FF6E9">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达标</w:t>
                  </w:r>
                </w:p>
              </w:tc>
            </w:tr>
            <w:tr w14:paraId="19D8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7" w:type="pct"/>
                  <w:vMerge w:val="continue"/>
                  <w:tcBorders>
                    <w:tl2br w:val="nil"/>
                    <w:tr2bl w:val="nil"/>
                  </w:tcBorders>
                  <w:noWrap w:val="0"/>
                  <w:vAlign w:val="center"/>
                </w:tcPr>
                <w:p w14:paraId="1BA8D7C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FF0000"/>
                      <w:kern w:val="0"/>
                      <w:sz w:val="21"/>
                      <w:szCs w:val="21"/>
                      <w:highlight w:val="none"/>
                      <w:lang w:val="en-US" w:eastAsia="zh-CN" w:bidi="ar"/>
                    </w:rPr>
                  </w:pPr>
                </w:p>
              </w:tc>
              <w:tc>
                <w:tcPr>
                  <w:tcW w:w="730" w:type="pct"/>
                  <w:vMerge w:val="continue"/>
                  <w:tcBorders>
                    <w:tl2br w:val="nil"/>
                    <w:tr2bl w:val="nil"/>
                  </w:tcBorders>
                  <w:noWrap w:val="0"/>
                  <w:vAlign w:val="center"/>
                </w:tcPr>
                <w:p w14:paraId="7513F08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FF0000"/>
                      <w:kern w:val="0"/>
                      <w:sz w:val="21"/>
                      <w:szCs w:val="21"/>
                      <w:highlight w:val="none"/>
                      <w:lang w:val="en-US" w:eastAsia="zh-CN" w:bidi="ar"/>
                    </w:rPr>
                  </w:pPr>
                </w:p>
              </w:tc>
              <w:tc>
                <w:tcPr>
                  <w:tcW w:w="387" w:type="pct"/>
                  <w:vMerge w:val="continue"/>
                  <w:tcBorders>
                    <w:tl2br w:val="nil"/>
                    <w:tr2bl w:val="nil"/>
                  </w:tcBorders>
                  <w:noWrap w:val="0"/>
                  <w:vAlign w:val="center"/>
                </w:tcPr>
                <w:p w14:paraId="719227B5">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FF0000"/>
                      <w:kern w:val="0"/>
                      <w:sz w:val="21"/>
                      <w:szCs w:val="21"/>
                      <w:highlight w:val="none"/>
                      <w:lang w:val="en-US" w:eastAsia="zh-CN" w:bidi="ar"/>
                    </w:rPr>
                  </w:pPr>
                </w:p>
              </w:tc>
              <w:tc>
                <w:tcPr>
                  <w:tcW w:w="975" w:type="pct"/>
                  <w:tcBorders>
                    <w:tl2br w:val="nil"/>
                    <w:tr2bl w:val="nil"/>
                  </w:tcBorders>
                  <w:noWrap w:val="0"/>
                  <w:vAlign w:val="center"/>
                </w:tcPr>
                <w:p w14:paraId="360FB008">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排放速率（kg/h）</w:t>
                  </w:r>
                </w:p>
              </w:tc>
              <w:tc>
                <w:tcPr>
                  <w:tcW w:w="858" w:type="dxa"/>
                  <w:tcBorders>
                    <w:tl2br w:val="nil"/>
                    <w:tr2bl w:val="nil"/>
                  </w:tcBorders>
                  <w:noWrap w:val="0"/>
                  <w:vAlign w:val="center"/>
                </w:tcPr>
                <w:p w14:paraId="05201F0D">
                  <w:pPr>
                    <w:keepNext w:val="0"/>
                    <w:keepLines w:val="0"/>
                    <w:pageBreakBefore w:val="0"/>
                    <w:kinsoku/>
                    <w:wordWrap/>
                    <w:overflowPunct/>
                    <w:topLinePunct w:val="0"/>
                    <w:autoSpaceDE/>
                    <w:autoSpaceDN/>
                    <w:bidi w:val="0"/>
                    <w:adjustRightInd/>
                    <w:snapToGrid/>
                    <w:spacing w:line="195" w:lineRule="auto"/>
                    <w:ind w:left="0"/>
                    <w:jc w:val="center"/>
                    <w:textAlignment w:val="auto"/>
                    <w:rPr>
                      <w:rFonts w:ascii="Times New Roman" w:hAnsi="Times New Roman" w:eastAsia="Times New Roman" w:cs="Times New Roman"/>
                      <w:color w:val="auto"/>
                      <w:sz w:val="20"/>
                      <w:szCs w:val="20"/>
                    </w:rPr>
                  </w:pPr>
                  <w:r>
                    <w:rPr>
                      <w:rFonts w:ascii="Times New Roman" w:hAnsi="Times New Roman" w:eastAsia="Times New Roman" w:cs="Times New Roman"/>
                      <w:color w:val="auto"/>
                      <w:spacing w:val="3"/>
                      <w:sz w:val="20"/>
                      <w:szCs w:val="20"/>
                    </w:rPr>
                    <w:t>0.0041</w:t>
                  </w:r>
                </w:p>
                <w:p w14:paraId="142B6D12">
                  <w:pPr>
                    <w:keepNext w:val="0"/>
                    <w:keepLines w:val="0"/>
                    <w:pageBreakBefore w:val="0"/>
                    <w:kinsoku/>
                    <w:wordWrap/>
                    <w:overflowPunct/>
                    <w:topLinePunct w:val="0"/>
                    <w:autoSpaceDE/>
                    <w:autoSpaceDN/>
                    <w:bidi w:val="0"/>
                    <w:adjustRightInd/>
                    <w:snapToGrid/>
                    <w:spacing w:line="189"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0</w:t>
                  </w:r>
                </w:p>
              </w:tc>
              <w:tc>
                <w:tcPr>
                  <w:tcW w:w="858" w:type="dxa"/>
                  <w:tcBorders>
                    <w:tl2br w:val="nil"/>
                    <w:tr2bl w:val="nil"/>
                  </w:tcBorders>
                  <w:noWrap w:val="0"/>
                  <w:vAlign w:val="center"/>
                </w:tcPr>
                <w:p w14:paraId="01C5326A">
                  <w:pPr>
                    <w:keepNext w:val="0"/>
                    <w:keepLines w:val="0"/>
                    <w:pageBreakBefore w:val="0"/>
                    <w:kinsoku/>
                    <w:wordWrap/>
                    <w:overflowPunct/>
                    <w:topLinePunct w:val="0"/>
                    <w:autoSpaceDE/>
                    <w:autoSpaceDN/>
                    <w:bidi w:val="0"/>
                    <w:adjustRightInd/>
                    <w:snapToGrid/>
                    <w:spacing w:line="195" w:lineRule="auto"/>
                    <w:ind w:left="0"/>
                    <w:jc w:val="center"/>
                    <w:textAlignment w:val="auto"/>
                    <w:rPr>
                      <w:rFonts w:ascii="Times New Roman" w:hAnsi="Times New Roman" w:eastAsia="Times New Roman" w:cs="Times New Roman"/>
                      <w:color w:val="auto"/>
                      <w:sz w:val="20"/>
                      <w:szCs w:val="20"/>
                    </w:rPr>
                  </w:pPr>
                  <w:r>
                    <w:rPr>
                      <w:rFonts w:ascii="Times New Roman" w:hAnsi="Times New Roman" w:eastAsia="Times New Roman" w:cs="Times New Roman"/>
                      <w:color w:val="auto"/>
                      <w:spacing w:val="3"/>
                      <w:sz w:val="20"/>
                      <w:szCs w:val="20"/>
                    </w:rPr>
                    <w:t>0.0041</w:t>
                  </w:r>
                </w:p>
                <w:p w14:paraId="6C8E37C1">
                  <w:pPr>
                    <w:keepNext w:val="0"/>
                    <w:keepLines w:val="0"/>
                    <w:pageBreakBefore w:val="0"/>
                    <w:kinsoku/>
                    <w:wordWrap/>
                    <w:overflowPunct/>
                    <w:topLinePunct w:val="0"/>
                    <w:autoSpaceDE/>
                    <w:autoSpaceDN/>
                    <w:bidi w:val="0"/>
                    <w:adjustRightInd/>
                    <w:snapToGrid/>
                    <w:spacing w:line="189"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3</w:t>
                  </w:r>
                </w:p>
              </w:tc>
              <w:tc>
                <w:tcPr>
                  <w:tcW w:w="861" w:type="dxa"/>
                  <w:tcBorders>
                    <w:tl2br w:val="nil"/>
                    <w:tr2bl w:val="nil"/>
                  </w:tcBorders>
                  <w:noWrap w:val="0"/>
                  <w:vAlign w:val="center"/>
                </w:tcPr>
                <w:p w14:paraId="16F9F753">
                  <w:pPr>
                    <w:keepNext w:val="0"/>
                    <w:keepLines w:val="0"/>
                    <w:pageBreakBefore w:val="0"/>
                    <w:kinsoku/>
                    <w:wordWrap/>
                    <w:overflowPunct/>
                    <w:topLinePunct w:val="0"/>
                    <w:autoSpaceDE/>
                    <w:autoSpaceDN/>
                    <w:bidi w:val="0"/>
                    <w:adjustRightInd/>
                    <w:snapToGrid/>
                    <w:spacing w:line="195" w:lineRule="auto"/>
                    <w:ind w:left="0"/>
                    <w:jc w:val="center"/>
                    <w:textAlignment w:val="auto"/>
                    <w:rPr>
                      <w:rFonts w:ascii="Times New Roman" w:hAnsi="Times New Roman" w:eastAsia="Times New Roman" w:cs="Times New Roman"/>
                      <w:color w:val="auto"/>
                      <w:sz w:val="20"/>
                      <w:szCs w:val="20"/>
                    </w:rPr>
                  </w:pPr>
                  <w:r>
                    <w:rPr>
                      <w:rFonts w:ascii="Times New Roman" w:hAnsi="Times New Roman" w:eastAsia="Times New Roman" w:cs="Times New Roman"/>
                      <w:color w:val="auto"/>
                      <w:spacing w:val="3"/>
                      <w:sz w:val="20"/>
                      <w:szCs w:val="20"/>
                    </w:rPr>
                    <w:t>0.0041</w:t>
                  </w:r>
                </w:p>
                <w:p w14:paraId="7C03D27A">
                  <w:pPr>
                    <w:keepNext w:val="0"/>
                    <w:keepLines w:val="0"/>
                    <w:pageBreakBefore w:val="0"/>
                    <w:kinsoku/>
                    <w:wordWrap/>
                    <w:overflowPunct/>
                    <w:topLinePunct w:val="0"/>
                    <w:autoSpaceDE/>
                    <w:autoSpaceDN/>
                    <w:bidi w:val="0"/>
                    <w:adjustRightInd/>
                    <w:snapToGrid/>
                    <w:spacing w:line="186" w:lineRule="auto"/>
                    <w:ind w:left="0" w:leftChars="0"/>
                    <w:jc w:val="center"/>
                    <w:textAlignment w:val="auto"/>
                    <w:rPr>
                      <w:rFonts w:hint="default" w:ascii="Times New Roman" w:hAnsi="Times New Roman" w:eastAsia="Times New Roman" w:cs="Times New Roman"/>
                      <w:color w:val="auto"/>
                      <w:spacing w:val="2"/>
                      <w:sz w:val="20"/>
                      <w:szCs w:val="20"/>
                      <w:lang w:val="en-US" w:eastAsia="zh-CN"/>
                    </w:rPr>
                  </w:pPr>
                  <w:r>
                    <w:rPr>
                      <w:rFonts w:ascii="Times New Roman" w:hAnsi="Times New Roman" w:eastAsia="Times New Roman" w:cs="Times New Roman"/>
                      <w:color w:val="auto"/>
                      <w:sz w:val="20"/>
                      <w:szCs w:val="20"/>
                    </w:rPr>
                    <w:t>5</w:t>
                  </w:r>
                </w:p>
              </w:tc>
              <w:tc>
                <w:tcPr>
                  <w:tcW w:w="319" w:type="pct"/>
                  <w:tcBorders>
                    <w:tl2br w:val="nil"/>
                    <w:tr2bl w:val="nil"/>
                  </w:tcBorders>
                  <w:noWrap w:val="0"/>
                  <w:vAlign w:val="center"/>
                </w:tcPr>
                <w:p w14:paraId="6E60E3CC">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457" w:type="pct"/>
                  <w:tcBorders>
                    <w:tl2br w:val="nil"/>
                    <w:tr2bl w:val="nil"/>
                  </w:tcBorders>
                  <w:noWrap w:val="0"/>
                  <w:vAlign w:val="center"/>
                </w:tcPr>
                <w:p w14:paraId="5FCE0412">
                  <w:pPr>
                    <w:keepNext w:val="0"/>
                    <w:keepLines w:val="0"/>
                    <w:pageBreakBefore w:val="0"/>
                    <w:widowControl/>
                    <w:suppressLineNumbers w:val="0"/>
                    <w:kinsoku/>
                    <w:wordWrap/>
                    <w:overflowPunct/>
                    <w:topLinePunct w:val="0"/>
                    <w:autoSpaceDE/>
                    <w:autoSpaceDN/>
                    <w:bidi w:val="0"/>
                    <w:adjustRightInd/>
                    <w:snapToGrid/>
                    <w:ind w:left="0"/>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14:paraId="0E05AB9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9</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现有项目验收期间无组织废气监测结果</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1116"/>
              <w:gridCol w:w="1116"/>
              <w:gridCol w:w="1217"/>
              <w:gridCol w:w="1217"/>
              <w:gridCol w:w="1217"/>
              <w:gridCol w:w="1289"/>
            </w:tblGrid>
            <w:tr w14:paraId="647F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blHeader/>
                <w:jc w:val="center"/>
              </w:trPr>
              <w:tc>
                <w:tcPr>
                  <w:tcW w:w="1469" w:type="dxa"/>
                  <w:vMerge w:val="restart"/>
                  <w:noWrap w:val="0"/>
                  <w:vAlign w:val="center"/>
                </w:tcPr>
                <w:p w14:paraId="518E3492">
                  <w:pPr>
                    <w:jc w:val="center"/>
                    <w:rPr>
                      <w:rFonts w:ascii="Times New Roman" w:hAnsi="Times New Roman"/>
                      <w:b/>
                      <w:bCs w:val="0"/>
                      <w:color w:val="auto"/>
                      <w:szCs w:val="21"/>
                      <w:highlight w:val="none"/>
                    </w:rPr>
                  </w:pPr>
                  <w:r>
                    <w:rPr>
                      <w:rFonts w:ascii="Times New Roman" w:hAnsi="Times New Roman"/>
                      <w:b/>
                      <w:bCs w:val="0"/>
                      <w:color w:val="auto"/>
                      <w:szCs w:val="21"/>
                      <w:highlight w:val="none"/>
                    </w:rPr>
                    <w:t>项目名称</w:t>
                  </w:r>
                </w:p>
              </w:tc>
              <w:tc>
                <w:tcPr>
                  <w:tcW w:w="1116" w:type="dxa"/>
                  <w:vMerge w:val="restart"/>
                  <w:noWrap w:val="0"/>
                  <w:vAlign w:val="center"/>
                </w:tcPr>
                <w:p w14:paraId="47651E85">
                  <w:pPr>
                    <w:jc w:val="center"/>
                    <w:rPr>
                      <w:rFonts w:ascii="Times New Roman" w:hAnsi="Times New Roman"/>
                      <w:b/>
                      <w:bCs w:val="0"/>
                      <w:color w:val="auto"/>
                      <w:szCs w:val="21"/>
                      <w:highlight w:val="none"/>
                    </w:rPr>
                  </w:pPr>
                  <w:r>
                    <w:rPr>
                      <w:rFonts w:ascii="Times New Roman" w:hAnsi="Times New Roman"/>
                      <w:b/>
                      <w:bCs w:val="0"/>
                      <w:color w:val="auto"/>
                      <w:szCs w:val="21"/>
                      <w:highlight w:val="none"/>
                    </w:rPr>
                    <w:t>采样日期</w:t>
                  </w:r>
                </w:p>
              </w:tc>
              <w:tc>
                <w:tcPr>
                  <w:tcW w:w="1116" w:type="dxa"/>
                  <w:vMerge w:val="restart"/>
                  <w:noWrap w:val="0"/>
                  <w:vAlign w:val="center"/>
                </w:tcPr>
                <w:p w14:paraId="2F1F8C28">
                  <w:pPr>
                    <w:jc w:val="center"/>
                    <w:rPr>
                      <w:rFonts w:hint="default" w:ascii="Times New Roman" w:hAnsi="Times New Roman" w:eastAsia="宋体"/>
                      <w:b/>
                      <w:bCs w:val="0"/>
                      <w:color w:val="auto"/>
                      <w:kern w:val="0"/>
                      <w:szCs w:val="21"/>
                      <w:highlight w:val="none"/>
                      <w:lang w:val="en-US" w:eastAsia="zh-CN"/>
                    </w:rPr>
                  </w:pPr>
                  <w:r>
                    <w:rPr>
                      <w:rFonts w:hint="eastAsia"/>
                      <w:b/>
                      <w:bCs w:val="0"/>
                      <w:color w:val="auto"/>
                      <w:kern w:val="0"/>
                      <w:szCs w:val="21"/>
                      <w:highlight w:val="none"/>
                      <w:lang w:val="en-US" w:eastAsia="zh-CN"/>
                    </w:rPr>
                    <w:t>采样频次</w:t>
                  </w:r>
                </w:p>
              </w:tc>
              <w:tc>
                <w:tcPr>
                  <w:tcW w:w="4940" w:type="dxa"/>
                  <w:gridSpan w:val="4"/>
                  <w:noWrap w:val="0"/>
                  <w:vAlign w:val="center"/>
                </w:tcPr>
                <w:p w14:paraId="35F8B37B">
                  <w:pPr>
                    <w:jc w:val="center"/>
                    <w:rPr>
                      <w:rFonts w:ascii="Times New Roman" w:hAnsi="Times New Roman"/>
                      <w:bCs/>
                      <w:color w:val="auto"/>
                      <w:szCs w:val="21"/>
                      <w:highlight w:val="none"/>
                    </w:rPr>
                  </w:pPr>
                  <w:r>
                    <w:rPr>
                      <w:rFonts w:ascii="Times New Roman" w:hAnsi="Times New Roman"/>
                      <w:b/>
                      <w:bCs w:val="0"/>
                      <w:color w:val="auto"/>
                      <w:kern w:val="0"/>
                      <w:szCs w:val="21"/>
                      <w:highlight w:val="none"/>
                    </w:rPr>
                    <w:t>检测点位</w:t>
                  </w:r>
                  <w:r>
                    <w:rPr>
                      <w:rFonts w:hint="eastAsia" w:ascii="Times New Roman" w:hAnsi="Times New Roman"/>
                      <w:b/>
                      <w:bCs w:val="0"/>
                      <w:color w:val="auto"/>
                      <w:kern w:val="0"/>
                      <w:szCs w:val="21"/>
                      <w:highlight w:val="none"/>
                      <w:lang w:val="en-US" w:eastAsia="zh-CN"/>
                    </w:rPr>
                    <w:t>及</w:t>
                  </w:r>
                  <w:r>
                    <w:rPr>
                      <w:rFonts w:ascii="Times New Roman" w:hAnsi="Times New Roman"/>
                      <w:b/>
                      <w:bCs w:val="0"/>
                      <w:color w:val="auto"/>
                      <w:szCs w:val="21"/>
                      <w:highlight w:val="none"/>
                    </w:rPr>
                    <w:t>检测结果</w:t>
                  </w:r>
                </w:p>
              </w:tc>
            </w:tr>
            <w:tr w14:paraId="09A3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blHeader/>
                <w:jc w:val="center"/>
              </w:trPr>
              <w:tc>
                <w:tcPr>
                  <w:tcW w:w="1469" w:type="dxa"/>
                  <w:vMerge w:val="continue"/>
                  <w:noWrap w:val="0"/>
                  <w:vAlign w:val="center"/>
                </w:tcPr>
                <w:p w14:paraId="31934C5D">
                  <w:pPr>
                    <w:jc w:val="center"/>
                    <w:rPr>
                      <w:rFonts w:ascii="Times New Roman" w:hAnsi="Times New Roman"/>
                      <w:bCs/>
                      <w:color w:val="auto"/>
                      <w:szCs w:val="21"/>
                      <w:highlight w:val="none"/>
                    </w:rPr>
                  </w:pPr>
                </w:p>
              </w:tc>
              <w:tc>
                <w:tcPr>
                  <w:tcW w:w="1116" w:type="dxa"/>
                  <w:vMerge w:val="continue"/>
                  <w:noWrap w:val="0"/>
                  <w:vAlign w:val="center"/>
                </w:tcPr>
                <w:p w14:paraId="3B1DC24F">
                  <w:pPr>
                    <w:jc w:val="center"/>
                    <w:rPr>
                      <w:rFonts w:ascii="Times New Roman" w:hAnsi="Times New Roman"/>
                      <w:bCs/>
                      <w:color w:val="auto"/>
                      <w:szCs w:val="21"/>
                      <w:highlight w:val="none"/>
                    </w:rPr>
                  </w:pPr>
                </w:p>
              </w:tc>
              <w:tc>
                <w:tcPr>
                  <w:tcW w:w="1116" w:type="dxa"/>
                  <w:vMerge w:val="continue"/>
                  <w:noWrap w:val="0"/>
                  <w:vAlign w:val="center"/>
                </w:tcPr>
                <w:p w14:paraId="1BE0739A">
                  <w:pPr>
                    <w:jc w:val="center"/>
                    <w:rPr>
                      <w:rFonts w:ascii="Times New Roman" w:hAnsi="Times New Roman"/>
                      <w:bCs/>
                      <w:color w:val="auto"/>
                      <w:kern w:val="0"/>
                      <w:szCs w:val="21"/>
                      <w:highlight w:val="none"/>
                    </w:rPr>
                  </w:pPr>
                </w:p>
              </w:tc>
              <w:tc>
                <w:tcPr>
                  <w:tcW w:w="1217" w:type="dxa"/>
                  <w:noWrap w:val="0"/>
                  <w:vAlign w:val="center"/>
                </w:tcPr>
                <w:p w14:paraId="39219156">
                  <w:pPr>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kern w:val="0"/>
                      <w:szCs w:val="21"/>
                      <w:highlight w:val="none"/>
                    </w:rPr>
                    <w:t>上风向G1</w:t>
                  </w:r>
                </w:p>
              </w:tc>
              <w:tc>
                <w:tcPr>
                  <w:tcW w:w="1217" w:type="dxa"/>
                  <w:noWrap w:val="0"/>
                  <w:vAlign w:val="center"/>
                </w:tcPr>
                <w:p w14:paraId="3169E2A3">
                  <w:pPr>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kern w:val="0"/>
                      <w:szCs w:val="21"/>
                      <w:highlight w:val="none"/>
                    </w:rPr>
                    <w:t>下风向G2</w:t>
                  </w:r>
                </w:p>
              </w:tc>
              <w:tc>
                <w:tcPr>
                  <w:tcW w:w="1217" w:type="dxa"/>
                  <w:noWrap w:val="0"/>
                  <w:vAlign w:val="center"/>
                </w:tcPr>
                <w:p w14:paraId="37665D5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下风向G3</w:t>
                  </w:r>
                </w:p>
              </w:tc>
              <w:tc>
                <w:tcPr>
                  <w:tcW w:w="1289" w:type="dxa"/>
                  <w:noWrap w:val="0"/>
                  <w:vAlign w:val="center"/>
                </w:tcPr>
                <w:p w14:paraId="2E2D0C0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下风向G4</w:t>
                  </w:r>
                </w:p>
              </w:tc>
            </w:tr>
            <w:tr w14:paraId="4BCA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blHeader/>
                <w:jc w:val="center"/>
              </w:trPr>
              <w:tc>
                <w:tcPr>
                  <w:tcW w:w="1469" w:type="dxa"/>
                  <w:vMerge w:val="restart"/>
                  <w:noWrap w:val="0"/>
                  <w:vAlign w:val="center"/>
                </w:tcPr>
                <w:p w14:paraId="244391D4">
                  <w:pPr>
                    <w:jc w:val="center"/>
                    <w:rPr>
                      <w:rFonts w:hint="default" w:ascii="Times New Roman" w:hAnsi="Times New Roman" w:eastAsia="宋体"/>
                      <w:bCs/>
                      <w:color w:val="auto"/>
                      <w:szCs w:val="21"/>
                      <w:highlight w:val="none"/>
                      <w:lang w:val="en-US" w:eastAsia="zh-CN"/>
                    </w:rPr>
                  </w:pPr>
                  <w:r>
                    <w:rPr>
                      <w:rFonts w:hint="eastAsia" w:ascii="Times New Roman" w:hAnsi="Times New Roman" w:eastAsia="宋体"/>
                      <w:bCs/>
                      <w:color w:val="auto"/>
                      <w:szCs w:val="21"/>
                      <w:highlight w:val="none"/>
                      <w:lang w:val="en-US" w:eastAsia="zh-CN"/>
                    </w:rPr>
                    <w:t>颗粒物</w:t>
                  </w:r>
                </w:p>
              </w:tc>
              <w:tc>
                <w:tcPr>
                  <w:tcW w:w="1116" w:type="dxa"/>
                  <w:vMerge w:val="restart"/>
                  <w:noWrap w:val="0"/>
                  <w:vAlign w:val="center"/>
                </w:tcPr>
                <w:p w14:paraId="733762FB">
                  <w:pPr>
                    <w:jc w:val="center"/>
                    <w:rPr>
                      <w:rFonts w:hint="default" w:ascii="Times New Roman" w:hAnsi="Times New Roman"/>
                      <w:bCs/>
                      <w:color w:val="auto"/>
                      <w:kern w:val="0"/>
                      <w:szCs w:val="21"/>
                      <w:highlight w:val="none"/>
                      <w:lang w:val="en-US"/>
                    </w:rPr>
                  </w:pPr>
                  <w:r>
                    <w:rPr>
                      <w:rFonts w:hint="default" w:ascii="Times New Roman" w:hAnsi="Times New Roman" w:eastAsia="宋体" w:cs="Times New Roman"/>
                      <w:color w:val="auto"/>
                      <w:sz w:val="21"/>
                      <w:szCs w:val="21"/>
                      <w:highlight w:val="none"/>
                      <w:lang w:val="en-US" w:eastAsia="zh-CN"/>
                    </w:rPr>
                    <w:t>20</w:t>
                  </w:r>
                  <w:r>
                    <w:rPr>
                      <w:rFonts w:hint="eastAsia" w:cs="Times New Roman"/>
                      <w:color w:val="auto"/>
                      <w:sz w:val="21"/>
                      <w:szCs w:val="21"/>
                      <w:highlight w:val="none"/>
                      <w:lang w:val="en-US" w:eastAsia="zh-CN"/>
                    </w:rPr>
                    <w:t>18.7.23</w:t>
                  </w:r>
                </w:p>
              </w:tc>
              <w:tc>
                <w:tcPr>
                  <w:tcW w:w="1116" w:type="dxa"/>
                  <w:noWrap w:val="0"/>
                  <w:vAlign w:val="center"/>
                </w:tcPr>
                <w:p w14:paraId="03BA2A62">
                  <w:pPr>
                    <w:jc w:val="center"/>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1 \* ROMAN \* MERGEFORMAT </w:instrText>
                  </w:r>
                  <w:r>
                    <w:rPr>
                      <w:rFonts w:hint="default" w:ascii="Times New Roman" w:hAnsi="Times New Roman" w:cs="Times New Roman"/>
                      <w:b w:val="0"/>
                      <w:bCs/>
                      <w:color w:val="auto"/>
                      <w:szCs w:val="21"/>
                      <w:highlight w:val="none"/>
                    </w:rPr>
                    <w:fldChar w:fldCharType="separate"/>
                  </w:r>
                  <w:r>
                    <w:rPr>
                      <w:rFonts w:hint="default" w:ascii="Times New Roman" w:hAnsi="Times New Roman" w:cs="Times New Roman"/>
                      <w:b w:val="0"/>
                      <w:bCs/>
                      <w:color w:val="auto"/>
                      <w:szCs w:val="21"/>
                      <w:highlight w:val="none"/>
                    </w:rPr>
                    <w:t>I</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6C406FCB">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0.098</w:t>
                  </w:r>
                </w:p>
              </w:tc>
              <w:tc>
                <w:tcPr>
                  <w:tcW w:w="1217" w:type="dxa"/>
                  <w:noWrap w:val="0"/>
                  <w:vAlign w:val="top"/>
                </w:tcPr>
                <w:p w14:paraId="138A0F7A">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0.148</w:t>
                  </w:r>
                </w:p>
              </w:tc>
              <w:tc>
                <w:tcPr>
                  <w:tcW w:w="1217" w:type="dxa"/>
                  <w:noWrap w:val="0"/>
                  <w:vAlign w:val="top"/>
                </w:tcPr>
                <w:p w14:paraId="0015EEA5">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0.295</w:t>
                  </w:r>
                </w:p>
              </w:tc>
              <w:tc>
                <w:tcPr>
                  <w:tcW w:w="1289" w:type="dxa"/>
                  <w:noWrap w:val="0"/>
                  <w:vAlign w:val="top"/>
                </w:tcPr>
                <w:p w14:paraId="33B12E9A">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0.172</w:t>
                  </w:r>
                </w:p>
              </w:tc>
            </w:tr>
            <w:tr w14:paraId="17630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blHeader/>
                <w:jc w:val="center"/>
              </w:trPr>
              <w:tc>
                <w:tcPr>
                  <w:tcW w:w="1469" w:type="dxa"/>
                  <w:vMerge w:val="continue"/>
                  <w:noWrap w:val="0"/>
                  <w:vAlign w:val="center"/>
                </w:tcPr>
                <w:p w14:paraId="184A6B40">
                  <w:pPr>
                    <w:jc w:val="center"/>
                    <w:rPr>
                      <w:rFonts w:ascii="Times New Roman" w:hAnsi="Times New Roman"/>
                      <w:bCs/>
                      <w:color w:val="auto"/>
                      <w:kern w:val="0"/>
                      <w:szCs w:val="21"/>
                      <w:highlight w:val="none"/>
                    </w:rPr>
                  </w:pPr>
                </w:p>
              </w:tc>
              <w:tc>
                <w:tcPr>
                  <w:tcW w:w="1116" w:type="dxa"/>
                  <w:vMerge w:val="continue"/>
                  <w:noWrap w:val="0"/>
                  <w:vAlign w:val="center"/>
                </w:tcPr>
                <w:p w14:paraId="04645487">
                  <w:pPr>
                    <w:jc w:val="center"/>
                    <w:rPr>
                      <w:rFonts w:ascii="Times New Roman" w:hAnsi="Times New Roman"/>
                      <w:bCs/>
                      <w:color w:val="auto"/>
                      <w:kern w:val="0"/>
                      <w:szCs w:val="21"/>
                      <w:highlight w:val="none"/>
                    </w:rPr>
                  </w:pPr>
                </w:p>
              </w:tc>
              <w:tc>
                <w:tcPr>
                  <w:tcW w:w="1116" w:type="dxa"/>
                  <w:noWrap w:val="0"/>
                  <w:vAlign w:val="center"/>
                </w:tcPr>
                <w:p w14:paraId="53E71B21">
                  <w:pPr>
                    <w:jc w:val="center"/>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2 \* ROMAN \* MERGEFORMAT </w:instrText>
                  </w:r>
                  <w:r>
                    <w:rPr>
                      <w:rFonts w:hint="default" w:ascii="Times New Roman" w:hAnsi="Times New Roman" w:cs="Times New Roman"/>
                      <w:b w:val="0"/>
                      <w:bCs/>
                      <w:color w:val="auto"/>
                      <w:szCs w:val="21"/>
                      <w:highlight w:val="none"/>
                    </w:rPr>
                    <w:fldChar w:fldCharType="separate"/>
                  </w:r>
                  <w:r>
                    <w:rPr>
                      <w:rFonts w:hint="default" w:ascii="Times New Roman" w:hAnsi="Times New Roman" w:cs="Times New Roman"/>
                      <w:b w:val="0"/>
                      <w:bCs/>
                      <w:color w:val="auto"/>
                      <w:szCs w:val="21"/>
                      <w:highlight w:val="none"/>
                    </w:rPr>
                    <w:t>II</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69BFE3E3">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0.099</w:t>
                  </w:r>
                </w:p>
              </w:tc>
              <w:tc>
                <w:tcPr>
                  <w:tcW w:w="1217" w:type="dxa"/>
                  <w:noWrap w:val="0"/>
                  <w:vAlign w:val="top"/>
                </w:tcPr>
                <w:p w14:paraId="7C2682AD">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c>
                <w:tcPr>
                  <w:tcW w:w="1217" w:type="dxa"/>
                  <w:noWrap w:val="0"/>
                  <w:vAlign w:val="top"/>
                </w:tcPr>
                <w:p w14:paraId="013CE70E">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0.273</w:t>
                  </w:r>
                </w:p>
              </w:tc>
              <w:tc>
                <w:tcPr>
                  <w:tcW w:w="1289" w:type="dxa"/>
                  <w:noWrap w:val="0"/>
                  <w:vAlign w:val="top"/>
                </w:tcPr>
                <w:p w14:paraId="0B175AF8">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r>
            <w:tr w14:paraId="0743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blHeader/>
                <w:jc w:val="center"/>
              </w:trPr>
              <w:tc>
                <w:tcPr>
                  <w:tcW w:w="1469" w:type="dxa"/>
                  <w:vMerge w:val="continue"/>
                  <w:noWrap w:val="0"/>
                  <w:vAlign w:val="center"/>
                </w:tcPr>
                <w:p w14:paraId="3CA64067">
                  <w:pPr>
                    <w:jc w:val="center"/>
                    <w:rPr>
                      <w:rFonts w:ascii="Times New Roman" w:hAnsi="Times New Roman"/>
                      <w:bCs/>
                      <w:color w:val="auto"/>
                      <w:kern w:val="0"/>
                      <w:szCs w:val="21"/>
                      <w:highlight w:val="none"/>
                    </w:rPr>
                  </w:pPr>
                </w:p>
              </w:tc>
              <w:tc>
                <w:tcPr>
                  <w:tcW w:w="1116" w:type="dxa"/>
                  <w:vMerge w:val="continue"/>
                  <w:noWrap w:val="0"/>
                  <w:vAlign w:val="center"/>
                </w:tcPr>
                <w:p w14:paraId="24898F35">
                  <w:pPr>
                    <w:jc w:val="center"/>
                    <w:rPr>
                      <w:rFonts w:ascii="Times New Roman" w:hAnsi="Times New Roman"/>
                      <w:bCs/>
                      <w:color w:val="auto"/>
                      <w:kern w:val="0"/>
                      <w:szCs w:val="21"/>
                      <w:highlight w:val="none"/>
                    </w:rPr>
                  </w:pPr>
                </w:p>
              </w:tc>
              <w:tc>
                <w:tcPr>
                  <w:tcW w:w="1116" w:type="dxa"/>
                  <w:noWrap w:val="0"/>
                  <w:vAlign w:val="center"/>
                </w:tcPr>
                <w:p w14:paraId="4C8113EE">
                  <w:pPr>
                    <w:jc w:val="center"/>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3 \* ROMAN \* MERGEFORMAT </w:instrText>
                  </w:r>
                  <w:r>
                    <w:rPr>
                      <w:rFonts w:hint="default" w:ascii="Times New Roman" w:hAnsi="Times New Roman" w:cs="Times New Roman"/>
                      <w:b w:val="0"/>
                      <w:bCs/>
                      <w:color w:val="auto"/>
                      <w:szCs w:val="21"/>
                      <w:highlight w:val="none"/>
                    </w:rPr>
                    <w:fldChar w:fldCharType="separate"/>
                  </w:r>
                  <w:r>
                    <w:rPr>
                      <w:rFonts w:hint="eastAsia" w:cs="Times New Roman"/>
                      <w:b w:val="0"/>
                      <w:bCs/>
                      <w:color w:val="auto"/>
                      <w:szCs w:val="21"/>
                      <w:highlight w:val="none"/>
                      <w:lang w:eastAsia="zh-CN"/>
                    </w:rPr>
                    <w:t>Ⅲ</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1DFF7390">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0.099</w:t>
                  </w:r>
                </w:p>
              </w:tc>
              <w:tc>
                <w:tcPr>
                  <w:tcW w:w="1217" w:type="dxa"/>
                  <w:noWrap w:val="0"/>
                  <w:vAlign w:val="top"/>
                </w:tcPr>
                <w:p w14:paraId="0ABDC6A0">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c>
                <w:tcPr>
                  <w:tcW w:w="1217" w:type="dxa"/>
                  <w:noWrap w:val="0"/>
                  <w:vAlign w:val="top"/>
                </w:tcPr>
                <w:p w14:paraId="7A396FBE">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0.274</w:t>
                  </w:r>
                </w:p>
              </w:tc>
              <w:tc>
                <w:tcPr>
                  <w:tcW w:w="1289" w:type="dxa"/>
                  <w:noWrap w:val="0"/>
                  <w:vAlign w:val="top"/>
                </w:tcPr>
                <w:p w14:paraId="5C70FD35">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0.174</w:t>
                  </w:r>
                </w:p>
              </w:tc>
            </w:tr>
            <w:tr w14:paraId="0E12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blHeader/>
                <w:jc w:val="center"/>
              </w:trPr>
              <w:tc>
                <w:tcPr>
                  <w:tcW w:w="1469" w:type="dxa"/>
                  <w:vMerge w:val="continue"/>
                  <w:noWrap w:val="0"/>
                  <w:vAlign w:val="center"/>
                </w:tcPr>
                <w:p w14:paraId="76CC02E1">
                  <w:pPr>
                    <w:jc w:val="center"/>
                    <w:rPr>
                      <w:rFonts w:ascii="Times New Roman" w:hAnsi="Times New Roman"/>
                      <w:bCs/>
                      <w:color w:val="auto"/>
                      <w:kern w:val="0"/>
                      <w:szCs w:val="21"/>
                      <w:highlight w:val="none"/>
                    </w:rPr>
                  </w:pPr>
                </w:p>
              </w:tc>
              <w:tc>
                <w:tcPr>
                  <w:tcW w:w="1116" w:type="dxa"/>
                  <w:vMerge w:val="continue"/>
                  <w:noWrap w:val="0"/>
                  <w:vAlign w:val="center"/>
                </w:tcPr>
                <w:p w14:paraId="3ADBFE25">
                  <w:pPr>
                    <w:jc w:val="center"/>
                    <w:rPr>
                      <w:rFonts w:ascii="Times New Roman" w:hAnsi="Times New Roman"/>
                      <w:bCs/>
                      <w:color w:val="auto"/>
                      <w:kern w:val="0"/>
                      <w:szCs w:val="21"/>
                      <w:highlight w:val="none"/>
                    </w:rPr>
                  </w:pPr>
                </w:p>
              </w:tc>
              <w:tc>
                <w:tcPr>
                  <w:tcW w:w="1116" w:type="dxa"/>
                  <w:noWrap w:val="0"/>
                  <w:vAlign w:val="center"/>
                </w:tcPr>
                <w:p w14:paraId="31698396">
                  <w:pPr>
                    <w:jc w:val="center"/>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4 \* ROMAN \* MERGEFORMAT </w:instrText>
                  </w:r>
                  <w:r>
                    <w:rPr>
                      <w:rFonts w:hint="default" w:ascii="Times New Roman" w:hAnsi="Times New Roman" w:cs="Times New Roman"/>
                      <w:b w:val="0"/>
                      <w:bCs/>
                      <w:color w:val="auto"/>
                      <w:szCs w:val="21"/>
                      <w:highlight w:val="none"/>
                    </w:rPr>
                    <w:fldChar w:fldCharType="separate"/>
                  </w:r>
                  <w:r>
                    <w:rPr>
                      <w:color w:val="auto"/>
                    </w:rPr>
                    <w:t>IV</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1CC375A3">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0.100</w:t>
                  </w:r>
                </w:p>
              </w:tc>
              <w:tc>
                <w:tcPr>
                  <w:tcW w:w="1217" w:type="dxa"/>
                  <w:noWrap w:val="0"/>
                  <w:vAlign w:val="top"/>
                </w:tcPr>
                <w:p w14:paraId="59B82E2D">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0.125</w:t>
                  </w:r>
                </w:p>
              </w:tc>
              <w:tc>
                <w:tcPr>
                  <w:tcW w:w="1217" w:type="dxa"/>
                  <w:noWrap w:val="0"/>
                  <w:vAlign w:val="top"/>
                </w:tcPr>
                <w:p w14:paraId="69454245">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0.300</w:t>
                  </w:r>
                </w:p>
              </w:tc>
              <w:tc>
                <w:tcPr>
                  <w:tcW w:w="1289" w:type="dxa"/>
                  <w:noWrap w:val="0"/>
                  <w:vAlign w:val="top"/>
                </w:tcPr>
                <w:p w14:paraId="01A4D96C">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0.150</w:t>
                  </w:r>
                </w:p>
              </w:tc>
            </w:tr>
            <w:tr w14:paraId="3B44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blHeader/>
                <w:jc w:val="center"/>
              </w:trPr>
              <w:tc>
                <w:tcPr>
                  <w:tcW w:w="1469" w:type="dxa"/>
                  <w:vMerge w:val="continue"/>
                  <w:noWrap w:val="0"/>
                  <w:vAlign w:val="center"/>
                </w:tcPr>
                <w:p w14:paraId="3D4091A2">
                  <w:pPr>
                    <w:jc w:val="center"/>
                    <w:rPr>
                      <w:rFonts w:ascii="Times New Roman" w:hAnsi="Times New Roman"/>
                      <w:bCs/>
                      <w:color w:val="auto"/>
                      <w:szCs w:val="21"/>
                      <w:highlight w:val="none"/>
                    </w:rPr>
                  </w:pPr>
                </w:p>
              </w:tc>
              <w:tc>
                <w:tcPr>
                  <w:tcW w:w="1116" w:type="dxa"/>
                  <w:vMerge w:val="restart"/>
                  <w:noWrap w:val="0"/>
                  <w:vAlign w:val="center"/>
                </w:tcPr>
                <w:p w14:paraId="3A235712">
                  <w:pPr>
                    <w:jc w:val="center"/>
                    <w:rPr>
                      <w:rFonts w:hint="default" w:ascii="Times New Roman" w:hAnsi="Times New Roman"/>
                      <w:bCs/>
                      <w:color w:val="auto"/>
                      <w:kern w:val="0"/>
                      <w:szCs w:val="21"/>
                      <w:highlight w:val="none"/>
                      <w:lang w:val="en-US"/>
                    </w:rPr>
                  </w:pPr>
                  <w:r>
                    <w:rPr>
                      <w:rFonts w:hint="default" w:ascii="Times New Roman" w:hAnsi="Times New Roman" w:eastAsia="宋体" w:cs="Times New Roman"/>
                      <w:color w:val="auto"/>
                      <w:sz w:val="21"/>
                      <w:szCs w:val="21"/>
                      <w:highlight w:val="none"/>
                      <w:lang w:val="en-US" w:eastAsia="zh-CN"/>
                    </w:rPr>
                    <w:t>20</w:t>
                  </w:r>
                  <w:r>
                    <w:rPr>
                      <w:rFonts w:hint="eastAsia" w:cs="Times New Roman"/>
                      <w:color w:val="auto"/>
                      <w:sz w:val="21"/>
                      <w:szCs w:val="21"/>
                      <w:highlight w:val="none"/>
                      <w:lang w:val="en-US" w:eastAsia="zh-CN"/>
                    </w:rPr>
                    <w:t>18.7.24</w:t>
                  </w:r>
                </w:p>
              </w:tc>
              <w:tc>
                <w:tcPr>
                  <w:tcW w:w="1116" w:type="dxa"/>
                  <w:noWrap w:val="0"/>
                  <w:vAlign w:val="center"/>
                </w:tcPr>
                <w:p w14:paraId="16EB75D4">
                  <w:pPr>
                    <w:jc w:val="center"/>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1 \* ROMAN \* MERGEFORMAT </w:instrText>
                  </w:r>
                  <w:r>
                    <w:rPr>
                      <w:rFonts w:hint="default" w:ascii="Times New Roman" w:hAnsi="Times New Roman" w:cs="Times New Roman"/>
                      <w:b w:val="0"/>
                      <w:bCs/>
                      <w:color w:val="auto"/>
                      <w:szCs w:val="21"/>
                      <w:highlight w:val="none"/>
                    </w:rPr>
                    <w:fldChar w:fldCharType="separate"/>
                  </w:r>
                  <w:r>
                    <w:rPr>
                      <w:rFonts w:hint="default" w:ascii="Times New Roman" w:hAnsi="Times New Roman" w:cs="Times New Roman"/>
                      <w:b w:val="0"/>
                      <w:bCs/>
                      <w:color w:val="auto"/>
                      <w:szCs w:val="21"/>
                      <w:highlight w:val="none"/>
                    </w:rPr>
                    <w:t>I</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4ABCC4B1">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0.099</w:t>
                  </w:r>
                </w:p>
              </w:tc>
              <w:tc>
                <w:tcPr>
                  <w:tcW w:w="1217" w:type="dxa"/>
                  <w:noWrap w:val="0"/>
                  <w:vAlign w:val="top"/>
                </w:tcPr>
                <w:p w14:paraId="0B09A84B">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0.273</w:t>
                  </w:r>
                </w:p>
              </w:tc>
              <w:tc>
                <w:tcPr>
                  <w:tcW w:w="1217" w:type="dxa"/>
                  <w:noWrap w:val="0"/>
                  <w:vAlign w:val="top"/>
                </w:tcPr>
                <w:p w14:paraId="74C197ED">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c>
                <w:tcPr>
                  <w:tcW w:w="1289" w:type="dxa"/>
                  <w:noWrap w:val="0"/>
                  <w:vAlign w:val="top"/>
                </w:tcPr>
                <w:p w14:paraId="6E7F6F10">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0. 124</w:t>
                  </w:r>
                </w:p>
              </w:tc>
            </w:tr>
            <w:tr w14:paraId="7482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blHeader/>
                <w:jc w:val="center"/>
              </w:trPr>
              <w:tc>
                <w:tcPr>
                  <w:tcW w:w="1469" w:type="dxa"/>
                  <w:vMerge w:val="continue"/>
                  <w:noWrap w:val="0"/>
                  <w:vAlign w:val="center"/>
                </w:tcPr>
                <w:p w14:paraId="35847335">
                  <w:pPr>
                    <w:jc w:val="center"/>
                    <w:rPr>
                      <w:rFonts w:ascii="Times New Roman" w:hAnsi="Times New Roman"/>
                      <w:bCs/>
                      <w:color w:val="auto"/>
                      <w:kern w:val="0"/>
                      <w:szCs w:val="21"/>
                      <w:highlight w:val="none"/>
                    </w:rPr>
                  </w:pPr>
                </w:p>
              </w:tc>
              <w:tc>
                <w:tcPr>
                  <w:tcW w:w="1116" w:type="dxa"/>
                  <w:vMerge w:val="continue"/>
                  <w:noWrap w:val="0"/>
                  <w:vAlign w:val="center"/>
                </w:tcPr>
                <w:p w14:paraId="3A777FAB">
                  <w:pPr>
                    <w:jc w:val="center"/>
                    <w:rPr>
                      <w:rFonts w:ascii="Times New Roman" w:hAnsi="Times New Roman"/>
                      <w:bCs/>
                      <w:color w:val="auto"/>
                      <w:kern w:val="0"/>
                      <w:szCs w:val="21"/>
                      <w:highlight w:val="none"/>
                    </w:rPr>
                  </w:pPr>
                </w:p>
              </w:tc>
              <w:tc>
                <w:tcPr>
                  <w:tcW w:w="1116" w:type="dxa"/>
                  <w:noWrap w:val="0"/>
                  <w:vAlign w:val="center"/>
                </w:tcPr>
                <w:p w14:paraId="511A8DD3">
                  <w:pPr>
                    <w:jc w:val="center"/>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2 \* ROMAN \* MERGEFORMAT </w:instrText>
                  </w:r>
                  <w:r>
                    <w:rPr>
                      <w:rFonts w:hint="default" w:ascii="Times New Roman" w:hAnsi="Times New Roman" w:cs="Times New Roman"/>
                      <w:b w:val="0"/>
                      <w:bCs/>
                      <w:color w:val="auto"/>
                      <w:szCs w:val="21"/>
                      <w:highlight w:val="none"/>
                    </w:rPr>
                    <w:fldChar w:fldCharType="separate"/>
                  </w:r>
                  <w:r>
                    <w:rPr>
                      <w:rFonts w:hint="default" w:ascii="Times New Roman" w:hAnsi="Times New Roman" w:cs="Times New Roman"/>
                      <w:b w:val="0"/>
                      <w:bCs/>
                      <w:color w:val="auto"/>
                      <w:szCs w:val="21"/>
                      <w:highlight w:val="none"/>
                    </w:rPr>
                    <w:t>II</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4E56A960">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0.099</w:t>
                  </w:r>
                </w:p>
              </w:tc>
              <w:tc>
                <w:tcPr>
                  <w:tcW w:w="1217" w:type="dxa"/>
                  <w:noWrap w:val="0"/>
                  <w:vAlign w:val="top"/>
                </w:tcPr>
                <w:p w14:paraId="799DA4B0">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0.298</w:t>
                  </w:r>
                </w:p>
              </w:tc>
              <w:tc>
                <w:tcPr>
                  <w:tcW w:w="1217" w:type="dxa"/>
                  <w:noWrap w:val="0"/>
                  <w:vAlign w:val="top"/>
                </w:tcPr>
                <w:p w14:paraId="52419116">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c>
                <w:tcPr>
                  <w:tcW w:w="1289" w:type="dxa"/>
                  <w:noWrap w:val="0"/>
                  <w:vAlign w:val="top"/>
                </w:tcPr>
                <w:p w14:paraId="7DE8F321">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r>
            <w:tr w14:paraId="49B2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blHeader/>
                <w:jc w:val="center"/>
              </w:trPr>
              <w:tc>
                <w:tcPr>
                  <w:tcW w:w="1469" w:type="dxa"/>
                  <w:vMerge w:val="continue"/>
                  <w:noWrap w:val="0"/>
                  <w:vAlign w:val="center"/>
                </w:tcPr>
                <w:p w14:paraId="61AC65D2">
                  <w:pPr>
                    <w:jc w:val="center"/>
                    <w:rPr>
                      <w:rFonts w:ascii="Times New Roman" w:hAnsi="Times New Roman"/>
                      <w:bCs/>
                      <w:color w:val="auto"/>
                      <w:kern w:val="0"/>
                      <w:szCs w:val="21"/>
                      <w:highlight w:val="none"/>
                    </w:rPr>
                  </w:pPr>
                </w:p>
              </w:tc>
              <w:tc>
                <w:tcPr>
                  <w:tcW w:w="1116" w:type="dxa"/>
                  <w:vMerge w:val="continue"/>
                  <w:noWrap w:val="0"/>
                  <w:vAlign w:val="center"/>
                </w:tcPr>
                <w:p w14:paraId="77FED6AE">
                  <w:pPr>
                    <w:jc w:val="center"/>
                    <w:rPr>
                      <w:rFonts w:ascii="Times New Roman" w:hAnsi="Times New Roman"/>
                      <w:bCs/>
                      <w:color w:val="auto"/>
                      <w:kern w:val="0"/>
                      <w:szCs w:val="21"/>
                      <w:highlight w:val="none"/>
                    </w:rPr>
                  </w:pPr>
                </w:p>
              </w:tc>
              <w:tc>
                <w:tcPr>
                  <w:tcW w:w="1116" w:type="dxa"/>
                  <w:noWrap w:val="0"/>
                  <w:vAlign w:val="center"/>
                </w:tcPr>
                <w:p w14:paraId="64F308D5">
                  <w:pPr>
                    <w:jc w:val="center"/>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3 \* ROMAN \* MERGEFORMAT </w:instrText>
                  </w:r>
                  <w:r>
                    <w:rPr>
                      <w:rFonts w:hint="default" w:ascii="Times New Roman" w:hAnsi="Times New Roman" w:cs="Times New Roman"/>
                      <w:b w:val="0"/>
                      <w:bCs/>
                      <w:color w:val="auto"/>
                      <w:szCs w:val="21"/>
                      <w:highlight w:val="none"/>
                    </w:rPr>
                    <w:fldChar w:fldCharType="separate"/>
                  </w:r>
                  <w:r>
                    <w:rPr>
                      <w:rFonts w:hint="eastAsia" w:cs="Times New Roman"/>
                      <w:b w:val="0"/>
                      <w:bCs/>
                      <w:color w:val="auto"/>
                      <w:szCs w:val="21"/>
                      <w:highlight w:val="none"/>
                      <w:lang w:eastAsia="zh-CN"/>
                    </w:rPr>
                    <w:t>Ⅲ</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78F81257">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0.100</w:t>
                  </w:r>
                </w:p>
              </w:tc>
              <w:tc>
                <w:tcPr>
                  <w:tcW w:w="1217" w:type="dxa"/>
                  <w:noWrap w:val="0"/>
                  <w:vAlign w:val="top"/>
                </w:tcPr>
                <w:p w14:paraId="58797C9C">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0.274</w:t>
                  </w:r>
                </w:p>
              </w:tc>
              <w:tc>
                <w:tcPr>
                  <w:tcW w:w="1217" w:type="dxa"/>
                  <w:noWrap w:val="0"/>
                  <w:vAlign w:val="top"/>
                </w:tcPr>
                <w:p w14:paraId="63762503">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c>
                <w:tcPr>
                  <w:tcW w:w="1289" w:type="dxa"/>
                  <w:noWrap w:val="0"/>
                  <w:vAlign w:val="top"/>
                </w:tcPr>
                <w:p w14:paraId="093004C9">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0.174</w:t>
                  </w:r>
                </w:p>
              </w:tc>
            </w:tr>
            <w:tr w14:paraId="3621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blHeader/>
                <w:jc w:val="center"/>
              </w:trPr>
              <w:tc>
                <w:tcPr>
                  <w:tcW w:w="1469" w:type="dxa"/>
                  <w:vMerge w:val="continue"/>
                  <w:noWrap w:val="0"/>
                  <w:vAlign w:val="center"/>
                </w:tcPr>
                <w:p w14:paraId="2ADCE569">
                  <w:pPr>
                    <w:jc w:val="center"/>
                    <w:rPr>
                      <w:rFonts w:ascii="Times New Roman" w:hAnsi="Times New Roman"/>
                      <w:bCs/>
                      <w:color w:val="auto"/>
                      <w:kern w:val="0"/>
                      <w:szCs w:val="21"/>
                      <w:highlight w:val="none"/>
                    </w:rPr>
                  </w:pPr>
                </w:p>
              </w:tc>
              <w:tc>
                <w:tcPr>
                  <w:tcW w:w="1116" w:type="dxa"/>
                  <w:vMerge w:val="continue"/>
                  <w:noWrap w:val="0"/>
                  <w:vAlign w:val="center"/>
                </w:tcPr>
                <w:p w14:paraId="0D504312">
                  <w:pPr>
                    <w:jc w:val="center"/>
                    <w:rPr>
                      <w:rFonts w:ascii="Times New Roman" w:hAnsi="Times New Roman"/>
                      <w:bCs/>
                      <w:color w:val="auto"/>
                      <w:kern w:val="0"/>
                      <w:szCs w:val="21"/>
                      <w:highlight w:val="none"/>
                    </w:rPr>
                  </w:pPr>
                </w:p>
              </w:tc>
              <w:tc>
                <w:tcPr>
                  <w:tcW w:w="1116" w:type="dxa"/>
                  <w:noWrap w:val="0"/>
                  <w:vAlign w:val="center"/>
                </w:tcPr>
                <w:p w14:paraId="08C67F83">
                  <w:pPr>
                    <w:jc w:val="center"/>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rPr>
                    <w:fldChar w:fldCharType="begin"/>
                  </w:r>
                  <w:r>
                    <w:rPr>
                      <w:rFonts w:hint="default" w:ascii="Times New Roman" w:hAnsi="Times New Roman" w:cs="Times New Roman"/>
                      <w:b w:val="0"/>
                      <w:bCs/>
                      <w:color w:val="auto"/>
                      <w:szCs w:val="21"/>
                      <w:highlight w:val="none"/>
                    </w:rPr>
                    <w:instrText xml:space="preserve"> = 4 \* ROMAN \* MERGEFORMAT </w:instrText>
                  </w:r>
                  <w:r>
                    <w:rPr>
                      <w:rFonts w:hint="default" w:ascii="Times New Roman" w:hAnsi="Times New Roman" w:cs="Times New Roman"/>
                      <w:b w:val="0"/>
                      <w:bCs/>
                      <w:color w:val="auto"/>
                      <w:szCs w:val="21"/>
                      <w:highlight w:val="none"/>
                    </w:rPr>
                    <w:fldChar w:fldCharType="separate"/>
                  </w:r>
                  <w:r>
                    <w:rPr>
                      <w:color w:val="auto"/>
                    </w:rPr>
                    <w:t>IV</w:t>
                  </w:r>
                  <w:r>
                    <w:rPr>
                      <w:rFonts w:hint="default" w:ascii="Times New Roman" w:hAnsi="Times New Roman" w:cs="Times New Roman"/>
                      <w:b w:val="0"/>
                      <w:bCs/>
                      <w:color w:val="auto"/>
                      <w:szCs w:val="21"/>
                      <w:highlight w:val="none"/>
                    </w:rPr>
                    <w:fldChar w:fldCharType="end"/>
                  </w:r>
                </w:p>
              </w:tc>
              <w:tc>
                <w:tcPr>
                  <w:tcW w:w="1217" w:type="dxa"/>
                  <w:noWrap w:val="0"/>
                  <w:vAlign w:val="top"/>
                </w:tcPr>
                <w:p w14:paraId="12708B8B">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0.099</w:t>
                  </w:r>
                </w:p>
              </w:tc>
              <w:tc>
                <w:tcPr>
                  <w:tcW w:w="1217" w:type="dxa"/>
                  <w:noWrap w:val="0"/>
                  <w:vAlign w:val="top"/>
                </w:tcPr>
                <w:p w14:paraId="52CBB089">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0.298</w:t>
                  </w:r>
                </w:p>
              </w:tc>
              <w:tc>
                <w:tcPr>
                  <w:tcW w:w="1217" w:type="dxa"/>
                  <w:noWrap w:val="0"/>
                  <w:vAlign w:val="top"/>
                </w:tcPr>
                <w:p w14:paraId="055B8E49">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0.149</w:t>
                  </w:r>
                </w:p>
              </w:tc>
              <w:tc>
                <w:tcPr>
                  <w:tcW w:w="1289" w:type="dxa"/>
                  <w:noWrap w:val="0"/>
                  <w:vAlign w:val="center"/>
                </w:tcPr>
                <w:p w14:paraId="609E4CBA">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0.174</w:t>
                  </w:r>
                </w:p>
              </w:tc>
            </w:tr>
            <w:tr w14:paraId="65BF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blHeader/>
                <w:jc w:val="center"/>
              </w:trPr>
              <w:tc>
                <w:tcPr>
                  <w:tcW w:w="3701" w:type="dxa"/>
                  <w:gridSpan w:val="3"/>
                  <w:noWrap w:val="0"/>
                  <w:vAlign w:val="center"/>
                </w:tcPr>
                <w:p w14:paraId="1C3DFAB9">
                  <w:pPr>
                    <w:jc w:val="center"/>
                    <w:rPr>
                      <w:rFonts w:ascii="Times New Roman" w:hAnsi="Times New Roman"/>
                      <w:b/>
                      <w:bCs/>
                      <w:color w:val="auto"/>
                      <w:kern w:val="2"/>
                      <w:sz w:val="21"/>
                      <w:szCs w:val="21"/>
                      <w:highlight w:val="none"/>
                      <w:lang w:val="en-US" w:eastAsia="zh-CN" w:bidi="ar-SA"/>
                    </w:rPr>
                  </w:pPr>
                  <w:r>
                    <w:rPr>
                      <w:rFonts w:ascii="Times New Roman" w:hAnsi="Times New Roman"/>
                      <w:b/>
                      <w:bCs/>
                      <w:color w:val="auto"/>
                      <w:szCs w:val="21"/>
                      <w:highlight w:val="none"/>
                    </w:rPr>
                    <w:t>最大</w:t>
                  </w:r>
                  <w:r>
                    <w:rPr>
                      <w:rFonts w:hint="eastAsia" w:ascii="Times New Roman" w:hAnsi="Times New Roman"/>
                      <w:b/>
                      <w:bCs/>
                      <w:color w:val="auto"/>
                      <w:szCs w:val="21"/>
                      <w:highlight w:val="none"/>
                    </w:rPr>
                    <w:t>浓度</w:t>
                  </w:r>
                </w:p>
              </w:tc>
              <w:tc>
                <w:tcPr>
                  <w:tcW w:w="4940" w:type="dxa"/>
                  <w:gridSpan w:val="4"/>
                  <w:noWrap w:val="0"/>
                  <w:vAlign w:val="center"/>
                </w:tcPr>
                <w:p w14:paraId="2C6C0246">
                  <w:pPr>
                    <w:jc w:val="center"/>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0.</w:t>
                  </w:r>
                  <w:r>
                    <w:rPr>
                      <w:rFonts w:hint="eastAsia"/>
                      <w:color w:val="auto"/>
                      <w:szCs w:val="21"/>
                      <w:highlight w:val="none"/>
                      <w:lang w:val="en-US" w:eastAsia="zh-CN"/>
                    </w:rPr>
                    <w:t>300</w:t>
                  </w:r>
                </w:p>
              </w:tc>
            </w:tr>
            <w:tr w14:paraId="3800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blHeader/>
                <w:jc w:val="center"/>
              </w:trPr>
              <w:tc>
                <w:tcPr>
                  <w:tcW w:w="3701" w:type="dxa"/>
                  <w:gridSpan w:val="3"/>
                  <w:noWrap w:val="0"/>
                  <w:vAlign w:val="center"/>
                </w:tcPr>
                <w:p w14:paraId="597D3514">
                  <w:pPr>
                    <w:jc w:val="center"/>
                    <w:rPr>
                      <w:rFonts w:ascii="Times New Roman" w:hAnsi="Times New Roman"/>
                      <w:b/>
                      <w:bCs/>
                      <w:color w:val="auto"/>
                      <w:kern w:val="2"/>
                      <w:sz w:val="21"/>
                      <w:szCs w:val="21"/>
                      <w:highlight w:val="none"/>
                      <w:lang w:val="en-US" w:eastAsia="zh-CN" w:bidi="ar-SA"/>
                    </w:rPr>
                  </w:pPr>
                  <w:r>
                    <w:rPr>
                      <w:rFonts w:ascii="Times New Roman" w:hAnsi="Times New Roman"/>
                      <w:b/>
                      <w:bCs/>
                      <w:color w:val="auto"/>
                      <w:szCs w:val="21"/>
                      <w:highlight w:val="none"/>
                    </w:rPr>
                    <w:t>标准限值</w:t>
                  </w:r>
                </w:p>
              </w:tc>
              <w:tc>
                <w:tcPr>
                  <w:tcW w:w="4940" w:type="dxa"/>
                  <w:gridSpan w:val="4"/>
                  <w:noWrap w:val="0"/>
                  <w:vAlign w:val="center"/>
                </w:tcPr>
                <w:p w14:paraId="2E96A647">
                  <w:pPr>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1.0</w:t>
                  </w:r>
                </w:p>
              </w:tc>
            </w:tr>
            <w:tr w14:paraId="7C8EA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3701" w:type="dxa"/>
                  <w:gridSpan w:val="3"/>
                  <w:noWrap w:val="0"/>
                  <w:vAlign w:val="center"/>
                </w:tcPr>
                <w:p w14:paraId="20975549">
                  <w:pPr>
                    <w:jc w:val="center"/>
                    <w:rPr>
                      <w:rFonts w:ascii="Times New Roman" w:hAnsi="Times New Roman"/>
                      <w:b/>
                      <w:bCs/>
                      <w:color w:val="auto"/>
                      <w:kern w:val="2"/>
                      <w:sz w:val="21"/>
                      <w:szCs w:val="21"/>
                      <w:highlight w:val="none"/>
                      <w:lang w:val="en-US" w:eastAsia="zh-CN" w:bidi="ar-SA"/>
                    </w:rPr>
                  </w:pPr>
                  <w:r>
                    <w:rPr>
                      <w:rFonts w:ascii="Times New Roman" w:hAnsi="Times New Roman"/>
                      <w:b/>
                      <w:bCs/>
                      <w:color w:val="auto"/>
                      <w:szCs w:val="21"/>
                      <w:highlight w:val="none"/>
                    </w:rPr>
                    <w:t>达标情况</w:t>
                  </w:r>
                </w:p>
              </w:tc>
              <w:tc>
                <w:tcPr>
                  <w:tcW w:w="4940" w:type="dxa"/>
                  <w:gridSpan w:val="4"/>
                  <w:noWrap w:val="0"/>
                  <w:vAlign w:val="center"/>
                </w:tcPr>
                <w:p w14:paraId="1A50DD7A">
                  <w:pPr>
                    <w:jc w:val="center"/>
                    <w:rPr>
                      <w:rFonts w:ascii="Times New Roman" w:hAnsi="Times New Roman"/>
                      <w:color w:val="auto"/>
                      <w:szCs w:val="21"/>
                      <w:highlight w:val="none"/>
                    </w:rPr>
                  </w:pPr>
                  <w:r>
                    <w:rPr>
                      <w:rFonts w:ascii="Times New Roman" w:hAnsi="Times New Roman"/>
                      <w:color w:val="auto"/>
                      <w:szCs w:val="21"/>
                      <w:highlight w:val="none"/>
                    </w:rPr>
                    <w:t>达标</w:t>
                  </w:r>
                </w:p>
              </w:tc>
            </w:tr>
          </w:tbl>
          <w:p w14:paraId="118F6A8A">
            <w:pPr>
              <w:widowControl/>
              <w:adjustRightInd w:val="0"/>
              <w:snapToGrid w:val="0"/>
              <w:spacing w:line="240" w:lineRule="auto"/>
              <w:jc w:val="left"/>
              <w:rPr>
                <w:rFonts w:hint="default" w:ascii="Times New Roman" w:hAnsi="Times New Roman" w:eastAsia="宋体" w:cs="Times New Roman"/>
                <w:b/>
                <w:bCs/>
                <w:color w:val="FF0000"/>
                <w:kern w:val="0"/>
                <w:sz w:val="18"/>
                <w:szCs w:val="18"/>
                <w:highlight w:val="none"/>
                <w:lang w:val="en-US" w:eastAsia="zh-CN"/>
              </w:rPr>
            </w:pPr>
          </w:p>
          <w:p w14:paraId="216F44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lang w:val="en-US" w:eastAsia="zh-CN"/>
              </w:rPr>
              <w:t>（2）废水</w:t>
            </w:r>
          </w:p>
          <w:p w14:paraId="0CB3B1E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现有</w:t>
            </w:r>
            <w:r>
              <w:rPr>
                <w:rFonts w:hint="default" w:ascii="Times New Roman" w:hAnsi="Times New Roman" w:cs="Times New Roman"/>
                <w:color w:val="auto"/>
                <w:sz w:val="24"/>
                <w:highlight w:val="none"/>
              </w:rPr>
              <w:t>项目废水主要为生活污水，</w:t>
            </w:r>
            <w:r>
              <w:rPr>
                <w:rFonts w:hint="eastAsia" w:ascii="Times New Roman" w:hAnsi="Times New Roman" w:cs="Times New Roman"/>
                <w:color w:val="auto"/>
                <w:sz w:val="24"/>
                <w:highlight w:val="none"/>
                <w:lang w:eastAsia="zh-CN"/>
              </w:rPr>
              <w:t>生活污水经化粪池收集处理后，出水水质达到《污水综合排放标准》（GB</w:t>
            </w:r>
            <w:r>
              <w:rPr>
                <w:rFonts w:hint="eastAsia" w:ascii="Times New Roman" w:hAnsi="Times New Roman" w:cs="Times New Roman"/>
                <w:color w:val="auto"/>
                <w:sz w:val="24"/>
                <w:highlight w:val="none"/>
                <w:lang w:val="en-US" w:eastAsia="zh-CN"/>
              </w:rPr>
              <w:t xml:space="preserve"> </w:t>
            </w:r>
            <w:r>
              <w:rPr>
                <w:rFonts w:hint="eastAsia" w:ascii="Times New Roman" w:hAnsi="Times New Roman" w:cs="Times New Roman"/>
                <w:color w:val="auto"/>
                <w:sz w:val="24"/>
                <w:highlight w:val="none"/>
                <w:lang w:eastAsia="zh-CN"/>
              </w:rPr>
              <w:t>8978-1996）三级标准及新河镇污水处理厂接管标准要求，经市政污水管网进入新河镇污水处理厂处理；</w:t>
            </w:r>
            <w:r>
              <w:rPr>
                <w:rFonts w:hint="eastAsia" w:ascii="Times New Roman" w:hAnsi="Times New Roman" w:cs="Times New Roman"/>
                <w:color w:val="auto"/>
                <w:sz w:val="24"/>
                <w:highlight w:val="none"/>
                <w:lang w:val="en-US" w:eastAsia="zh-CN"/>
              </w:rPr>
              <w:t>中频炉</w:t>
            </w:r>
            <w:r>
              <w:rPr>
                <w:rFonts w:hint="eastAsia" w:ascii="Times New Roman" w:hAnsi="Times New Roman" w:cs="Times New Roman"/>
                <w:color w:val="auto"/>
                <w:sz w:val="24"/>
                <w:highlight w:val="none"/>
                <w:lang w:eastAsia="zh-CN"/>
              </w:rPr>
              <w:t>冷却水循环使用，定期补充不外排。</w:t>
            </w:r>
          </w:p>
          <w:p w14:paraId="1D9F07CF">
            <w:pPr>
              <w:keepNext w:val="0"/>
              <w:keepLines w:val="0"/>
              <w:widowControl/>
              <w:suppressLineNumbers w:val="0"/>
              <w:jc w:val="left"/>
              <w:rPr>
                <w:rFonts w:hint="eastAsia" w:eastAsia="宋体"/>
                <w:color w:val="auto"/>
                <w:lang w:eastAsia="zh-CN"/>
              </w:rPr>
            </w:pPr>
            <w:r>
              <w:rPr>
                <w:rFonts w:hint="eastAsia"/>
                <w:color w:val="auto"/>
                <w:lang w:eastAsia="zh-CN"/>
              </w:rPr>
              <w:drawing>
                <wp:inline distT="0" distB="0" distL="114300" distR="114300">
                  <wp:extent cx="5471160" cy="1539240"/>
                  <wp:effectExtent l="0" t="0" r="15240" b="3810"/>
                  <wp:docPr id="40" name="图片 40" descr="2a07d555-1428-4116-a9f6-f2b90258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a07d555-1428-4116-a9f6-f2b902588389"/>
                          <pic:cNvPicPr>
                            <a:picLocks noChangeAspect="1"/>
                          </pic:cNvPicPr>
                        </pic:nvPicPr>
                        <pic:blipFill>
                          <a:blip r:embed="rId23"/>
                          <a:stretch>
                            <a:fillRect/>
                          </a:stretch>
                        </pic:blipFill>
                        <pic:spPr>
                          <a:xfrm>
                            <a:off x="0" y="0"/>
                            <a:ext cx="5471160" cy="1539240"/>
                          </a:xfrm>
                          <a:prstGeom prst="rect">
                            <a:avLst/>
                          </a:prstGeom>
                        </pic:spPr>
                      </pic:pic>
                    </a:graphicData>
                  </a:graphic>
                </wp:inline>
              </w:drawing>
            </w:r>
          </w:p>
          <w:p w14:paraId="5E0568CA">
            <w:pPr>
              <w:jc w:val="center"/>
              <w:outlineLvl w:val="2"/>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图2-</w:t>
            </w:r>
            <w:r>
              <w:rPr>
                <w:rFonts w:hint="eastAsia" w:ascii="Times New Roman" w:hAnsi="Times New Roman" w:eastAsia="宋体" w:cs="Times New Roman"/>
                <w:b/>
                <w:color w:val="auto"/>
                <w:sz w:val="24"/>
                <w:szCs w:val="24"/>
                <w:highlight w:val="none"/>
                <w:lang w:val="en-US" w:eastAsia="zh-CN"/>
              </w:rPr>
              <w:t>6</w:t>
            </w:r>
            <w:r>
              <w:rPr>
                <w:rFonts w:hint="default" w:ascii="Times New Roman" w:hAnsi="Times New Roman" w:eastAsia="宋体"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lang w:val="en-US" w:eastAsia="zh-CN"/>
              </w:rPr>
              <w:t>现有项目环评水平衡</w:t>
            </w:r>
            <w:r>
              <w:rPr>
                <w:rFonts w:hint="default" w:ascii="Times New Roman" w:hAnsi="Times New Roman" w:eastAsia="宋体" w:cs="Times New Roman"/>
                <w:b/>
                <w:color w:val="auto"/>
                <w:sz w:val="24"/>
                <w:szCs w:val="24"/>
                <w:highlight w:val="none"/>
                <w:lang w:val="en-US" w:eastAsia="zh-CN"/>
              </w:rPr>
              <w:t>图</w:t>
            </w:r>
          </w:p>
          <w:p w14:paraId="323BA90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lang w:val="en-US" w:eastAsia="zh-CN"/>
              </w:rPr>
              <w:t>（3）噪声</w:t>
            </w:r>
          </w:p>
          <w:p w14:paraId="63CFB3A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项目运营期噪声主要是</w:t>
            </w:r>
            <w:r>
              <w:rPr>
                <w:rFonts w:hint="default" w:ascii="Times New Roman" w:hAnsi="Times New Roman" w:cs="Times New Roman"/>
                <w:color w:val="auto"/>
                <w:sz w:val="24"/>
                <w:highlight w:val="none"/>
                <w:lang w:val="en-US" w:eastAsia="zh-CN"/>
              </w:rPr>
              <w:t>生产设备抛丸机、行车</w:t>
            </w:r>
            <w:r>
              <w:rPr>
                <w:rFonts w:hint="default" w:ascii="Times New Roman" w:hAnsi="Times New Roman" w:cs="Times New Roman"/>
                <w:color w:val="auto"/>
                <w:sz w:val="24"/>
                <w:highlight w:val="none"/>
              </w:rPr>
              <w:t>等生产设备产生的机械噪声。主要采取厂房隔声、基础减振以及选用低噪声设备等措施。</w:t>
            </w:r>
          </w:p>
          <w:p w14:paraId="10B96F0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lang w:val="en-US" w:eastAsia="zh-CN"/>
              </w:rPr>
              <w:t>根据</w:t>
            </w:r>
            <w:r>
              <w:rPr>
                <w:rFonts w:hint="default" w:ascii="Times New Roman" w:hAnsi="Times New Roman" w:cs="Times New Roman"/>
                <w:color w:val="auto"/>
                <w:sz w:val="24"/>
                <w:szCs w:val="24"/>
                <w:highlight w:val="none"/>
                <w:lang w:val="en-US" w:eastAsia="zh-CN"/>
              </w:rPr>
              <w:t>20</w:t>
            </w:r>
            <w:r>
              <w:rPr>
                <w:rFonts w:hint="eastAsia" w:cs="Times New Roman"/>
                <w:color w:val="auto"/>
                <w:sz w:val="24"/>
                <w:szCs w:val="24"/>
                <w:highlight w:val="none"/>
                <w:lang w:val="en-US" w:eastAsia="zh-CN"/>
              </w:rPr>
              <w:t>18</w:t>
            </w:r>
            <w:r>
              <w:rPr>
                <w:rFonts w:hint="default" w:ascii="Times New Roman" w:hAnsi="Times New Roman" w:cs="Times New Roman"/>
                <w:color w:val="auto"/>
                <w:sz w:val="24"/>
                <w:szCs w:val="24"/>
                <w:highlight w:val="none"/>
                <w:lang w:val="en-US" w:eastAsia="zh-CN"/>
              </w:rPr>
              <w:t>年</w:t>
            </w:r>
            <w:r>
              <w:rPr>
                <w:rFonts w:hint="eastAsia" w:ascii="Times New Roman" w:hAnsi="Times New Roman" w:cs="Times New Roman"/>
                <w:color w:val="auto"/>
                <w:sz w:val="24"/>
                <w:szCs w:val="24"/>
                <w:highlight w:val="none"/>
                <w:lang w:val="en-US" w:eastAsia="zh-CN"/>
              </w:rPr>
              <w:t>1</w:t>
            </w:r>
            <w:r>
              <w:rPr>
                <w:rFonts w:hint="eastAsia"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月</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年产1万吨铸铁配件项目竣工环境保护验收监测报告表（AHLJYS2018-080）</w:t>
            </w:r>
            <w:r>
              <w:rPr>
                <w:rFonts w:hint="eastAsia" w:ascii="Times New Roman" w:hAnsi="Times New Roman" w:cs="Times New Roman"/>
                <w:color w:val="auto"/>
                <w:sz w:val="24"/>
                <w:szCs w:val="24"/>
                <w:highlight w:val="none"/>
                <w:lang w:val="en-US" w:eastAsia="zh-CN"/>
              </w:rPr>
              <w:t>》中的</w:t>
            </w:r>
            <w:r>
              <w:rPr>
                <w:rFonts w:hint="default" w:ascii="Times New Roman" w:hAnsi="Times New Roman" w:cs="Times New Roman"/>
                <w:color w:val="auto"/>
                <w:sz w:val="24"/>
                <w:szCs w:val="24"/>
                <w:highlight w:val="none"/>
                <w:lang w:val="en-US" w:eastAsia="zh-CN"/>
              </w:rPr>
              <w:t>监测</w:t>
            </w:r>
            <w:r>
              <w:rPr>
                <w:rFonts w:hint="eastAsia" w:ascii="Times New Roman" w:hAnsi="Times New Roman" w:cs="Times New Roman"/>
                <w:color w:val="auto"/>
                <w:sz w:val="24"/>
                <w:szCs w:val="24"/>
                <w:highlight w:val="none"/>
                <w:lang w:val="en-US" w:eastAsia="zh-CN"/>
              </w:rPr>
              <w:t>结果</w:t>
            </w:r>
            <w:r>
              <w:rPr>
                <w:rFonts w:hint="default" w:ascii="Times New Roman" w:hAnsi="Times New Roman" w:cs="Times New Roman"/>
                <w:color w:val="auto"/>
                <w:sz w:val="24"/>
                <w:szCs w:val="24"/>
                <w:highlight w:val="none"/>
                <w:lang w:val="en-US" w:eastAsia="zh-CN"/>
              </w:rPr>
              <w:t>可知</w:t>
            </w:r>
            <w:r>
              <w:rPr>
                <w:rFonts w:hint="eastAsia" w:ascii="Times New Roman" w:hAnsi="Times New Roman" w:cs="Times New Roman"/>
                <w:color w:val="auto"/>
                <w:sz w:val="24"/>
                <w:szCs w:val="24"/>
                <w:highlight w:val="none"/>
                <w:lang w:val="en-US" w:eastAsia="zh-CN"/>
              </w:rPr>
              <w:t>，现有项目验收监测期间，厂界四周昼、夜间噪声满足《工业企业厂界环境噪声排放标准》（GB 12348-2008）的3类标准限值要求</w:t>
            </w:r>
            <w:r>
              <w:rPr>
                <w:rFonts w:hint="default" w:ascii="Times New Roman" w:hAnsi="Times New Roman" w:eastAsia="宋体" w:cs="Times New Roman"/>
                <w:bCs/>
                <w:color w:val="auto"/>
                <w:sz w:val="24"/>
                <w:highlight w:val="none"/>
                <w:lang w:val="en-US" w:eastAsia="zh-CN"/>
              </w:rPr>
              <w:t>。</w:t>
            </w:r>
          </w:p>
          <w:p w14:paraId="3515ADD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w:t>
            </w:r>
            <w:r>
              <w:rPr>
                <w:rFonts w:hint="eastAsia" w:ascii="Times New Roman" w:hAnsi="Times New Roman" w:eastAsia="宋体" w:cs="Times New Roman"/>
                <w:b/>
                <w:bCs/>
                <w:color w:val="auto"/>
                <w:kern w:val="2"/>
                <w:sz w:val="24"/>
                <w:szCs w:val="24"/>
                <w:lang w:val="en-US" w:eastAsia="zh-CN"/>
              </w:rPr>
              <w:t>11</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现有项目验收期间噪声监测结果</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1112"/>
              <w:gridCol w:w="1112"/>
              <w:gridCol w:w="1112"/>
              <w:gridCol w:w="1113"/>
              <w:gridCol w:w="976"/>
              <w:gridCol w:w="1010"/>
              <w:gridCol w:w="1044"/>
            </w:tblGrid>
            <w:tr w14:paraId="62BE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restart"/>
                  <w:noWrap w:val="0"/>
                  <w:vAlign w:val="center"/>
                </w:tcPr>
                <w:p w14:paraId="0B8AFC0A">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测量时间</w:t>
                  </w:r>
                </w:p>
              </w:tc>
              <w:tc>
                <w:tcPr>
                  <w:tcW w:w="1214" w:type="dxa"/>
                  <w:vMerge w:val="restart"/>
                  <w:noWrap w:val="0"/>
                  <w:vAlign w:val="center"/>
                </w:tcPr>
                <w:p w14:paraId="34FA8723">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监测位置</w:t>
                  </w:r>
                </w:p>
              </w:tc>
              <w:tc>
                <w:tcPr>
                  <w:tcW w:w="1214" w:type="dxa"/>
                  <w:vMerge w:val="restart"/>
                  <w:noWrap w:val="0"/>
                  <w:vAlign w:val="center"/>
                </w:tcPr>
                <w:p w14:paraId="79E0DAC8">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测点号</w:t>
                  </w:r>
                </w:p>
              </w:tc>
              <w:tc>
                <w:tcPr>
                  <w:tcW w:w="2429" w:type="dxa"/>
                  <w:gridSpan w:val="2"/>
                  <w:noWrap w:val="0"/>
                  <w:vAlign w:val="center"/>
                </w:tcPr>
                <w:p w14:paraId="5173579C">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时段</w:t>
                  </w:r>
                </w:p>
              </w:tc>
              <w:tc>
                <w:tcPr>
                  <w:tcW w:w="2162" w:type="dxa"/>
                  <w:gridSpan w:val="2"/>
                  <w:noWrap w:val="0"/>
                  <w:vAlign w:val="center"/>
                </w:tcPr>
                <w:p w14:paraId="11FED166">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标准</w:t>
                  </w:r>
                </w:p>
              </w:tc>
              <w:tc>
                <w:tcPr>
                  <w:tcW w:w="1138" w:type="dxa"/>
                  <w:vMerge w:val="restart"/>
                  <w:noWrap w:val="0"/>
                  <w:vAlign w:val="center"/>
                </w:tcPr>
                <w:p w14:paraId="6020A391">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达标</w:t>
                  </w:r>
                </w:p>
                <w:p w14:paraId="3D4D2A34">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情况</w:t>
                  </w:r>
                </w:p>
              </w:tc>
            </w:tr>
            <w:tr w14:paraId="659F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7E669CC7">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p>
              </w:tc>
              <w:tc>
                <w:tcPr>
                  <w:tcW w:w="1214" w:type="dxa"/>
                  <w:vMerge w:val="continue"/>
                  <w:noWrap w:val="0"/>
                  <w:vAlign w:val="center"/>
                </w:tcPr>
                <w:p w14:paraId="70097ABE">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p>
              </w:tc>
              <w:tc>
                <w:tcPr>
                  <w:tcW w:w="1214" w:type="dxa"/>
                  <w:vMerge w:val="continue"/>
                  <w:noWrap w:val="0"/>
                  <w:vAlign w:val="center"/>
                </w:tcPr>
                <w:p w14:paraId="1AA3BABC">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p>
              </w:tc>
              <w:tc>
                <w:tcPr>
                  <w:tcW w:w="1214" w:type="dxa"/>
                  <w:noWrap w:val="0"/>
                  <w:vAlign w:val="center"/>
                </w:tcPr>
                <w:p w14:paraId="5B1FF216">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昼间</w:t>
                  </w:r>
                </w:p>
              </w:tc>
              <w:tc>
                <w:tcPr>
                  <w:tcW w:w="1215" w:type="dxa"/>
                  <w:noWrap w:val="0"/>
                  <w:vAlign w:val="center"/>
                </w:tcPr>
                <w:p w14:paraId="041FE10D">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夜间</w:t>
                  </w:r>
                </w:p>
              </w:tc>
              <w:tc>
                <w:tcPr>
                  <w:tcW w:w="1062" w:type="dxa"/>
                  <w:noWrap w:val="0"/>
                  <w:vAlign w:val="center"/>
                </w:tcPr>
                <w:p w14:paraId="24221ABF">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昼间</w:t>
                  </w:r>
                </w:p>
              </w:tc>
              <w:tc>
                <w:tcPr>
                  <w:tcW w:w="1100" w:type="dxa"/>
                  <w:noWrap w:val="0"/>
                  <w:vAlign w:val="center"/>
                </w:tcPr>
                <w:p w14:paraId="0314AC1F">
                  <w:pPr>
                    <w:widowControl/>
                    <w:jc w:val="center"/>
                    <w:textAlignment w:val="center"/>
                    <w:rPr>
                      <w:rFonts w:hint="eastAsia" w:ascii="Times New Roman" w:hAnsi="Times New Roman" w:eastAsia="宋体" w:cs="Times New Roman"/>
                      <w:b/>
                      <w:bCs/>
                      <w:color w:val="auto"/>
                      <w:kern w:val="0"/>
                      <w:szCs w:val="21"/>
                      <w:highlight w:val="none"/>
                      <w:lang w:val="en-US" w:eastAsia="zh-CN" w:bidi="ar"/>
                    </w:rPr>
                  </w:pPr>
                  <w:r>
                    <w:rPr>
                      <w:rFonts w:hint="eastAsia" w:ascii="Times New Roman" w:hAnsi="Times New Roman" w:eastAsia="宋体" w:cs="Times New Roman"/>
                      <w:b/>
                      <w:bCs/>
                      <w:color w:val="auto"/>
                      <w:kern w:val="0"/>
                      <w:szCs w:val="21"/>
                      <w:highlight w:val="none"/>
                      <w:lang w:val="en-US" w:eastAsia="zh-CN" w:bidi="ar"/>
                    </w:rPr>
                    <w:t>夜间</w:t>
                  </w:r>
                </w:p>
              </w:tc>
              <w:tc>
                <w:tcPr>
                  <w:tcW w:w="1138" w:type="dxa"/>
                  <w:vMerge w:val="continue"/>
                  <w:noWrap w:val="0"/>
                  <w:vAlign w:val="center"/>
                </w:tcPr>
                <w:p w14:paraId="70A48C67">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r>
            <w:tr w14:paraId="2010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restart"/>
                  <w:noWrap w:val="0"/>
                  <w:vAlign w:val="center"/>
                </w:tcPr>
                <w:p w14:paraId="06137BCE">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Cs w:val="21"/>
                      <w:highlight w:val="none"/>
                      <w:lang w:val="en-US" w:eastAsia="zh-CN" w:bidi="ar"/>
                    </w:rPr>
                  </w:pPr>
                  <w:r>
                    <w:rPr>
                      <w:rFonts w:ascii="Times New Roman" w:hAnsi="Times New Roman" w:eastAsia="Times New Roman" w:cs="Times New Roman"/>
                      <w:color w:val="auto"/>
                      <w:spacing w:val="3"/>
                      <w:sz w:val="20"/>
                      <w:szCs w:val="20"/>
                    </w:rPr>
                    <w:t>2018.7.23</w:t>
                  </w:r>
                </w:p>
              </w:tc>
              <w:tc>
                <w:tcPr>
                  <w:tcW w:w="1214" w:type="dxa"/>
                  <w:noWrap w:val="0"/>
                  <w:vAlign w:val="center"/>
                </w:tcPr>
                <w:p w14:paraId="5EB4BA49">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厂界东</w:t>
                  </w:r>
                </w:p>
              </w:tc>
              <w:tc>
                <w:tcPr>
                  <w:tcW w:w="1214" w:type="dxa"/>
                  <w:noWrap w:val="0"/>
                  <w:vAlign w:val="center"/>
                </w:tcPr>
                <w:p w14:paraId="5223561B">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N1</w:t>
                  </w:r>
                </w:p>
              </w:tc>
              <w:tc>
                <w:tcPr>
                  <w:tcW w:w="1214" w:type="dxa"/>
                  <w:noWrap w:val="0"/>
                  <w:vAlign w:val="top"/>
                </w:tcPr>
                <w:p w14:paraId="18B36544">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50.7</w:t>
                  </w:r>
                </w:p>
              </w:tc>
              <w:tc>
                <w:tcPr>
                  <w:tcW w:w="1215" w:type="dxa"/>
                  <w:noWrap w:val="0"/>
                  <w:vAlign w:val="top"/>
                </w:tcPr>
                <w:p w14:paraId="375B4FB7">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41.6</w:t>
                  </w:r>
                </w:p>
              </w:tc>
              <w:tc>
                <w:tcPr>
                  <w:tcW w:w="1062" w:type="dxa"/>
                  <w:vMerge w:val="restart"/>
                  <w:noWrap w:val="0"/>
                  <w:vAlign w:val="center"/>
                </w:tcPr>
                <w:p w14:paraId="0AAC5692">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65</w:t>
                  </w:r>
                </w:p>
              </w:tc>
              <w:tc>
                <w:tcPr>
                  <w:tcW w:w="1100" w:type="dxa"/>
                  <w:vMerge w:val="restart"/>
                  <w:noWrap w:val="0"/>
                  <w:vAlign w:val="center"/>
                </w:tcPr>
                <w:p w14:paraId="2109B7B7">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55</w:t>
                  </w:r>
                </w:p>
              </w:tc>
              <w:tc>
                <w:tcPr>
                  <w:tcW w:w="1138" w:type="dxa"/>
                  <w:noWrap w:val="0"/>
                  <w:vAlign w:val="center"/>
                </w:tcPr>
                <w:p w14:paraId="14A521FD">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10029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1E809970">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214" w:type="dxa"/>
                  <w:noWrap w:val="0"/>
                  <w:vAlign w:val="center"/>
                </w:tcPr>
                <w:p w14:paraId="5C00655B">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厂界南</w:t>
                  </w:r>
                </w:p>
              </w:tc>
              <w:tc>
                <w:tcPr>
                  <w:tcW w:w="1214" w:type="dxa"/>
                  <w:noWrap w:val="0"/>
                  <w:vAlign w:val="center"/>
                </w:tcPr>
                <w:p w14:paraId="3273026E">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N2</w:t>
                  </w:r>
                </w:p>
              </w:tc>
              <w:tc>
                <w:tcPr>
                  <w:tcW w:w="1214" w:type="dxa"/>
                  <w:noWrap w:val="0"/>
                  <w:vAlign w:val="top"/>
                </w:tcPr>
                <w:p w14:paraId="0A87D741">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50.4</w:t>
                  </w:r>
                </w:p>
              </w:tc>
              <w:tc>
                <w:tcPr>
                  <w:tcW w:w="1215" w:type="dxa"/>
                  <w:noWrap w:val="0"/>
                  <w:vAlign w:val="top"/>
                </w:tcPr>
                <w:p w14:paraId="42F3501E">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40.9</w:t>
                  </w:r>
                </w:p>
              </w:tc>
              <w:tc>
                <w:tcPr>
                  <w:tcW w:w="1062" w:type="dxa"/>
                  <w:vMerge w:val="continue"/>
                  <w:noWrap w:val="0"/>
                  <w:vAlign w:val="center"/>
                </w:tcPr>
                <w:p w14:paraId="2EC1D0A3">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0B10E196">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28069F7C">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0B29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06F56603">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214" w:type="dxa"/>
                  <w:noWrap w:val="0"/>
                  <w:vAlign w:val="center"/>
                </w:tcPr>
                <w:p w14:paraId="045D487A">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厂界西</w:t>
                  </w:r>
                </w:p>
              </w:tc>
              <w:tc>
                <w:tcPr>
                  <w:tcW w:w="1214" w:type="dxa"/>
                  <w:noWrap w:val="0"/>
                  <w:vAlign w:val="center"/>
                </w:tcPr>
                <w:p w14:paraId="193D3D23">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N3</w:t>
                  </w:r>
                </w:p>
              </w:tc>
              <w:tc>
                <w:tcPr>
                  <w:tcW w:w="1214" w:type="dxa"/>
                  <w:noWrap w:val="0"/>
                  <w:vAlign w:val="top"/>
                </w:tcPr>
                <w:p w14:paraId="2F9DA759">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51.2</w:t>
                  </w:r>
                </w:p>
              </w:tc>
              <w:tc>
                <w:tcPr>
                  <w:tcW w:w="1215" w:type="dxa"/>
                  <w:noWrap w:val="0"/>
                  <w:vAlign w:val="top"/>
                </w:tcPr>
                <w:p w14:paraId="436D4359">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42.0</w:t>
                  </w:r>
                </w:p>
              </w:tc>
              <w:tc>
                <w:tcPr>
                  <w:tcW w:w="1062" w:type="dxa"/>
                  <w:vMerge w:val="continue"/>
                  <w:noWrap w:val="0"/>
                  <w:vAlign w:val="center"/>
                </w:tcPr>
                <w:p w14:paraId="3754120F">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25ABEAA0">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3B992493">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56D2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7FB67D20">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214" w:type="dxa"/>
                  <w:noWrap w:val="0"/>
                  <w:vAlign w:val="center"/>
                </w:tcPr>
                <w:p w14:paraId="5DCB9EB3">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厂界北</w:t>
                  </w:r>
                </w:p>
              </w:tc>
              <w:tc>
                <w:tcPr>
                  <w:tcW w:w="1214" w:type="dxa"/>
                  <w:noWrap w:val="0"/>
                  <w:vAlign w:val="center"/>
                </w:tcPr>
                <w:p w14:paraId="68F0D78C">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N4</w:t>
                  </w:r>
                </w:p>
              </w:tc>
              <w:tc>
                <w:tcPr>
                  <w:tcW w:w="1214" w:type="dxa"/>
                  <w:noWrap w:val="0"/>
                  <w:vAlign w:val="top"/>
                </w:tcPr>
                <w:p w14:paraId="1767886F">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50.9</w:t>
                  </w:r>
                </w:p>
              </w:tc>
              <w:tc>
                <w:tcPr>
                  <w:tcW w:w="1215" w:type="dxa"/>
                  <w:noWrap w:val="0"/>
                  <w:vAlign w:val="top"/>
                </w:tcPr>
                <w:p w14:paraId="69939443">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41.3</w:t>
                  </w:r>
                </w:p>
              </w:tc>
              <w:tc>
                <w:tcPr>
                  <w:tcW w:w="1062" w:type="dxa"/>
                  <w:vMerge w:val="continue"/>
                  <w:noWrap w:val="0"/>
                  <w:vAlign w:val="center"/>
                </w:tcPr>
                <w:p w14:paraId="08EC9725">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60FC8AC3">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59331266">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22C52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restart"/>
                  <w:noWrap w:val="0"/>
                  <w:vAlign w:val="center"/>
                </w:tcPr>
                <w:p w14:paraId="3FD9CAE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Cs w:val="21"/>
                      <w:highlight w:val="none"/>
                      <w:lang w:val="en-US" w:eastAsia="zh-CN" w:bidi="ar"/>
                    </w:rPr>
                  </w:pPr>
                  <w:r>
                    <w:rPr>
                      <w:rFonts w:ascii="Times New Roman" w:hAnsi="Times New Roman" w:eastAsia="Times New Roman" w:cs="Times New Roman"/>
                      <w:color w:val="auto"/>
                      <w:spacing w:val="3"/>
                      <w:sz w:val="20"/>
                      <w:szCs w:val="20"/>
                    </w:rPr>
                    <w:t>2018.7.2</w:t>
                  </w:r>
                  <w:r>
                    <w:rPr>
                      <w:rFonts w:hint="eastAsia" w:ascii="Times New Roman" w:hAnsi="Times New Roman" w:eastAsia="宋体" w:cs="Times New Roman"/>
                      <w:color w:val="auto"/>
                      <w:spacing w:val="3"/>
                      <w:sz w:val="20"/>
                      <w:szCs w:val="20"/>
                      <w:lang w:val="en-US" w:eastAsia="zh-CN"/>
                    </w:rPr>
                    <w:t>4</w:t>
                  </w:r>
                </w:p>
              </w:tc>
              <w:tc>
                <w:tcPr>
                  <w:tcW w:w="1214" w:type="dxa"/>
                  <w:noWrap w:val="0"/>
                  <w:vAlign w:val="center"/>
                </w:tcPr>
                <w:p w14:paraId="6C874496">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厂界东</w:t>
                  </w:r>
                </w:p>
              </w:tc>
              <w:tc>
                <w:tcPr>
                  <w:tcW w:w="1214" w:type="dxa"/>
                  <w:noWrap w:val="0"/>
                  <w:vAlign w:val="center"/>
                </w:tcPr>
                <w:p w14:paraId="1F135901">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N1</w:t>
                  </w:r>
                </w:p>
              </w:tc>
              <w:tc>
                <w:tcPr>
                  <w:tcW w:w="1214" w:type="dxa"/>
                  <w:noWrap w:val="0"/>
                  <w:vAlign w:val="top"/>
                </w:tcPr>
                <w:p w14:paraId="3A833594">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50.6</w:t>
                  </w:r>
                </w:p>
              </w:tc>
              <w:tc>
                <w:tcPr>
                  <w:tcW w:w="1215" w:type="dxa"/>
                  <w:noWrap w:val="0"/>
                  <w:vAlign w:val="top"/>
                </w:tcPr>
                <w:p w14:paraId="7A332759">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41.4</w:t>
                  </w:r>
                </w:p>
              </w:tc>
              <w:tc>
                <w:tcPr>
                  <w:tcW w:w="1062" w:type="dxa"/>
                  <w:vMerge w:val="continue"/>
                  <w:noWrap w:val="0"/>
                  <w:vAlign w:val="center"/>
                </w:tcPr>
                <w:p w14:paraId="7CA2B51D">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7CC5CF7E">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3BDDB226">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1870D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241FECA1">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214" w:type="dxa"/>
                  <w:noWrap w:val="0"/>
                  <w:vAlign w:val="center"/>
                </w:tcPr>
                <w:p w14:paraId="28FC3675">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厂界南</w:t>
                  </w:r>
                </w:p>
              </w:tc>
              <w:tc>
                <w:tcPr>
                  <w:tcW w:w="1214" w:type="dxa"/>
                  <w:noWrap w:val="0"/>
                  <w:vAlign w:val="center"/>
                </w:tcPr>
                <w:p w14:paraId="391BFAC7">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N2</w:t>
                  </w:r>
                </w:p>
              </w:tc>
              <w:tc>
                <w:tcPr>
                  <w:tcW w:w="1214" w:type="dxa"/>
                  <w:noWrap w:val="0"/>
                  <w:vAlign w:val="top"/>
                </w:tcPr>
                <w:p w14:paraId="26E992EC">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50.5</w:t>
                  </w:r>
                </w:p>
              </w:tc>
              <w:tc>
                <w:tcPr>
                  <w:tcW w:w="1215" w:type="dxa"/>
                  <w:noWrap w:val="0"/>
                  <w:vAlign w:val="top"/>
                </w:tcPr>
                <w:p w14:paraId="3840DCF4">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40.7</w:t>
                  </w:r>
                </w:p>
              </w:tc>
              <w:tc>
                <w:tcPr>
                  <w:tcW w:w="1062" w:type="dxa"/>
                  <w:vMerge w:val="continue"/>
                  <w:noWrap w:val="0"/>
                  <w:vAlign w:val="center"/>
                </w:tcPr>
                <w:p w14:paraId="73248F8C">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1B2B7D79">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7007F222">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2223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2C73F8B5">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214" w:type="dxa"/>
                  <w:noWrap w:val="0"/>
                  <w:vAlign w:val="center"/>
                </w:tcPr>
                <w:p w14:paraId="5BC8573A">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厂界西</w:t>
                  </w:r>
                </w:p>
              </w:tc>
              <w:tc>
                <w:tcPr>
                  <w:tcW w:w="1214" w:type="dxa"/>
                  <w:noWrap w:val="0"/>
                  <w:vAlign w:val="center"/>
                </w:tcPr>
                <w:p w14:paraId="49702067">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N3</w:t>
                  </w:r>
                </w:p>
              </w:tc>
              <w:tc>
                <w:tcPr>
                  <w:tcW w:w="1214" w:type="dxa"/>
                  <w:noWrap w:val="0"/>
                  <w:vAlign w:val="top"/>
                </w:tcPr>
                <w:p w14:paraId="0852041E">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51.4</w:t>
                  </w:r>
                </w:p>
              </w:tc>
              <w:tc>
                <w:tcPr>
                  <w:tcW w:w="1215" w:type="dxa"/>
                  <w:noWrap w:val="0"/>
                  <w:vAlign w:val="top"/>
                </w:tcPr>
                <w:p w14:paraId="043D490E">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42.3</w:t>
                  </w:r>
                </w:p>
              </w:tc>
              <w:tc>
                <w:tcPr>
                  <w:tcW w:w="1062" w:type="dxa"/>
                  <w:vMerge w:val="continue"/>
                  <w:noWrap w:val="0"/>
                  <w:vAlign w:val="center"/>
                </w:tcPr>
                <w:p w14:paraId="68C4E396">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65C1BD51">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692CDC6F">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r w14:paraId="3BA6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32" w:type="dxa"/>
                  <w:vMerge w:val="continue"/>
                  <w:noWrap w:val="0"/>
                  <w:vAlign w:val="center"/>
                </w:tcPr>
                <w:p w14:paraId="1E169DAE">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214" w:type="dxa"/>
                  <w:noWrap w:val="0"/>
                  <w:vAlign w:val="center"/>
                </w:tcPr>
                <w:p w14:paraId="62A7172A">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厂界北</w:t>
                  </w:r>
                </w:p>
              </w:tc>
              <w:tc>
                <w:tcPr>
                  <w:tcW w:w="1214" w:type="dxa"/>
                  <w:noWrap w:val="0"/>
                  <w:vAlign w:val="center"/>
                </w:tcPr>
                <w:p w14:paraId="003FD4EC">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N4</w:t>
                  </w:r>
                </w:p>
              </w:tc>
              <w:tc>
                <w:tcPr>
                  <w:tcW w:w="1214" w:type="dxa"/>
                  <w:noWrap w:val="0"/>
                  <w:vAlign w:val="top"/>
                </w:tcPr>
                <w:p w14:paraId="15223B7E">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50.7</w:t>
                  </w:r>
                </w:p>
              </w:tc>
              <w:tc>
                <w:tcPr>
                  <w:tcW w:w="1215" w:type="dxa"/>
                  <w:noWrap w:val="0"/>
                  <w:vAlign w:val="top"/>
                </w:tcPr>
                <w:p w14:paraId="56B4202E">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41.7</w:t>
                  </w:r>
                </w:p>
              </w:tc>
              <w:tc>
                <w:tcPr>
                  <w:tcW w:w="1062" w:type="dxa"/>
                  <w:vMerge w:val="continue"/>
                  <w:noWrap w:val="0"/>
                  <w:vAlign w:val="center"/>
                </w:tcPr>
                <w:p w14:paraId="721CB53C">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00" w:type="dxa"/>
                  <w:vMerge w:val="continue"/>
                  <w:noWrap w:val="0"/>
                  <w:vAlign w:val="center"/>
                </w:tcPr>
                <w:p w14:paraId="75696971">
                  <w:pPr>
                    <w:widowControl/>
                    <w:jc w:val="center"/>
                    <w:textAlignment w:val="center"/>
                    <w:rPr>
                      <w:rFonts w:hint="eastAsia" w:ascii="Times New Roman" w:hAnsi="Times New Roman" w:eastAsia="宋体" w:cs="Times New Roman"/>
                      <w:color w:val="auto"/>
                      <w:kern w:val="0"/>
                      <w:szCs w:val="21"/>
                      <w:highlight w:val="none"/>
                      <w:lang w:val="en-US" w:eastAsia="zh-CN" w:bidi="ar"/>
                    </w:rPr>
                  </w:pPr>
                </w:p>
              </w:tc>
              <w:tc>
                <w:tcPr>
                  <w:tcW w:w="1138" w:type="dxa"/>
                  <w:noWrap w:val="0"/>
                  <w:vAlign w:val="center"/>
                </w:tcPr>
                <w:p w14:paraId="3729FD2B">
                  <w:pPr>
                    <w:widowControl/>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达标</w:t>
                  </w:r>
                </w:p>
              </w:tc>
            </w:tr>
          </w:tbl>
          <w:p w14:paraId="1FFEBA7C">
            <w:pPr>
              <w:widowControl/>
              <w:adjustRightInd w:val="0"/>
              <w:snapToGrid w:val="0"/>
              <w:spacing w:line="240" w:lineRule="auto"/>
              <w:jc w:val="left"/>
              <w:rPr>
                <w:rFonts w:hint="default" w:ascii="Times New Roman" w:hAnsi="Times New Roman" w:eastAsia="宋体" w:cs="Times New Roman"/>
                <w:b/>
                <w:bCs/>
                <w:color w:val="FF0000"/>
                <w:kern w:val="0"/>
                <w:sz w:val="18"/>
                <w:szCs w:val="18"/>
                <w:highlight w:val="none"/>
                <w:lang w:val="en-US" w:eastAsia="zh-CN"/>
              </w:rPr>
            </w:pPr>
          </w:p>
          <w:p w14:paraId="0805D17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lang w:val="en-US" w:eastAsia="zh-CN"/>
              </w:rPr>
              <w:t>（4）固体废物</w:t>
            </w:r>
          </w:p>
          <w:p w14:paraId="0121E5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现有项目主要的固体废物为一般工业固体废物、危险废物和生活垃圾。</w:t>
            </w:r>
          </w:p>
          <w:p w14:paraId="0845F2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一般工业固体废物主要为炉渣、布袋除尘器收集粉尘、废覆膜砂、去冒口工序产生的废浇冒口及不合格品、废包装材料、抛丸工序产生的废渣等，其中：废砂收集后在厂区暂存，全部委托废砂处理公司回收处理；废浇冒口、不合格品、</w:t>
            </w:r>
            <w:r>
              <w:rPr>
                <w:rFonts w:hint="default" w:ascii="Times New Roman" w:hAnsi="Times New Roman" w:cs="Times New Roman"/>
                <w:color w:val="auto"/>
                <w:kern w:val="0"/>
                <w:sz w:val="24"/>
                <w:highlight w:val="none"/>
              </w:rPr>
              <w:t>废渣、铁屑及边角料</w:t>
            </w:r>
            <w:r>
              <w:rPr>
                <w:rFonts w:hint="default" w:ascii="Times New Roman" w:hAnsi="Times New Roman" w:cs="Times New Roman"/>
                <w:bCs/>
                <w:color w:val="auto"/>
                <w:sz w:val="24"/>
                <w:highlight w:val="none"/>
              </w:rPr>
              <w:t>收集后回用于生产过程</w:t>
            </w:r>
            <w:r>
              <w:rPr>
                <w:rFonts w:hint="eastAsia" w:ascii="Times New Roman" w:hAnsi="Times New Roman" w:cs="Times New Roman"/>
                <w:bCs/>
                <w:color w:val="auto"/>
                <w:sz w:val="24"/>
                <w:highlight w:val="none"/>
                <w:lang w:eastAsia="zh-CN"/>
              </w:rPr>
              <w:t>；</w:t>
            </w:r>
            <w:r>
              <w:rPr>
                <w:rFonts w:hint="eastAsia" w:ascii="Times New Roman" w:hAnsi="Times New Roman" w:cs="Times New Roman"/>
                <w:bCs/>
                <w:color w:val="auto"/>
                <w:sz w:val="24"/>
                <w:highlight w:val="none"/>
                <w:lang w:val="en-US" w:eastAsia="zh-CN"/>
              </w:rPr>
              <w:t>除尘灰</w:t>
            </w:r>
            <w:r>
              <w:rPr>
                <w:rFonts w:hint="eastAsia" w:ascii="Times New Roman" w:hAnsi="Times New Roman" w:cs="Times New Roman"/>
                <w:color w:val="auto"/>
                <w:sz w:val="24"/>
                <w:szCs w:val="20"/>
                <w:highlight w:val="none"/>
                <w:lang w:eastAsia="zh-CN"/>
              </w:rPr>
              <w:t>集中</w:t>
            </w:r>
            <w:r>
              <w:rPr>
                <w:rFonts w:hint="default" w:ascii="Times New Roman" w:hAnsi="Times New Roman" w:cs="Times New Roman"/>
                <w:color w:val="auto"/>
                <w:sz w:val="24"/>
                <w:highlight w:val="none"/>
              </w:rPr>
              <w:t>收集后外售</w:t>
            </w:r>
            <w:r>
              <w:rPr>
                <w:rFonts w:hint="eastAsia" w:ascii="Times New Roman" w:hAnsi="Times New Roman" w:cs="Times New Roman"/>
                <w:color w:val="auto"/>
                <w:sz w:val="24"/>
                <w:highlight w:val="none"/>
                <w:lang w:eastAsia="zh-CN"/>
              </w:rPr>
              <w:t>；</w:t>
            </w:r>
            <w:r>
              <w:rPr>
                <w:rFonts w:hint="default" w:ascii="Times New Roman" w:hAnsi="Times New Roman" w:eastAsia="宋体" w:cs="Times New Roman"/>
                <w:color w:val="auto"/>
                <w:sz w:val="24"/>
                <w:szCs w:val="24"/>
                <w:highlight w:val="none"/>
                <w:lang w:val="en-US" w:eastAsia="zh-CN"/>
              </w:rPr>
              <w:t>废包装材料</w:t>
            </w:r>
            <w:r>
              <w:rPr>
                <w:rFonts w:hint="eastAsia" w:cs="Times New Roman"/>
                <w:color w:val="auto"/>
                <w:sz w:val="24"/>
                <w:szCs w:val="24"/>
                <w:highlight w:val="none"/>
                <w:lang w:val="en-US" w:eastAsia="zh-CN"/>
              </w:rPr>
              <w:t>收集后在厂区暂存，</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外售综合利用</w:t>
            </w:r>
            <w:r>
              <w:rPr>
                <w:rFonts w:hint="eastAsia" w:ascii="Times New Roman" w:hAnsi="Times New Roman" w:eastAsia="宋体" w:cs="Times New Roman"/>
                <w:color w:val="auto"/>
                <w:sz w:val="24"/>
                <w:szCs w:val="24"/>
                <w:highlight w:val="none"/>
                <w:lang w:val="en-US" w:eastAsia="zh-CN"/>
              </w:rPr>
              <w:t>。</w:t>
            </w:r>
          </w:p>
          <w:p w14:paraId="61B588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危险废物主要为</w:t>
            </w:r>
            <w:r>
              <w:rPr>
                <w:rFonts w:ascii="Times New Roman" w:hAnsi="Times New Roman" w:cs="Times New Roman"/>
                <w:color w:val="auto"/>
                <w:sz w:val="24"/>
                <w:highlight w:val="none"/>
              </w:rPr>
              <w:t>废</w:t>
            </w:r>
            <w:r>
              <w:rPr>
                <w:rFonts w:hint="eastAsia" w:ascii="Times New Roman" w:hAnsi="Times New Roman" w:cs="Times New Roman"/>
                <w:color w:val="auto"/>
                <w:sz w:val="24"/>
                <w:highlight w:val="none"/>
              </w:rPr>
              <w:t>矿物</w:t>
            </w:r>
            <w:r>
              <w:rPr>
                <w:rFonts w:ascii="Times New Roman" w:hAnsi="Times New Roman" w:cs="Times New Roman"/>
                <w:color w:val="auto"/>
                <w:sz w:val="24"/>
                <w:highlight w:val="none"/>
              </w:rPr>
              <w:t>油</w:t>
            </w:r>
            <w:r>
              <w:rPr>
                <w:rFonts w:hint="eastAsia" w:ascii="Times New Roman" w:hAnsi="Times New Roman" w:cs="Times New Roman"/>
                <w:color w:val="auto"/>
                <w:sz w:val="24"/>
                <w:highlight w:val="none"/>
                <w:lang w:eastAsia="zh-CN"/>
              </w:rPr>
              <w:t>、</w:t>
            </w:r>
            <w:r>
              <w:rPr>
                <w:rFonts w:ascii="Times New Roman" w:hAnsi="Times New Roman" w:cs="Times New Roman"/>
                <w:color w:val="auto"/>
                <w:sz w:val="24"/>
                <w:highlight w:val="none"/>
              </w:rPr>
              <w:t>废油桶</w:t>
            </w:r>
            <w:r>
              <w:rPr>
                <w:rFonts w:hint="eastAsia" w:cs="Times New Roman"/>
                <w:color w:val="auto"/>
                <w:sz w:val="24"/>
                <w:highlight w:val="none"/>
                <w:lang w:val="en-US" w:eastAsia="zh-CN"/>
              </w:rPr>
              <w:t>等</w:t>
            </w:r>
            <w:r>
              <w:rPr>
                <w:rFonts w:hint="eastAsia" w:ascii="Times New Roman" w:hAnsi="Times New Roman" w:cs="Times New Roman"/>
                <w:color w:val="auto"/>
                <w:sz w:val="24"/>
                <w:highlight w:val="none"/>
                <w:lang w:eastAsia="zh-CN"/>
              </w:rPr>
              <w:t>，</w:t>
            </w:r>
            <w:r>
              <w:rPr>
                <w:rFonts w:ascii="Times New Roman" w:hAnsi="Times New Roman" w:cs="Times New Roman"/>
                <w:bCs/>
                <w:color w:val="auto"/>
                <w:sz w:val="24"/>
                <w:highlight w:val="none"/>
              </w:rPr>
              <w:t>集中收集至</w:t>
            </w:r>
            <w:r>
              <w:rPr>
                <w:rFonts w:ascii="Times New Roman" w:hAnsi="Times New Roman" w:cs="Times New Roman"/>
                <w:color w:val="auto"/>
                <w:sz w:val="24"/>
                <w:highlight w:val="none"/>
              </w:rPr>
              <w:t>危险废物暂存房</w:t>
            </w:r>
            <w:r>
              <w:rPr>
                <w:rFonts w:ascii="Times New Roman" w:hAnsi="Times New Roman" w:cs="Times New Roman"/>
                <w:bCs/>
                <w:color w:val="auto"/>
                <w:sz w:val="24"/>
                <w:highlight w:val="none"/>
              </w:rPr>
              <w:t>，委托</w:t>
            </w:r>
            <w:r>
              <w:rPr>
                <w:rFonts w:hint="eastAsia" w:ascii="Times New Roman" w:hAnsi="Times New Roman" w:cs="Times New Roman"/>
                <w:bCs/>
                <w:color w:val="auto"/>
                <w:sz w:val="24"/>
                <w:highlight w:val="none"/>
                <w:lang w:eastAsia="zh-CN"/>
              </w:rPr>
              <w:t>安徽</w:t>
            </w:r>
            <w:r>
              <w:rPr>
                <w:rFonts w:hint="eastAsia" w:cs="Times New Roman"/>
                <w:bCs/>
                <w:color w:val="auto"/>
                <w:sz w:val="24"/>
                <w:highlight w:val="none"/>
                <w:lang w:eastAsia="zh-CN"/>
              </w:rPr>
              <w:t>海源环保科技有限责任公司</w:t>
            </w:r>
            <w:r>
              <w:rPr>
                <w:rFonts w:ascii="Times New Roman" w:hAnsi="Times New Roman" w:cs="Times New Roman"/>
                <w:bCs/>
                <w:color w:val="auto"/>
                <w:sz w:val="24"/>
                <w:highlight w:val="none"/>
              </w:rPr>
              <w:t>定期清运处置。</w:t>
            </w:r>
          </w:p>
          <w:p w14:paraId="4CCF46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sz w:val="24"/>
                <w:szCs w:val="24"/>
                <w:highlight w:val="none"/>
                <w:lang w:val="en-US" w:eastAsia="zh-CN"/>
              </w:rPr>
            </w:pPr>
            <w:r>
              <w:rPr>
                <w:rFonts w:hint="default" w:ascii="Times New Roman" w:hAnsi="Times New Roman" w:cs="Times New Roman"/>
                <w:bCs/>
                <w:color w:val="auto"/>
                <w:sz w:val="24"/>
                <w:highlight w:val="none"/>
              </w:rPr>
              <w:t>生活垃圾委托环卫部门日常清运处置。</w:t>
            </w:r>
          </w:p>
          <w:p w14:paraId="25FE275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eastAsia" w:ascii="Times New Roman" w:hAnsi="Times New Roman" w:eastAsia="宋体" w:cs="Times New Roman"/>
                <w:b/>
                <w:bCs/>
                <w:color w:val="auto"/>
                <w:kern w:val="2"/>
                <w:sz w:val="24"/>
                <w:szCs w:val="24"/>
                <w:lang w:val="en-US" w:eastAsia="zh-CN"/>
              </w:rPr>
              <w:t>现有项目污染物排放统计</w:t>
            </w:r>
          </w:p>
          <w:p w14:paraId="4C90B113">
            <w:pPr>
              <w:spacing w:line="360" w:lineRule="auto"/>
              <w:ind w:firstLine="480" w:firstLineChars="200"/>
              <w:rPr>
                <w:color w:val="auto"/>
                <w:sz w:val="24"/>
                <w:highlight w:val="none"/>
              </w:rPr>
            </w:pPr>
            <w:r>
              <w:rPr>
                <w:rFonts w:hint="eastAsia"/>
                <w:color w:val="auto"/>
                <w:sz w:val="24"/>
                <w:highlight w:val="none"/>
              </w:rPr>
              <w:t>根据</w:t>
            </w:r>
            <w:r>
              <w:rPr>
                <w:rFonts w:hint="eastAsia"/>
                <w:color w:val="auto"/>
                <w:sz w:val="24"/>
                <w:highlight w:val="none"/>
                <w:lang w:val="en-US" w:eastAsia="zh-CN"/>
              </w:rPr>
              <w:t>企业提供的资料，现有项目</w:t>
            </w:r>
            <w:r>
              <w:rPr>
                <w:color w:val="auto"/>
                <w:sz w:val="24"/>
                <w:highlight w:val="none"/>
              </w:rPr>
              <w:t>污染物排放量见下表。</w:t>
            </w:r>
          </w:p>
          <w:p w14:paraId="6DECF8C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表2-1</w:t>
            </w:r>
            <w:r>
              <w:rPr>
                <w:rFonts w:hint="eastAsia" w:ascii="Times New Roman" w:hAnsi="Times New Roman" w:eastAsia="宋体" w:cs="Times New Roman"/>
                <w:b/>
                <w:bCs/>
                <w:color w:val="auto"/>
                <w:kern w:val="2"/>
                <w:sz w:val="24"/>
                <w:szCs w:val="24"/>
                <w:lang w:val="en-US" w:eastAsia="zh-CN"/>
              </w:rPr>
              <w:t>2</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w:t>
            </w:r>
            <w:r>
              <w:rPr>
                <w:rFonts w:hint="default" w:ascii="Times New Roman" w:hAnsi="Times New Roman" w:eastAsia="宋体" w:cs="Times New Roman"/>
                <w:b/>
                <w:bCs/>
                <w:color w:val="auto"/>
                <w:kern w:val="2"/>
                <w:sz w:val="24"/>
                <w:szCs w:val="24"/>
                <w:lang w:val="en-US" w:eastAsia="zh-CN"/>
              </w:rPr>
              <w:t>现有项目污染物排放统计一览表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376"/>
              <w:gridCol w:w="1918"/>
              <w:gridCol w:w="2396"/>
              <w:gridCol w:w="1195"/>
            </w:tblGrid>
            <w:tr w14:paraId="3484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17" w:type="pct"/>
                  <w:vMerge w:val="restart"/>
                  <w:noWrap w:val="0"/>
                  <w:vAlign w:val="center"/>
                </w:tcPr>
                <w:p w14:paraId="0693767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种类</w:t>
                  </w:r>
                </w:p>
              </w:tc>
              <w:tc>
                <w:tcPr>
                  <w:tcW w:w="1380" w:type="pct"/>
                  <w:vMerge w:val="restart"/>
                  <w:noWrap w:val="0"/>
                  <w:vAlign w:val="center"/>
                </w:tcPr>
                <w:p w14:paraId="380E6E5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项目</w:t>
                  </w:r>
                </w:p>
              </w:tc>
              <w:tc>
                <w:tcPr>
                  <w:tcW w:w="2506" w:type="pct"/>
                  <w:gridSpan w:val="2"/>
                  <w:noWrap w:val="0"/>
                  <w:vAlign w:val="center"/>
                </w:tcPr>
                <w:p w14:paraId="6CE4C26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 w:val="21"/>
                      <w:szCs w:val="21"/>
                      <w:highlight w:val="none"/>
                      <w:lang w:val="en-US" w:eastAsia="zh-CN" w:bidi="ar"/>
                    </w:rPr>
                    <w:t>年排放量</w:t>
                  </w:r>
                  <w:r>
                    <w:rPr>
                      <w:rFonts w:hint="eastAsia" w:ascii="Times New Roman" w:hAnsi="Times New Roman" w:eastAsia="宋体" w:cs="Times New Roman"/>
                      <w:b/>
                      <w:bCs/>
                      <w:color w:val="auto"/>
                      <w:kern w:val="0"/>
                      <w:sz w:val="21"/>
                      <w:szCs w:val="21"/>
                      <w:highlight w:val="none"/>
                      <w:lang w:val="en-US" w:eastAsia="zh-CN" w:bidi="ar"/>
                    </w:rPr>
                    <w:t>（固废产生量）</w:t>
                  </w:r>
                  <w:r>
                    <w:rPr>
                      <w:rFonts w:hint="eastAsia" w:cs="Times New Roman"/>
                      <w:b/>
                      <w:bCs/>
                      <w:color w:val="auto"/>
                      <w:kern w:val="0"/>
                      <w:sz w:val="21"/>
                      <w:szCs w:val="21"/>
                      <w:highlight w:val="none"/>
                      <w:lang w:val="en-US" w:eastAsia="zh-CN" w:bidi="ar"/>
                    </w:rPr>
                    <w:t>（单位：t/a）</w:t>
                  </w:r>
                </w:p>
              </w:tc>
              <w:tc>
                <w:tcPr>
                  <w:tcW w:w="694" w:type="pct"/>
                  <w:vMerge w:val="restart"/>
                  <w:noWrap w:val="0"/>
                  <w:vAlign w:val="center"/>
                </w:tcPr>
                <w:p w14:paraId="0C6932D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总量控制</w:t>
                  </w:r>
                </w:p>
              </w:tc>
            </w:tr>
            <w:tr w14:paraId="4B51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17" w:type="pct"/>
                  <w:vMerge w:val="continue"/>
                  <w:noWrap w:val="0"/>
                  <w:vAlign w:val="center"/>
                </w:tcPr>
                <w:p w14:paraId="1CAE6959">
                  <w:pPr>
                    <w:keepNext w:val="0"/>
                    <w:keepLines w:val="0"/>
                    <w:pageBreakBefore w:val="0"/>
                    <w:widowControl/>
                    <w:suppressLineNumbers w:val="0"/>
                    <w:kinsoku/>
                    <w:wordWrap/>
                    <w:overflowPunct/>
                    <w:topLinePunct w:val="0"/>
                    <w:autoSpaceDE/>
                    <w:autoSpaceDN/>
                    <w:bidi w:val="0"/>
                    <w:jc w:val="center"/>
                    <w:rPr>
                      <w:color w:val="auto"/>
                      <w:highlight w:val="none"/>
                    </w:rPr>
                  </w:pPr>
                </w:p>
              </w:tc>
              <w:tc>
                <w:tcPr>
                  <w:tcW w:w="1380" w:type="pct"/>
                  <w:vMerge w:val="continue"/>
                  <w:noWrap w:val="0"/>
                  <w:vAlign w:val="center"/>
                </w:tcPr>
                <w:p w14:paraId="2510DBA8">
                  <w:pPr>
                    <w:keepNext w:val="0"/>
                    <w:keepLines w:val="0"/>
                    <w:pageBreakBefore w:val="0"/>
                    <w:widowControl/>
                    <w:suppressLineNumbers w:val="0"/>
                    <w:kinsoku/>
                    <w:wordWrap/>
                    <w:overflowPunct/>
                    <w:topLinePunct w:val="0"/>
                    <w:autoSpaceDE/>
                    <w:autoSpaceDN/>
                    <w:bidi w:val="0"/>
                    <w:jc w:val="center"/>
                    <w:rPr>
                      <w:color w:val="auto"/>
                      <w:highlight w:val="none"/>
                    </w:rPr>
                  </w:pPr>
                </w:p>
              </w:tc>
              <w:tc>
                <w:tcPr>
                  <w:tcW w:w="1114" w:type="pct"/>
                  <w:noWrap w:val="0"/>
                  <w:vAlign w:val="center"/>
                </w:tcPr>
                <w:p w14:paraId="25C09234">
                  <w:pPr>
                    <w:keepNext w:val="0"/>
                    <w:keepLines w:val="0"/>
                    <w:pageBreakBefore w:val="0"/>
                    <w:widowControl/>
                    <w:suppressLineNumbers w:val="0"/>
                    <w:kinsoku/>
                    <w:wordWrap/>
                    <w:overflowPunct/>
                    <w:topLinePunct w:val="0"/>
                    <w:autoSpaceDE/>
                    <w:autoSpaceDN/>
                    <w:bidi w:val="0"/>
                    <w:jc w:val="center"/>
                    <w:rPr>
                      <w:rFonts w:hint="eastAsia"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原环评</w:t>
                  </w:r>
                </w:p>
              </w:tc>
              <w:tc>
                <w:tcPr>
                  <w:tcW w:w="1392" w:type="pct"/>
                  <w:noWrap w:val="0"/>
                  <w:vAlign w:val="center"/>
                </w:tcPr>
                <w:p w14:paraId="72DAB52A">
                  <w:pPr>
                    <w:keepNext w:val="0"/>
                    <w:keepLines w:val="0"/>
                    <w:pageBreakBefore w:val="0"/>
                    <w:widowControl/>
                    <w:suppressLineNumbers w:val="0"/>
                    <w:kinsoku/>
                    <w:wordWrap/>
                    <w:overflowPunct/>
                    <w:topLinePunct w:val="0"/>
                    <w:autoSpaceDE/>
                    <w:autoSpaceDN/>
                    <w:bidi w:val="0"/>
                    <w:jc w:val="center"/>
                    <w:rPr>
                      <w:rFonts w:hint="default"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验收阶段</w:t>
                  </w:r>
                </w:p>
              </w:tc>
              <w:tc>
                <w:tcPr>
                  <w:tcW w:w="694" w:type="pct"/>
                  <w:vMerge w:val="continue"/>
                  <w:noWrap w:val="0"/>
                  <w:vAlign w:val="center"/>
                </w:tcPr>
                <w:p w14:paraId="3F8E9275">
                  <w:pPr>
                    <w:keepNext w:val="0"/>
                    <w:keepLines w:val="0"/>
                    <w:pageBreakBefore w:val="0"/>
                    <w:widowControl/>
                    <w:suppressLineNumbers w:val="0"/>
                    <w:kinsoku/>
                    <w:wordWrap/>
                    <w:overflowPunct/>
                    <w:topLinePunct w:val="0"/>
                    <w:autoSpaceDE/>
                    <w:autoSpaceDN/>
                    <w:bidi w:val="0"/>
                    <w:jc w:val="center"/>
                    <w:rPr>
                      <w:rFonts w:hint="eastAsia" w:cs="Times New Roman"/>
                      <w:b/>
                      <w:bCs/>
                      <w:color w:val="auto"/>
                      <w:kern w:val="0"/>
                      <w:sz w:val="21"/>
                      <w:szCs w:val="21"/>
                      <w:highlight w:val="none"/>
                      <w:lang w:val="en-US" w:eastAsia="zh-CN" w:bidi="ar"/>
                    </w:rPr>
                  </w:pPr>
                </w:p>
              </w:tc>
            </w:tr>
            <w:tr w14:paraId="6DC4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restart"/>
                  <w:noWrap w:val="0"/>
                  <w:vAlign w:val="center"/>
                </w:tcPr>
                <w:p w14:paraId="48D308B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w:t>
                  </w:r>
                </w:p>
              </w:tc>
              <w:tc>
                <w:tcPr>
                  <w:tcW w:w="1380" w:type="pct"/>
                  <w:noWrap w:val="0"/>
                  <w:vAlign w:val="center"/>
                </w:tcPr>
                <w:p w14:paraId="466BB30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颗粒物</w:t>
                  </w:r>
                </w:p>
              </w:tc>
              <w:tc>
                <w:tcPr>
                  <w:tcW w:w="1114" w:type="pct"/>
                  <w:noWrap w:val="0"/>
                  <w:vAlign w:val="center"/>
                </w:tcPr>
                <w:p w14:paraId="4AB91FF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0.816</w:t>
                  </w:r>
                </w:p>
              </w:tc>
              <w:tc>
                <w:tcPr>
                  <w:tcW w:w="1392" w:type="pct"/>
                  <w:noWrap w:val="0"/>
                  <w:vAlign w:val="center"/>
                </w:tcPr>
                <w:p w14:paraId="7D81AF9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0.319</w:t>
                  </w:r>
                </w:p>
              </w:tc>
              <w:tc>
                <w:tcPr>
                  <w:tcW w:w="694" w:type="pct"/>
                  <w:noWrap w:val="0"/>
                  <w:vAlign w:val="center"/>
                </w:tcPr>
                <w:p w14:paraId="2547923A">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0.816</w:t>
                  </w:r>
                </w:p>
              </w:tc>
            </w:tr>
            <w:tr w14:paraId="15B3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3255C20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4A056D88">
                  <w:pPr>
                    <w:keepNext w:val="0"/>
                    <w:keepLines w:val="0"/>
                    <w:pageBreakBefore w:val="0"/>
                    <w:widowControl/>
                    <w:suppressLineNumbers w:val="0"/>
                    <w:kinsoku/>
                    <w:wordWrap/>
                    <w:overflowPunct/>
                    <w:topLinePunct w:val="0"/>
                    <w:autoSpaceDE/>
                    <w:autoSpaceDN/>
                    <w:bidi w:val="0"/>
                    <w:jc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NMHC</w:t>
                  </w:r>
                </w:p>
              </w:tc>
              <w:tc>
                <w:tcPr>
                  <w:tcW w:w="1114" w:type="pct"/>
                  <w:noWrap w:val="0"/>
                  <w:vAlign w:val="center"/>
                </w:tcPr>
                <w:p w14:paraId="51AD1C8B">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392" w:type="pct"/>
                  <w:noWrap w:val="0"/>
                  <w:vAlign w:val="center"/>
                </w:tcPr>
                <w:p w14:paraId="3E2BA96C">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694" w:type="pct"/>
                  <w:noWrap w:val="0"/>
                  <w:vAlign w:val="center"/>
                </w:tcPr>
                <w:p w14:paraId="532F094C">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57720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restart"/>
                  <w:noWrap w:val="0"/>
                  <w:vAlign w:val="center"/>
                </w:tcPr>
                <w:p w14:paraId="5DE94AB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废水</w:t>
                  </w:r>
                </w:p>
              </w:tc>
              <w:tc>
                <w:tcPr>
                  <w:tcW w:w="1380" w:type="pct"/>
                  <w:noWrap w:val="0"/>
                  <w:vAlign w:val="center"/>
                </w:tcPr>
                <w:p w14:paraId="06DC318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COD</w:t>
                  </w:r>
                </w:p>
              </w:tc>
              <w:tc>
                <w:tcPr>
                  <w:tcW w:w="1114" w:type="pct"/>
                  <w:noWrap w:val="0"/>
                  <w:vAlign w:val="center"/>
                </w:tcPr>
                <w:p w14:paraId="06EFA66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0.154</w:t>
                  </w:r>
                </w:p>
              </w:tc>
              <w:tc>
                <w:tcPr>
                  <w:tcW w:w="1392" w:type="pct"/>
                  <w:noWrap w:val="0"/>
                  <w:vAlign w:val="center"/>
                </w:tcPr>
                <w:p w14:paraId="119D72A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694" w:type="pct"/>
                  <w:noWrap w:val="0"/>
                  <w:vAlign w:val="center"/>
                </w:tcPr>
                <w:p w14:paraId="13FC39AE">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0.154</w:t>
                  </w:r>
                </w:p>
              </w:tc>
            </w:tr>
            <w:tr w14:paraId="7604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7F9905C8">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3D43BF3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氨氮</w:t>
                  </w:r>
                </w:p>
              </w:tc>
              <w:tc>
                <w:tcPr>
                  <w:tcW w:w="1114" w:type="pct"/>
                  <w:noWrap w:val="0"/>
                  <w:vAlign w:val="center"/>
                </w:tcPr>
                <w:p w14:paraId="68FA4D6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0.023</w:t>
                  </w:r>
                </w:p>
              </w:tc>
              <w:tc>
                <w:tcPr>
                  <w:tcW w:w="1392" w:type="pct"/>
                  <w:noWrap w:val="0"/>
                  <w:vAlign w:val="center"/>
                </w:tcPr>
                <w:p w14:paraId="119A4E7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694" w:type="pct"/>
                  <w:noWrap w:val="0"/>
                  <w:vAlign w:val="center"/>
                </w:tcPr>
                <w:p w14:paraId="39857A71">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0.023</w:t>
                  </w:r>
                </w:p>
              </w:tc>
            </w:tr>
            <w:tr w14:paraId="799A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restart"/>
                  <w:noWrap w:val="0"/>
                  <w:vAlign w:val="center"/>
                </w:tcPr>
                <w:p w14:paraId="7264B84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固废</w:t>
                  </w:r>
                </w:p>
              </w:tc>
              <w:tc>
                <w:tcPr>
                  <w:tcW w:w="1380" w:type="pct"/>
                  <w:noWrap w:val="0"/>
                  <w:vAlign w:val="center"/>
                </w:tcPr>
                <w:p w14:paraId="303BF26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炉渣</w:t>
                  </w:r>
                </w:p>
              </w:tc>
              <w:tc>
                <w:tcPr>
                  <w:tcW w:w="1114" w:type="pct"/>
                  <w:noWrap w:val="0"/>
                  <w:vAlign w:val="center"/>
                </w:tcPr>
                <w:p w14:paraId="12583EEA">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300</w:t>
                  </w:r>
                </w:p>
              </w:tc>
              <w:tc>
                <w:tcPr>
                  <w:tcW w:w="1392" w:type="pct"/>
                  <w:noWrap w:val="0"/>
                  <w:vAlign w:val="center"/>
                </w:tcPr>
                <w:p w14:paraId="1B688436">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500</w:t>
                  </w:r>
                </w:p>
              </w:tc>
              <w:tc>
                <w:tcPr>
                  <w:tcW w:w="694" w:type="pct"/>
                  <w:noWrap w:val="0"/>
                  <w:vAlign w:val="center"/>
                </w:tcPr>
                <w:p w14:paraId="4D33B35B">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2B18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4F69F21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00777BE5">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rPr>
                    <w:t>废包装材料</w:t>
                  </w:r>
                </w:p>
              </w:tc>
              <w:tc>
                <w:tcPr>
                  <w:tcW w:w="1114" w:type="pct"/>
                  <w:noWrap w:val="0"/>
                  <w:vAlign w:val="center"/>
                </w:tcPr>
                <w:p w14:paraId="1877632A">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0.5</w:t>
                  </w:r>
                </w:p>
              </w:tc>
              <w:tc>
                <w:tcPr>
                  <w:tcW w:w="1392" w:type="pct"/>
                  <w:noWrap w:val="0"/>
                  <w:vAlign w:val="center"/>
                </w:tcPr>
                <w:p w14:paraId="527947E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0.5</w:t>
                  </w:r>
                </w:p>
              </w:tc>
              <w:tc>
                <w:tcPr>
                  <w:tcW w:w="694" w:type="pct"/>
                  <w:noWrap w:val="0"/>
                  <w:vAlign w:val="center"/>
                </w:tcPr>
                <w:p w14:paraId="2553F138">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0F775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77F2A61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1B51F600">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废浇冒口、不合格品</w:t>
                  </w:r>
                </w:p>
              </w:tc>
              <w:tc>
                <w:tcPr>
                  <w:tcW w:w="1114" w:type="pct"/>
                  <w:noWrap w:val="0"/>
                  <w:vAlign w:val="center"/>
                </w:tcPr>
                <w:p w14:paraId="5BBC8E86">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w:t>
                  </w:r>
                </w:p>
              </w:tc>
              <w:tc>
                <w:tcPr>
                  <w:tcW w:w="1392" w:type="pct"/>
                  <w:noWrap w:val="0"/>
                  <w:vAlign w:val="center"/>
                </w:tcPr>
                <w:p w14:paraId="79F8C7C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1000</w:t>
                  </w:r>
                </w:p>
              </w:tc>
              <w:tc>
                <w:tcPr>
                  <w:tcW w:w="694" w:type="pct"/>
                  <w:noWrap w:val="0"/>
                  <w:vAlign w:val="center"/>
                </w:tcPr>
                <w:p w14:paraId="4C04E5D4">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6633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307FBA0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1FB4B9B6">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铁屑及边角料</w:t>
                  </w:r>
                </w:p>
              </w:tc>
              <w:tc>
                <w:tcPr>
                  <w:tcW w:w="1114" w:type="pct"/>
                  <w:noWrap w:val="0"/>
                  <w:vAlign w:val="center"/>
                </w:tcPr>
                <w:p w14:paraId="604BF78E">
                  <w:pPr>
                    <w:jc w:val="center"/>
                    <w:rPr>
                      <w:rFonts w:hint="eastAsia"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w:t>
                  </w:r>
                </w:p>
              </w:tc>
              <w:tc>
                <w:tcPr>
                  <w:tcW w:w="1392" w:type="pct"/>
                  <w:noWrap w:val="0"/>
                  <w:vAlign w:val="center"/>
                </w:tcPr>
                <w:p w14:paraId="1C532CA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15</w:t>
                  </w:r>
                </w:p>
              </w:tc>
              <w:tc>
                <w:tcPr>
                  <w:tcW w:w="694" w:type="pct"/>
                  <w:noWrap w:val="0"/>
                  <w:vAlign w:val="center"/>
                </w:tcPr>
                <w:p w14:paraId="08968CEC">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5862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0C7D6D5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603FF2E4">
                  <w:pPr>
                    <w:jc w:val="center"/>
                    <w:rPr>
                      <w:rFonts w:hint="eastAsia" w:ascii="Times New Roman" w:hAnsi="Times New Roman" w:cs="Times New Roman"/>
                      <w:snapToGrid w:val="0"/>
                      <w:color w:val="auto"/>
                      <w:kern w:val="21"/>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废</w:t>
                  </w:r>
                  <w:r>
                    <w:rPr>
                      <w:rFonts w:hint="eastAsia" w:cs="Times New Roman"/>
                      <w:color w:val="auto"/>
                      <w:sz w:val="21"/>
                      <w:szCs w:val="21"/>
                      <w:highlight w:val="none"/>
                      <w:lang w:val="en-US" w:eastAsia="zh-CN"/>
                    </w:rPr>
                    <w:t>覆膜砂</w:t>
                  </w:r>
                </w:p>
              </w:tc>
              <w:tc>
                <w:tcPr>
                  <w:tcW w:w="1114" w:type="pct"/>
                  <w:noWrap w:val="0"/>
                  <w:vAlign w:val="center"/>
                </w:tcPr>
                <w:p w14:paraId="22481A15">
                  <w:pPr>
                    <w:jc w:val="center"/>
                    <w:rPr>
                      <w:rFonts w:hint="default" w:ascii="Times New Roman" w:hAnsi="Times New Roman" w:cs="Times New Roman"/>
                      <w:snapToGrid w:val="0"/>
                      <w:color w:val="auto"/>
                      <w:kern w:val="21"/>
                      <w:sz w:val="21"/>
                      <w:szCs w:val="21"/>
                      <w:highlight w:val="none"/>
                      <w:lang w:val="en-US" w:eastAsia="zh-CN" w:bidi="ar-SA"/>
                    </w:rPr>
                  </w:pPr>
                  <w:r>
                    <w:rPr>
                      <w:rFonts w:hint="eastAsia" w:cs="Times New Roman"/>
                      <w:color w:val="auto"/>
                      <w:sz w:val="21"/>
                      <w:szCs w:val="21"/>
                      <w:highlight w:val="none"/>
                      <w:lang w:val="en-US" w:eastAsia="zh-CN"/>
                    </w:rPr>
                    <w:t>1.2</w:t>
                  </w:r>
                </w:p>
              </w:tc>
              <w:tc>
                <w:tcPr>
                  <w:tcW w:w="1392" w:type="pct"/>
                  <w:noWrap w:val="0"/>
                  <w:vAlign w:val="center"/>
                </w:tcPr>
                <w:p w14:paraId="78EEB79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64</w:t>
                  </w:r>
                </w:p>
              </w:tc>
              <w:tc>
                <w:tcPr>
                  <w:tcW w:w="694" w:type="pct"/>
                  <w:noWrap w:val="0"/>
                  <w:vAlign w:val="center"/>
                </w:tcPr>
                <w:p w14:paraId="410BCD35">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7D62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627BB67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4DDC738D">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rPr>
                    <w:t>废机油</w:t>
                  </w:r>
                </w:p>
              </w:tc>
              <w:tc>
                <w:tcPr>
                  <w:tcW w:w="1114" w:type="pct"/>
                  <w:noWrap w:val="0"/>
                  <w:vAlign w:val="center"/>
                </w:tcPr>
                <w:p w14:paraId="2247BBE7">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rPr>
                    <w:t>0.0</w:t>
                  </w:r>
                  <w:r>
                    <w:rPr>
                      <w:rFonts w:hint="eastAsia" w:cs="Times New Roman"/>
                      <w:color w:val="auto"/>
                      <w:sz w:val="21"/>
                      <w:szCs w:val="21"/>
                      <w:highlight w:val="none"/>
                      <w:lang w:val="en-US" w:eastAsia="zh-CN"/>
                    </w:rPr>
                    <w:t>1</w:t>
                  </w:r>
                </w:p>
              </w:tc>
              <w:tc>
                <w:tcPr>
                  <w:tcW w:w="1392" w:type="pct"/>
                  <w:noWrap w:val="0"/>
                  <w:vAlign w:val="center"/>
                </w:tcPr>
                <w:p w14:paraId="17ADBBA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694" w:type="pct"/>
                  <w:noWrap w:val="0"/>
                  <w:vAlign w:val="center"/>
                </w:tcPr>
                <w:p w14:paraId="74663310">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07CB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5559A38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3253098A">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废切削液</w:t>
                  </w:r>
                </w:p>
              </w:tc>
              <w:tc>
                <w:tcPr>
                  <w:tcW w:w="1114" w:type="pct"/>
                  <w:noWrap w:val="0"/>
                  <w:vAlign w:val="center"/>
                </w:tcPr>
                <w:p w14:paraId="1A5D1FA6">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w:t>
                  </w:r>
                </w:p>
              </w:tc>
              <w:tc>
                <w:tcPr>
                  <w:tcW w:w="1392" w:type="pct"/>
                  <w:noWrap w:val="0"/>
                  <w:vAlign w:val="center"/>
                </w:tcPr>
                <w:p w14:paraId="6BA1B711">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694" w:type="pct"/>
                  <w:noWrap w:val="0"/>
                  <w:vAlign w:val="center"/>
                </w:tcPr>
                <w:p w14:paraId="2FD5DF0D">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2AA6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3074104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51DB413D">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废包装桶</w:t>
                  </w:r>
                </w:p>
              </w:tc>
              <w:tc>
                <w:tcPr>
                  <w:tcW w:w="1114" w:type="pct"/>
                  <w:noWrap w:val="0"/>
                  <w:vAlign w:val="center"/>
                </w:tcPr>
                <w:p w14:paraId="1DEB440A">
                  <w:pPr>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0.0</w:t>
                  </w:r>
                  <w:r>
                    <w:rPr>
                      <w:rFonts w:hint="eastAsia" w:cs="Times New Roman"/>
                      <w:color w:val="auto"/>
                      <w:sz w:val="21"/>
                      <w:szCs w:val="21"/>
                      <w:highlight w:val="none"/>
                      <w:lang w:val="en-US" w:eastAsia="zh-CN"/>
                    </w:rPr>
                    <w:t>1</w:t>
                  </w:r>
                </w:p>
              </w:tc>
              <w:tc>
                <w:tcPr>
                  <w:tcW w:w="1392" w:type="pct"/>
                  <w:noWrap w:val="0"/>
                  <w:vAlign w:val="center"/>
                </w:tcPr>
                <w:p w14:paraId="1CA43CE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694" w:type="pct"/>
                  <w:noWrap w:val="0"/>
                  <w:vAlign w:val="center"/>
                </w:tcPr>
                <w:p w14:paraId="209F296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59EFB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417" w:type="pct"/>
                  <w:vMerge w:val="continue"/>
                  <w:noWrap w:val="0"/>
                  <w:vAlign w:val="center"/>
                </w:tcPr>
                <w:p w14:paraId="2D4780F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p>
              </w:tc>
              <w:tc>
                <w:tcPr>
                  <w:tcW w:w="1380" w:type="pct"/>
                  <w:noWrap w:val="0"/>
                  <w:vAlign w:val="center"/>
                </w:tcPr>
                <w:p w14:paraId="196C0933">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生活垃圾</w:t>
                  </w:r>
                </w:p>
              </w:tc>
              <w:tc>
                <w:tcPr>
                  <w:tcW w:w="1114" w:type="pct"/>
                  <w:noWrap w:val="0"/>
                  <w:vAlign w:val="center"/>
                </w:tcPr>
                <w:p w14:paraId="5D42D10A">
                  <w:pPr>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24</w:t>
                  </w:r>
                </w:p>
              </w:tc>
              <w:tc>
                <w:tcPr>
                  <w:tcW w:w="1392" w:type="pct"/>
                  <w:noWrap w:val="0"/>
                  <w:vAlign w:val="center"/>
                </w:tcPr>
                <w:p w14:paraId="3583AC5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12</w:t>
                  </w:r>
                </w:p>
              </w:tc>
              <w:tc>
                <w:tcPr>
                  <w:tcW w:w="694" w:type="pct"/>
                  <w:noWrap w:val="0"/>
                  <w:vAlign w:val="center"/>
                </w:tcPr>
                <w:p w14:paraId="64142E2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bl>
          <w:p w14:paraId="48941CD5">
            <w:pPr>
              <w:widowControl/>
              <w:adjustRightInd w:val="0"/>
              <w:snapToGrid w:val="0"/>
              <w:spacing w:line="240" w:lineRule="auto"/>
              <w:jc w:val="left"/>
              <w:rPr>
                <w:rFonts w:hint="eastAsia"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bCs/>
                <w:color w:val="auto"/>
                <w:kern w:val="0"/>
                <w:sz w:val="18"/>
                <w:szCs w:val="18"/>
                <w:highlight w:val="none"/>
                <w:lang w:val="en-US" w:eastAsia="zh-CN"/>
              </w:rPr>
              <w:t>注：</w:t>
            </w:r>
            <w:r>
              <w:rPr>
                <w:rFonts w:hint="eastAsia" w:ascii="Times New Roman" w:hAnsi="Times New Roman" w:eastAsia="宋体" w:cs="Times New Roman"/>
                <w:b w:val="0"/>
                <w:bCs w:val="0"/>
                <w:color w:val="auto"/>
                <w:kern w:val="0"/>
                <w:sz w:val="18"/>
                <w:szCs w:val="18"/>
                <w:highlight w:val="none"/>
                <w:lang w:val="en-US" w:eastAsia="zh-CN"/>
              </w:rPr>
              <w:t>①上表中原环评数据来自</w:t>
            </w:r>
            <w:r>
              <w:rPr>
                <w:rFonts w:hint="eastAsia" w:cs="Times New Roman"/>
                <w:b w:val="0"/>
                <w:bCs w:val="0"/>
                <w:color w:val="auto"/>
                <w:kern w:val="0"/>
                <w:sz w:val="18"/>
                <w:szCs w:val="18"/>
                <w:highlight w:val="none"/>
                <w:lang w:val="en-US" w:eastAsia="zh-CN"/>
              </w:rPr>
              <w:t>《</w:t>
            </w:r>
            <w:r>
              <w:rPr>
                <w:rFonts w:hint="eastAsia" w:ascii="Times New Roman" w:hAnsi="Times New Roman" w:eastAsia="宋体" w:cs="Times New Roman"/>
                <w:b w:val="0"/>
                <w:bCs w:val="0"/>
                <w:color w:val="auto"/>
                <w:kern w:val="0"/>
                <w:sz w:val="18"/>
                <w:szCs w:val="18"/>
                <w:highlight w:val="none"/>
                <w:lang w:val="en-US" w:eastAsia="zh-CN"/>
              </w:rPr>
              <w:t>池州市锋达金属铸造有限公司年产1万吨铸铁配件项目环境影响报告表</w:t>
            </w:r>
            <w:r>
              <w:rPr>
                <w:rFonts w:hint="eastAsia" w:cs="Times New Roman"/>
                <w:b w:val="0"/>
                <w:bCs w:val="0"/>
                <w:color w:val="auto"/>
                <w:kern w:val="0"/>
                <w:sz w:val="18"/>
                <w:szCs w:val="18"/>
                <w:highlight w:val="none"/>
                <w:lang w:val="en-US" w:eastAsia="zh-CN"/>
              </w:rPr>
              <w:t>》及其</w:t>
            </w:r>
            <w:r>
              <w:rPr>
                <w:rFonts w:hint="eastAsia" w:ascii="Times New Roman" w:hAnsi="Times New Roman" w:eastAsia="宋体" w:cs="Times New Roman"/>
                <w:b w:val="0"/>
                <w:bCs w:val="0"/>
                <w:color w:val="auto"/>
                <w:kern w:val="0"/>
                <w:sz w:val="18"/>
                <w:szCs w:val="18"/>
                <w:highlight w:val="none"/>
                <w:lang w:val="en-US" w:eastAsia="zh-CN"/>
              </w:rPr>
              <w:t>批复（</w:t>
            </w:r>
            <w:r>
              <w:rPr>
                <w:rFonts w:hint="eastAsia" w:cs="Times New Roman"/>
                <w:b w:val="0"/>
                <w:bCs w:val="0"/>
                <w:color w:val="auto"/>
                <w:kern w:val="0"/>
                <w:sz w:val="18"/>
                <w:szCs w:val="18"/>
                <w:highlight w:val="none"/>
                <w:lang w:val="en-US" w:eastAsia="zh-CN"/>
              </w:rPr>
              <w:t>青环管〔2017〕31号</w:t>
            </w:r>
            <w:r>
              <w:rPr>
                <w:rFonts w:hint="eastAsia" w:ascii="Times New Roman" w:hAnsi="Times New Roman" w:eastAsia="宋体" w:cs="Times New Roman"/>
                <w:b w:val="0"/>
                <w:bCs w:val="0"/>
                <w:color w:val="auto"/>
                <w:kern w:val="0"/>
                <w:sz w:val="18"/>
                <w:szCs w:val="18"/>
                <w:highlight w:val="none"/>
                <w:lang w:val="en-US" w:eastAsia="zh-CN"/>
              </w:rPr>
              <w:t>）”</w:t>
            </w:r>
            <w:r>
              <w:rPr>
                <w:rFonts w:hint="eastAsia" w:cs="Times New Roman"/>
                <w:b w:val="0"/>
                <w:bCs w:val="0"/>
                <w:color w:val="auto"/>
                <w:kern w:val="0"/>
                <w:sz w:val="18"/>
                <w:szCs w:val="18"/>
                <w:highlight w:val="none"/>
                <w:lang w:val="en-US" w:eastAsia="zh-CN"/>
              </w:rPr>
              <w:t>中</w:t>
            </w:r>
            <w:r>
              <w:rPr>
                <w:rFonts w:hint="eastAsia" w:ascii="Times New Roman" w:hAnsi="Times New Roman" w:eastAsia="宋体" w:cs="Times New Roman"/>
                <w:b w:val="0"/>
                <w:bCs w:val="0"/>
                <w:color w:val="auto"/>
                <w:kern w:val="0"/>
                <w:sz w:val="18"/>
                <w:szCs w:val="18"/>
                <w:highlight w:val="none"/>
                <w:lang w:val="en-US" w:eastAsia="zh-CN"/>
              </w:rPr>
              <w:t>相关内容。</w:t>
            </w:r>
          </w:p>
          <w:p w14:paraId="7D4E40F2">
            <w:pPr>
              <w:widowControl/>
              <w:adjustRightInd w:val="0"/>
              <w:snapToGrid w:val="0"/>
              <w:spacing w:line="240" w:lineRule="auto"/>
              <w:ind w:firstLine="360" w:firstLineChars="200"/>
              <w:jc w:val="left"/>
              <w:rPr>
                <w:rFonts w:hint="default"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val="0"/>
                <w:bCs w:val="0"/>
                <w:color w:val="auto"/>
                <w:kern w:val="0"/>
                <w:sz w:val="18"/>
                <w:szCs w:val="18"/>
                <w:highlight w:val="none"/>
                <w:lang w:val="en-US" w:eastAsia="zh-CN"/>
              </w:rPr>
              <w:t>②上表中阶段验收数据</w:t>
            </w:r>
            <w:r>
              <w:rPr>
                <w:rFonts w:hint="eastAsia" w:cs="Times New Roman"/>
                <w:b w:val="0"/>
                <w:bCs w:val="0"/>
                <w:color w:val="auto"/>
                <w:kern w:val="0"/>
                <w:sz w:val="18"/>
                <w:szCs w:val="18"/>
                <w:highlight w:val="none"/>
                <w:lang w:val="en-US" w:eastAsia="zh-CN"/>
              </w:rPr>
              <w:t>及总量控制指标</w:t>
            </w:r>
            <w:r>
              <w:rPr>
                <w:rFonts w:hint="eastAsia" w:ascii="Times New Roman" w:hAnsi="Times New Roman" w:eastAsia="宋体" w:cs="Times New Roman"/>
                <w:b w:val="0"/>
                <w:bCs w:val="0"/>
                <w:color w:val="auto"/>
                <w:kern w:val="0"/>
                <w:sz w:val="18"/>
                <w:szCs w:val="18"/>
                <w:highlight w:val="none"/>
                <w:lang w:val="en-US" w:eastAsia="zh-CN"/>
              </w:rPr>
              <w:t>来自20</w:t>
            </w:r>
            <w:r>
              <w:rPr>
                <w:rFonts w:hint="eastAsia" w:cs="Times New Roman"/>
                <w:b w:val="0"/>
                <w:bCs w:val="0"/>
                <w:color w:val="auto"/>
                <w:kern w:val="0"/>
                <w:sz w:val="18"/>
                <w:szCs w:val="18"/>
                <w:highlight w:val="none"/>
                <w:lang w:val="en-US" w:eastAsia="zh-CN"/>
              </w:rPr>
              <w:t>18</w:t>
            </w:r>
            <w:r>
              <w:rPr>
                <w:rFonts w:hint="eastAsia" w:ascii="Times New Roman" w:hAnsi="Times New Roman" w:eastAsia="宋体" w:cs="Times New Roman"/>
                <w:b w:val="0"/>
                <w:bCs w:val="0"/>
                <w:color w:val="auto"/>
                <w:kern w:val="0"/>
                <w:sz w:val="18"/>
                <w:szCs w:val="18"/>
                <w:highlight w:val="none"/>
                <w:lang w:val="en-US" w:eastAsia="zh-CN"/>
              </w:rPr>
              <w:t>年1</w:t>
            </w:r>
            <w:r>
              <w:rPr>
                <w:rFonts w:hint="eastAsia" w:cs="Times New Roman"/>
                <w:b w:val="0"/>
                <w:bCs w:val="0"/>
                <w:color w:val="auto"/>
                <w:kern w:val="0"/>
                <w:sz w:val="18"/>
                <w:szCs w:val="18"/>
                <w:highlight w:val="none"/>
                <w:lang w:val="en-US" w:eastAsia="zh-CN"/>
              </w:rPr>
              <w:t>0</w:t>
            </w:r>
            <w:r>
              <w:rPr>
                <w:rFonts w:hint="eastAsia" w:ascii="Times New Roman" w:hAnsi="Times New Roman" w:eastAsia="宋体" w:cs="Times New Roman"/>
                <w:b w:val="0"/>
                <w:bCs w:val="0"/>
                <w:color w:val="auto"/>
                <w:kern w:val="0"/>
                <w:sz w:val="18"/>
                <w:szCs w:val="18"/>
                <w:highlight w:val="none"/>
                <w:lang w:val="en-US" w:eastAsia="zh-CN"/>
              </w:rPr>
              <w:t>月</w:t>
            </w:r>
            <w:r>
              <w:rPr>
                <w:rFonts w:hint="eastAsia" w:cs="Times New Roman"/>
                <w:b w:val="0"/>
                <w:bCs w:val="0"/>
                <w:color w:val="auto"/>
                <w:kern w:val="0"/>
                <w:sz w:val="18"/>
                <w:szCs w:val="18"/>
                <w:highlight w:val="none"/>
                <w:lang w:val="en-US" w:eastAsia="zh-CN"/>
              </w:rPr>
              <w:t>《年产1万吨铸铁配件项目竣工环境保护验收监测报告表（AHLJYS2018-080）》中</w:t>
            </w:r>
            <w:r>
              <w:rPr>
                <w:rFonts w:hint="eastAsia" w:ascii="Times New Roman" w:hAnsi="Times New Roman" w:eastAsia="宋体" w:cs="Times New Roman"/>
                <w:b w:val="0"/>
                <w:bCs w:val="0"/>
                <w:color w:val="auto"/>
                <w:kern w:val="0"/>
                <w:sz w:val="18"/>
                <w:szCs w:val="18"/>
                <w:highlight w:val="none"/>
                <w:lang w:val="en-US" w:eastAsia="zh-CN"/>
              </w:rPr>
              <w:t>相关内容。</w:t>
            </w:r>
          </w:p>
          <w:p w14:paraId="5F685D2C">
            <w:pPr>
              <w:widowControl/>
              <w:adjustRightInd w:val="0"/>
              <w:snapToGrid w:val="0"/>
              <w:spacing w:line="240" w:lineRule="auto"/>
              <w:jc w:val="left"/>
              <w:rPr>
                <w:rFonts w:hint="eastAsia" w:ascii="Times New Roman" w:hAnsi="Times New Roman" w:eastAsia="宋体" w:cs="Times New Roman"/>
                <w:b w:val="0"/>
                <w:bCs w:val="0"/>
                <w:color w:val="auto"/>
                <w:kern w:val="0"/>
                <w:sz w:val="18"/>
                <w:szCs w:val="18"/>
                <w:highlight w:val="none"/>
                <w:lang w:val="en-US" w:eastAsia="zh-CN"/>
              </w:rPr>
            </w:pPr>
          </w:p>
          <w:p w14:paraId="2A1C0AB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6.</w:t>
            </w:r>
            <w:r>
              <w:rPr>
                <w:rFonts w:hint="eastAsia" w:ascii="Times New Roman" w:hAnsi="Times New Roman" w:eastAsia="宋体" w:cs="Times New Roman"/>
                <w:b/>
                <w:bCs/>
                <w:color w:val="auto"/>
                <w:kern w:val="2"/>
                <w:sz w:val="24"/>
                <w:szCs w:val="24"/>
                <w:lang w:val="en-US" w:eastAsia="zh-CN"/>
              </w:rPr>
              <w:t>企业现有环境问题</w:t>
            </w:r>
          </w:p>
          <w:p w14:paraId="389D93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现场踏勘时发现企业现状存在以下环境问题：</w:t>
            </w:r>
          </w:p>
          <w:p w14:paraId="2921CAB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表2-1</w:t>
            </w:r>
            <w:r>
              <w:rPr>
                <w:rFonts w:hint="eastAsia" w:ascii="Times New Roman" w:hAnsi="Times New Roman" w:eastAsia="宋体"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 xml:space="preserve"> 企业现有环境问题</w:t>
            </w:r>
          </w:p>
          <w:tbl>
            <w:tblPr>
              <w:tblStyle w:val="36"/>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545"/>
              <w:gridCol w:w="2460"/>
              <w:gridCol w:w="2795"/>
              <w:gridCol w:w="1150"/>
            </w:tblGrid>
            <w:tr w14:paraId="385C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357" w:type="pct"/>
                  <w:noWrap w:val="0"/>
                  <w:vAlign w:val="center"/>
                </w:tcPr>
                <w:p w14:paraId="7290951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序号</w:t>
                  </w:r>
                </w:p>
              </w:tc>
              <w:tc>
                <w:tcPr>
                  <w:tcW w:w="902" w:type="pct"/>
                  <w:noWrap w:val="0"/>
                  <w:vAlign w:val="center"/>
                </w:tcPr>
                <w:p w14:paraId="32F604F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类型</w:t>
                  </w:r>
                </w:p>
              </w:tc>
              <w:tc>
                <w:tcPr>
                  <w:tcW w:w="1436" w:type="pct"/>
                  <w:noWrap w:val="0"/>
                  <w:vAlign w:val="center"/>
                </w:tcPr>
                <w:p w14:paraId="21761BB1">
                  <w:pPr>
                    <w:keepNext w:val="0"/>
                    <w:keepLines w:val="0"/>
                    <w:pageBreakBefore w:val="0"/>
                    <w:widowControl/>
                    <w:suppressLineNumbers w:val="0"/>
                    <w:kinsoku/>
                    <w:wordWrap/>
                    <w:overflowPunct/>
                    <w:topLinePunct w:val="0"/>
                    <w:autoSpaceDE/>
                    <w:autoSpaceDN/>
                    <w:bidi w:val="0"/>
                    <w:jc w:val="center"/>
                    <w:rPr>
                      <w:rFonts w:hint="eastAsia"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现有环境问题</w:t>
                  </w:r>
                </w:p>
              </w:tc>
              <w:tc>
                <w:tcPr>
                  <w:tcW w:w="1632" w:type="pct"/>
                  <w:noWrap w:val="0"/>
                  <w:vAlign w:val="center"/>
                </w:tcPr>
                <w:p w14:paraId="32FAAC38">
                  <w:pPr>
                    <w:keepNext w:val="0"/>
                    <w:keepLines w:val="0"/>
                    <w:pageBreakBefore w:val="0"/>
                    <w:widowControl/>
                    <w:suppressLineNumbers w:val="0"/>
                    <w:kinsoku/>
                    <w:wordWrap/>
                    <w:overflowPunct/>
                    <w:topLinePunct w:val="0"/>
                    <w:autoSpaceDE/>
                    <w:autoSpaceDN/>
                    <w:bidi w:val="0"/>
                    <w:jc w:val="center"/>
                    <w:rPr>
                      <w:rFonts w:hint="eastAsia"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建议整改措施</w:t>
                  </w:r>
                </w:p>
              </w:tc>
              <w:tc>
                <w:tcPr>
                  <w:tcW w:w="671" w:type="pct"/>
                  <w:noWrap w:val="0"/>
                  <w:vAlign w:val="center"/>
                </w:tcPr>
                <w:p w14:paraId="6C730C44">
                  <w:pPr>
                    <w:keepNext w:val="0"/>
                    <w:keepLines w:val="0"/>
                    <w:pageBreakBefore w:val="0"/>
                    <w:widowControl/>
                    <w:suppressLineNumbers w:val="0"/>
                    <w:kinsoku/>
                    <w:wordWrap/>
                    <w:overflowPunct/>
                    <w:topLinePunct w:val="0"/>
                    <w:autoSpaceDE/>
                    <w:autoSpaceDN/>
                    <w:bidi w:val="0"/>
                    <w:jc w:val="center"/>
                    <w:rPr>
                      <w:rFonts w:hint="default"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整改时限</w:t>
                  </w:r>
                </w:p>
              </w:tc>
            </w:tr>
            <w:tr w14:paraId="11DB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357" w:type="pct"/>
                  <w:noWrap w:val="0"/>
                  <w:vAlign w:val="center"/>
                </w:tcPr>
                <w:p w14:paraId="3875C26E">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1</w:t>
                  </w:r>
                </w:p>
              </w:tc>
              <w:tc>
                <w:tcPr>
                  <w:tcW w:w="902" w:type="pct"/>
                  <w:vMerge w:val="restart"/>
                  <w:noWrap w:val="0"/>
                  <w:vAlign w:val="center"/>
                </w:tcPr>
                <w:p w14:paraId="72330FD5">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废气</w:t>
                  </w:r>
                </w:p>
              </w:tc>
              <w:tc>
                <w:tcPr>
                  <w:tcW w:w="1436" w:type="pct"/>
                  <w:noWrap w:val="0"/>
                  <w:vAlign w:val="center"/>
                </w:tcPr>
                <w:p w14:paraId="7025C70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制芯废气产生的有机废气采取的污染防治措施为一级活性炭吸附</w:t>
                  </w:r>
                </w:p>
              </w:tc>
              <w:tc>
                <w:tcPr>
                  <w:tcW w:w="1632" w:type="pct"/>
                  <w:noWrap w:val="0"/>
                  <w:vAlign w:val="center"/>
                </w:tcPr>
                <w:p w14:paraId="0A12C54E">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有机废气污染防治措施改为二级活性炭吸附</w:t>
                  </w:r>
                </w:p>
              </w:tc>
              <w:tc>
                <w:tcPr>
                  <w:tcW w:w="671" w:type="pct"/>
                  <w:noWrap w:val="0"/>
                  <w:vAlign w:val="center"/>
                </w:tcPr>
                <w:p w14:paraId="1DF3257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2026.3.1前</w:t>
                  </w:r>
                </w:p>
              </w:tc>
            </w:tr>
            <w:tr w14:paraId="66623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357" w:type="pct"/>
                  <w:noWrap w:val="0"/>
                  <w:vAlign w:val="center"/>
                </w:tcPr>
                <w:p w14:paraId="4396933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2</w:t>
                  </w:r>
                </w:p>
              </w:tc>
              <w:tc>
                <w:tcPr>
                  <w:tcW w:w="902" w:type="pct"/>
                  <w:vMerge w:val="continue"/>
                  <w:noWrap w:val="0"/>
                  <w:vAlign w:val="center"/>
                </w:tcPr>
                <w:p w14:paraId="3A32F557">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p>
              </w:tc>
              <w:tc>
                <w:tcPr>
                  <w:tcW w:w="1436" w:type="pct"/>
                  <w:noWrap w:val="0"/>
                  <w:vAlign w:val="center"/>
                </w:tcPr>
                <w:p w14:paraId="4089ED2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造型和浇铸区域废气为无组织排放</w:t>
                  </w:r>
                </w:p>
              </w:tc>
              <w:tc>
                <w:tcPr>
                  <w:tcW w:w="1632" w:type="pct"/>
                  <w:noWrap w:val="0"/>
                  <w:vAlign w:val="center"/>
                </w:tcPr>
                <w:p w14:paraId="6610A816">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废气经收集后由“布袋除尘器+二级活性炭吸附”装置处理达标后通过不低于15m高排气筒排放。</w:t>
                  </w:r>
                </w:p>
              </w:tc>
              <w:tc>
                <w:tcPr>
                  <w:tcW w:w="671" w:type="pct"/>
                  <w:noWrap w:val="0"/>
                  <w:vAlign w:val="center"/>
                </w:tcPr>
                <w:p w14:paraId="09329985">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纳入本次环评“以新带老”</w:t>
                  </w:r>
                </w:p>
              </w:tc>
            </w:tr>
            <w:tr w14:paraId="5D02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357" w:type="pct"/>
                  <w:noWrap w:val="0"/>
                  <w:vAlign w:val="center"/>
                </w:tcPr>
                <w:p w14:paraId="1A9A8D7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w:t>
                  </w:r>
                </w:p>
              </w:tc>
              <w:tc>
                <w:tcPr>
                  <w:tcW w:w="902" w:type="pct"/>
                  <w:noWrap w:val="0"/>
                  <w:vAlign w:val="center"/>
                </w:tcPr>
                <w:p w14:paraId="35261549">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一般固废</w:t>
                  </w:r>
                </w:p>
              </w:tc>
              <w:tc>
                <w:tcPr>
                  <w:tcW w:w="1436" w:type="pct"/>
                  <w:noWrap w:val="0"/>
                  <w:vAlign w:val="center"/>
                </w:tcPr>
                <w:p w14:paraId="22CC4E27">
                  <w:pPr>
                    <w:keepNext w:val="0"/>
                    <w:keepLines w:val="0"/>
                    <w:pageBreakBefore w:val="0"/>
                    <w:widowControl/>
                    <w:suppressLineNumbers w:val="0"/>
                    <w:kinsoku/>
                    <w:wordWrap/>
                    <w:overflowPunct/>
                    <w:topLinePunct w:val="0"/>
                    <w:autoSpaceDE/>
                    <w:autoSpaceDN/>
                    <w:bidi w:val="0"/>
                    <w:jc w:val="left"/>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现有一般固废库屋顶有破损，存在漏雨情形。</w:t>
                  </w:r>
                </w:p>
              </w:tc>
              <w:tc>
                <w:tcPr>
                  <w:tcW w:w="1632" w:type="pct"/>
                  <w:noWrap w:val="0"/>
                  <w:vAlign w:val="center"/>
                </w:tcPr>
                <w:p w14:paraId="4A475FCD">
                  <w:pPr>
                    <w:keepNext w:val="0"/>
                    <w:keepLines w:val="0"/>
                    <w:pageBreakBefore w:val="0"/>
                    <w:widowControl/>
                    <w:suppressLineNumbers w:val="0"/>
                    <w:kinsoku/>
                    <w:wordWrap/>
                    <w:overflowPunct/>
                    <w:topLinePunct w:val="0"/>
                    <w:autoSpaceDE/>
                    <w:autoSpaceDN/>
                    <w:bidi w:val="0"/>
                    <w:jc w:val="left"/>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对</w:t>
                  </w:r>
                  <w:r>
                    <w:rPr>
                      <w:rFonts w:hint="eastAsia" w:cs="Times New Roman"/>
                      <w:color w:val="auto"/>
                      <w:kern w:val="0"/>
                      <w:sz w:val="21"/>
                      <w:szCs w:val="21"/>
                      <w:highlight w:val="none"/>
                      <w:lang w:val="en-US" w:eastAsia="zh-CN" w:bidi="ar"/>
                    </w:rPr>
                    <w:t>现有一般固废库屋顶进行修补</w:t>
                  </w:r>
                  <w:r>
                    <w:rPr>
                      <w:rFonts w:hint="eastAsia" w:ascii="Times New Roman" w:hAnsi="Times New Roman" w:eastAsia="宋体" w:cs="Times New Roman"/>
                      <w:color w:val="auto"/>
                      <w:kern w:val="0"/>
                      <w:sz w:val="21"/>
                      <w:szCs w:val="21"/>
                      <w:highlight w:val="none"/>
                      <w:lang w:val="en-US" w:eastAsia="zh-CN" w:bidi="ar"/>
                    </w:rPr>
                    <w:t>。</w:t>
                  </w:r>
                </w:p>
              </w:tc>
              <w:tc>
                <w:tcPr>
                  <w:tcW w:w="671" w:type="pct"/>
                  <w:noWrap w:val="0"/>
                  <w:vAlign w:val="center"/>
                </w:tcPr>
                <w:p w14:paraId="07C2DD0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r w14:paraId="0C51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357" w:type="pct"/>
                  <w:noWrap w:val="0"/>
                  <w:vAlign w:val="center"/>
                </w:tcPr>
                <w:p w14:paraId="560C42C7">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4</w:t>
                  </w:r>
                </w:p>
              </w:tc>
              <w:tc>
                <w:tcPr>
                  <w:tcW w:w="902" w:type="pct"/>
                  <w:shd w:val="clear" w:color="auto" w:fill="auto"/>
                  <w:noWrap w:val="0"/>
                  <w:vAlign w:val="center"/>
                </w:tcPr>
                <w:p w14:paraId="45D18ED7">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危险废物</w:t>
                  </w:r>
                </w:p>
              </w:tc>
              <w:tc>
                <w:tcPr>
                  <w:tcW w:w="1436" w:type="pct"/>
                  <w:shd w:val="clear" w:color="auto" w:fill="auto"/>
                  <w:noWrap w:val="0"/>
                  <w:vAlign w:val="center"/>
                </w:tcPr>
                <w:p w14:paraId="5A7CEB2E">
                  <w:pPr>
                    <w:keepNext w:val="0"/>
                    <w:keepLines w:val="0"/>
                    <w:pageBreakBefore w:val="0"/>
                    <w:widowControl/>
                    <w:suppressLineNumbers w:val="0"/>
                    <w:kinsoku/>
                    <w:wordWrap/>
                    <w:overflowPunct/>
                    <w:topLinePunct w:val="0"/>
                    <w:autoSpaceDE/>
                    <w:autoSpaceDN/>
                    <w:bidi w:val="0"/>
                    <w:jc w:val="left"/>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危废库内部防腐防渗措施不到位</w:t>
                  </w:r>
                  <w:r>
                    <w:rPr>
                      <w:rFonts w:hint="eastAsia" w:cs="Times New Roman"/>
                      <w:color w:val="auto"/>
                      <w:kern w:val="0"/>
                      <w:sz w:val="21"/>
                      <w:szCs w:val="21"/>
                      <w:highlight w:val="none"/>
                      <w:lang w:val="en-US" w:eastAsia="zh-CN" w:bidi="ar"/>
                    </w:rPr>
                    <w:t>，未设置集液沟和集液槽。</w:t>
                  </w:r>
                </w:p>
              </w:tc>
              <w:tc>
                <w:tcPr>
                  <w:tcW w:w="1632" w:type="pct"/>
                  <w:shd w:val="clear" w:color="auto" w:fill="auto"/>
                  <w:noWrap w:val="0"/>
                  <w:vAlign w:val="center"/>
                </w:tcPr>
                <w:p w14:paraId="0B519E5C">
                  <w:pPr>
                    <w:keepNext w:val="0"/>
                    <w:keepLines w:val="0"/>
                    <w:pageBreakBefore w:val="0"/>
                    <w:widowControl/>
                    <w:suppressLineNumbers w:val="0"/>
                    <w:kinsoku/>
                    <w:wordWrap/>
                    <w:overflowPunct/>
                    <w:topLinePunct w:val="0"/>
                    <w:autoSpaceDE/>
                    <w:autoSpaceDN/>
                    <w:bidi w:val="0"/>
                    <w:jc w:val="left"/>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要求企业及时对危废库内部按要求落实危废仓库内的防腐防渗措施，避免危险废物渗漏对土壤地下水的影响；</w:t>
                  </w:r>
                </w:p>
              </w:tc>
              <w:tc>
                <w:tcPr>
                  <w:tcW w:w="671" w:type="pct"/>
                  <w:noWrap w:val="0"/>
                  <w:vAlign w:val="center"/>
                </w:tcPr>
                <w:p w14:paraId="6499FFE0">
                  <w:pPr>
                    <w:keepNext w:val="0"/>
                    <w:keepLines w:val="0"/>
                    <w:pageBreakBefore w:val="0"/>
                    <w:widowControl/>
                    <w:suppressLineNumbers w:val="0"/>
                    <w:kinsoku/>
                    <w:wordWrap/>
                    <w:overflowPunct/>
                    <w:topLinePunct w:val="0"/>
                    <w:autoSpaceDE/>
                    <w:autoSpaceDN/>
                    <w:bidi w:val="0"/>
                    <w:ind w:left="0" w:leftChars="0"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r>
          </w:tbl>
          <w:p w14:paraId="5D7CBCFD">
            <w:pPr>
              <w:widowControl/>
              <w:adjustRightInd w:val="0"/>
              <w:snapToGrid w:val="0"/>
              <w:spacing w:line="240" w:lineRule="auto"/>
              <w:jc w:val="left"/>
              <w:rPr>
                <w:rFonts w:hint="eastAsia" w:ascii="Times New Roman" w:hAnsi="Times New Roman" w:eastAsia="宋体" w:cs="Times New Roman"/>
                <w:b w:val="0"/>
                <w:bCs w:val="0"/>
                <w:color w:val="FF0000"/>
                <w:kern w:val="0"/>
                <w:sz w:val="18"/>
                <w:szCs w:val="18"/>
                <w:highlight w:val="none"/>
                <w:lang w:val="en-US" w:eastAsia="zh-CN"/>
              </w:rPr>
            </w:pPr>
          </w:p>
          <w:p w14:paraId="084E97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现场踏勘时企业现状</w:t>
            </w:r>
            <w:r>
              <w:rPr>
                <w:rFonts w:hint="eastAsia" w:cs="Times New Roman"/>
                <w:color w:val="auto"/>
                <w:spacing w:val="0"/>
                <w:sz w:val="24"/>
                <w:szCs w:val="24"/>
                <w:highlight w:val="none"/>
                <w:lang w:val="en-US" w:eastAsia="zh-CN"/>
              </w:rPr>
              <w:t>存在的</w:t>
            </w:r>
            <w:r>
              <w:rPr>
                <w:rFonts w:hint="eastAsia" w:ascii="Times New Roman" w:hAnsi="Times New Roman" w:eastAsia="宋体" w:cs="Times New Roman"/>
                <w:color w:val="auto"/>
                <w:spacing w:val="0"/>
                <w:sz w:val="24"/>
                <w:szCs w:val="24"/>
                <w:highlight w:val="none"/>
                <w:lang w:val="en-US" w:eastAsia="zh-CN"/>
              </w:rPr>
              <w:t>废气</w:t>
            </w:r>
            <w:r>
              <w:rPr>
                <w:rFonts w:hint="eastAsia" w:cs="Times New Roman"/>
                <w:color w:val="auto"/>
                <w:spacing w:val="0"/>
                <w:sz w:val="24"/>
                <w:szCs w:val="24"/>
                <w:highlight w:val="none"/>
                <w:lang w:val="en-US" w:eastAsia="zh-CN"/>
              </w:rPr>
              <w:t>处理措施</w:t>
            </w:r>
            <w:r>
              <w:rPr>
                <w:rFonts w:hint="eastAsia" w:ascii="Times New Roman" w:hAnsi="Times New Roman" w:eastAsia="宋体" w:cs="Times New Roman"/>
                <w:color w:val="auto"/>
                <w:spacing w:val="0"/>
                <w:sz w:val="24"/>
                <w:szCs w:val="24"/>
                <w:highlight w:val="none"/>
                <w:lang w:val="en-US" w:eastAsia="zh-CN"/>
              </w:rPr>
              <w:t>、危废库</w:t>
            </w:r>
            <w:r>
              <w:rPr>
                <w:rFonts w:hint="eastAsia" w:cs="Times New Roman"/>
                <w:color w:val="auto"/>
                <w:spacing w:val="0"/>
                <w:sz w:val="24"/>
                <w:szCs w:val="24"/>
                <w:highlight w:val="none"/>
                <w:lang w:val="en-US" w:eastAsia="zh-CN"/>
              </w:rPr>
              <w:t>等问题照片</w:t>
            </w:r>
            <w:r>
              <w:rPr>
                <w:rFonts w:hint="eastAsia" w:ascii="Times New Roman" w:hAnsi="Times New Roman" w:eastAsia="宋体" w:cs="Times New Roman"/>
                <w:color w:val="auto"/>
                <w:spacing w:val="0"/>
                <w:sz w:val="24"/>
                <w:szCs w:val="24"/>
                <w:highlight w:val="none"/>
                <w:lang w:val="en-US" w:eastAsia="zh-CN"/>
              </w:rPr>
              <w:t>如下：</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2"/>
              <w:gridCol w:w="4642"/>
            </w:tblGrid>
            <w:tr w14:paraId="2750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2302" w:type="pct"/>
                  <w:noWrap w:val="0"/>
                  <w:vAlign w:val="center"/>
                </w:tcPr>
                <w:p w14:paraId="2D1C342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drawing>
                      <wp:inline distT="0" distB="0" distL="114300" distR="114300">
                        <wp:extent cx="2414905" cy="4102100"/>
                        <wp:effectExtent l="0" t="0" r="0" b="0"/>
                        <wp:docPr id="46" name="图片 46" descr="1c42879efdb1a4595eb2c6aeb360c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1c42879efdb1a4595eb2c6aeb360c0e"/>
                                <pic:cNvPicPr>
                                  <a:picLocks noChangeAspect="1"/>
                                </pic:cNvPicPr>
                              </pic:nvPicPr>
                              <pic:blipFill>
                                <a:blip r:embed="rId25"/>
                                <a:srcRect t="4452"/>
                                <a:stretch>
                                  <a:fillRect/>
                                </a:stretch>
                              </pic:blipFill>
                              <pic:spPr>
                                <a:xfrm>
                                  <a:off x="0" y="0"/>
                                  <a:ext cx="2414905" cy="4102100"/>
                                </a:xfrm>
                                <a:prstGeom prst="rect">
                                  <a:avLst/>
                                </a:prstGeom>
                              </pic:spPr>
                            </pic:pic>
                          </a:graphicData>
                        </a:graphic>
                      </wp:inline>
                    </w:drawing>
                  </w:r>
                </w:p>
              </w:tc>
              <w:tc>
                <w:tcPr>
                  <w:tcW w:w="2697" w:type="pct"/>
                  <w:noWrap w:val="0"/>
                  <w:vAlign w:val="center"/>
                </w:tcPr>
                <w:p w14:paraId="45FBB530">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color w:val="auto"/>
                    </w:rPr>
                    <w:drawing>
                      <wp:inline distT="0" distB="0" distL="114300" distR="114300">
                        <wp:extent cx="2583815" cy="4112260"/>
                        <wp:effectExtent l="0" t="0" r="6985" b="2540"/>
                        <wp:docPr id="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
                                <pic:cNvPicPr>
                                  <a:picLocks noChangeAspect="1"/>
                                </pic:cNvPicPr>
                              </pic:nvPicPr>
                              <pic:blipFill>
                                <a:blip r:embed="rId26"/>
                                <a:stretch>
                                  <a:fillRect/>
                                </a:stretch>
                              </pic:blipFill>
                              <pic:spPr>
                                <a:xfrm>
                                  <a:off x="0" y="0"/>
                                  <a:ext cx="2583815" cy="4112260"/>
                                </a:xfrm>
                                <a:prstGeom prst="rect">
                                  <a:avLst/>
                                </a:prstGeom>
                                <a:noFill/>
                                <a:ln>
                                  <a:noFill/>
                                </a:ln>
                              </pic:spPr>
                            </pic:pic>
                          </a:graphicData>
                        </a:graphic>
                      </wp:inline>
                    </w:drawing>
                  </w:r>
                </w:p>
              </w:tc>
            </w:tr>
            <w:tr w14:paraId="0972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2302" w:type="pct"/>
                  <w:noWrap w:val="0"/>
                  <w:vAlign w:val="center"/>
                </w:tcPr>
                <w:p w14:paraId="101C11A6">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制芯废气一级活性炭吸附措施</w:t>
                  </w:r>
                </w:p>
              </w:tc>
              <w:tc>
                <w:tcPr>
                  <w:tcW w:w="2697" w:type="pct"/>
                  <w:noWrap w:val="0"/>
                  <w:vAlign w:val="center"/>
                </w:tcPr>
                <w:p w14:paraId="747D6252">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造型浇注区域废气无组织排放</w:t>
                  </w:r>
                </w:p>
              </w:tc>
            </w:tr>
            <w:tr w14:paraId="2AA1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2302" w:type="pct"/>
                  <w:noWrap w:val="0"/>
                  <w:vAlign w:val="center"/>
                </w:tcPr>
                <w:p w14:paraId="602D38F3">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drawing>
                      <wp:inline distT="0" distB="0" distL="114300" distR="114300">
                        <wp:extent cx="2414270" cy="1357630"/>
                        <wp:effectExtent l="0" t="0" r="5080" b="13970"/>
                        <wp:docPr id="39" name="图片 39" descr="07a341a6dd28c806a9b89737b2425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07a341a6dd28c806a9b89737b2425cb0"/>
                                <pic:cNvPicPr>
                                  <a:picLocks noChangeAspect="1"/>
                                </pic:cNvPicPr>
                              </pic:nvPicPr>
                              <pic:blipFill>
                                <a:blip r:embed="rId27"/>
                                <a:stretch>
                                  <a:fillRect/>
                                </a:stretch>
                              </pic:blipFill>
                              <pic:spPr>
                                <a:xfrm>
                                  <a:off x="0" y="0"/>
                                  <a:ext cx="2414270" cy="1357630"/>
                                </a:xfrm>
                                <a:prstGeom prst="rect">
                                  <a:avLst/>
                                </a:prstGeom>
                              </pic:spPr>
                            </pic:pic>
                          </a:graphicData>
                        </a:graphic>
                      </wp:inline>
                    </w:drawing>
                  </w:r>
                </w:p>
              </w:tc>
              <w:tc>
                <w:tcPr>
                  <w:tcW w:w="2697" w:type="pct"/>
                  <w:noWrap w:val="0"/>
                  <w:vAlign w:val="center"/>
                </w:tcPr>
                <w:p w14:paraId="34AE184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drawing>
                      <wp:inline distT="0" distB="0" distL="114300" distR="114300">
                        <wp:extent cx="1316990" cy="1755775"/>
                        <wp:effectExtent l="0" t="0" r="16510" b="15875"/>
                        <wp:docPr id="43" name="图片 43" descr="6dabed82df1fe69c9b2cce17ae469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6dabed82df1fe69c9b2cce17ae469eb"/>
                                <pic:cNvPicPr>
                                  <a:picLocks noChangeAspect="1"/>
                                </pic:cNvPicPr>
                              </pic:nvPicPr>
                              <pic:blipFill>
                                <a:blip r:embed="rId28"/>
                                <a:stretch>
                                  <a:fillRect/>
                                </a:stretch>
                              </pic:blipFill>
                              <pic:spPr>
                                <a:xfrm>
                                  <a:off x="0" y="0"/>
                                  <a:ext cx="1316990" cy="1755775"/>
                                </a:xfrm>
                                <a:prstGeom prst="rect">
                                  <a:avLst/>
                                </a:prstGeom>
                              </pic:spPr>
                            </pic:pic>
                          </a:graphicData>
                        </a:graphic>
                      </wp:inline>
                    </w:drawing>
                  </w:r>
                  <w:r>
                    <w:rPr>
                      <w:rFonts w:hint="default" w:ascii="Times New Roman" w:hAnsi="Times New Roman" w:eastAsia="宋体" w:cs="Times New Roman"/>
                      <w:color w:val="auto"/>
                      <w:kern w:val="0"/>
                      <w:sz w:val="21"/>
                      <w:szCs w:val="21"/>
                      <w:highlight w:val="none"/>
                      <w:lang w:val="en-US" w:eastAsia="zh-CN" w:bidi="ar"/>
                    </w:rPr>
                    <w:drawing>
                      <wp:inline distT="0" distB="0" distL="114300" distR="114300">
                        <wp:extent cx="1320800" cy="1761490"/>
                        <wp:effectExtent l="0" t="0" r="12700" b="10160"/>
                        <wp:docPr id="42" name="图片 42" descr="6a3fddaccb7fa1fa801645332a246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6a3fddaccb7fa1fa801645332a246d5"/>
                                <pic:cNvPicPr>
                                  <a:picLocks noChangeAspect="1"/>
                                </pic:cNvPicPr>
                              </pic:nvPicPr>
                              <pic:blipFill>
                                <a:blip r:embed="rId29"/>
                                <a:stretch>
                                  <a:fillRect/>
                                </a:stretch>
                              </pic:blipFill>
                              <pic:spPr>
                                <a:xfrm>
                                  <a:off x="0" y="0"/>
                                  <a:ext cx="1320800" cy="1761490"/>
                                </a:xfrm>
                                <a:prstGeom prst="rect">
                                  <a:avLst/>
                                </a:prstGeom>
                              </pic:spPr>
                            </pic:pic>
                          </a:graphicData>
                        </a:graphic>
                      </wp:inline>
                    </w:drawing>
                  </w:r>
                </w:p>
              </w:tc>
            </w:tr>
            <w:tr w14:paraId="0B19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2302" w:type="pct"/>
                  <w:noWrap w:val="0"/>
                  <w:vAlign w:val="center"/>
                </w:tcPr>
                <w:p w14:paraId="777761DA">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一般固废库屋顶破损</w:t>
                  </w:r>
                </w:p>
              </w:tc>
              <w:tc>
                <w:tcPr>
                  <w:tcW w:w="2697" w:type="pct"/>
                  <w:noWrap w:val="0"/>
                  <w:vAlign w:val="top"/>
                </w:tcPr>
                <w:p w14:paraId="133740EF">
                  <w:pPr>
                    <w:keepNext w:val="0"/>
                    <w:keepLines w:val="0"/>
                    <w:pageBreakBefore w:val="0"/>
                    <w:widowControl/>
                    <w:suppressLineNumbers w:val="0"/>
                    <w:kinsoku/>
                    <w:wordWrap/>
                    <w:overflowPunct/>
                    <w:topLinePunct w:val="0"/>
                    <w:autoSpaceDE/>
                    <w:autoSpaceDN/>
                    <w:bidi w:val="0"/>
                    <w:jc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危废间</w:t>
                  </w:r>
                </w:p>
              </w:tc>
            </w:tr>
          </w:tbl>
          <w:p w14:paraId="3C8FCD9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default" w:ascii="Times New Roman" w:hAnsi="Times New Roman" w:cs="Times New Roman"/>
                <w:bCs/>
                <w:color w:val="FF0000"/>
                <w:szCs w:val="21"/>
                <w:highlight w:val="none"/>
                <w:lang w:val="en-US"/>
              </w:rPr>
            </w:pPr>
          </w:p>
        </w:tc>
      </w:tr>
    </w:tbl>
    <w:p w14:paraId="386B724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val="0"/>
          <w:color w:val="FF0000"/>
          <w:sz w:val="21"/>
          <w:szCs w:val="21"/>
          <w:highlight w:val="none"/>
          <w:vertAlign w:val="baseline"/>
          <w:lang w:val="en-US" w:eastAsia="zh-CN"/>
        </w:rPr>
      </w:pPr>
    </w:p>
    <w:p w14:paraId="4BA5AE5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FF0000"/>
          <w:sz w:val="21"/>
          <w:szCs w:val="21"/>
          <w:highlight w:val="none"/>
          <w:vertAlign w:val="baseline"/>
          <w:lang w:val="en-US" w:eastAsia="zh-CN"/>
        </w:rPr>
        <w:sectPr>
          <w:pgSz w:w="11906" w:h="16838"/>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p w14:paraId="4B063F5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0" w:firstLineChars="0"/>
        <w:jc w:val="center"/>
        <w:textAlignment w:val="auto"/>
        <w:outlineLvl w:val="0"/>
        <w:rPr>
          <w:rFonts w:hint="eastAsia" w:ascii="Times New Roman" w:hAnsi="Times New Roman" w:eastAsia="宋体" w:cs="Times New Roman"/>
          <w:b/>
          <w:bCs/>
          <w:color w:val="auto"/>
          <w:kern w:val="2"/>
          <w:sz w:val="30"/>
          <w:szCs w:val="30"/>
          <w:lang w:val="en-US" w:eastAsia="zh-CN"/>
        </w:rPr>
      </w:pPr>
      <w:bookmarkStart w:id="6" w:name="_Toc20579"/>
      <w:r>
        <w:rPr>
          <w:rFonts w:hint="eastAsia" w:ascii="Times New Roman" w:hAnsi="Times New Roman" w:eastAsia="宋体" w:cs="Times New Roman"/>
          <w:b/>
          <w:bCs/>
          <w:color w:val="auto"/>
          <w:kern w:val="2"/>
          <w:sz w:val="30"/>
          <w:szCs w:val="30"/>
          <w:lang w:val="en-US" w:eastAsia="zh-CN"/>
        </w:rPr>
        <w:t>三、区域环境质量现状、环境保护目标及评价标准</w:t>
      </w:r>
      <w:bookmarkEnd w:id="6"/>
    </w:p>
    <w:tbl>
      <w:tblPr>
        <w:tblStyle w:val="3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13"/>
        <w:gridCol w:w="8876"/>
      </w:tblGrid>
      <w:tr w14:paraId="42ECD3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13" w:type="dxa"/>
            <w:noWrap w:val="0"/>
            <w:vAlign w:val="center"/>
          </w:tcPr>
          <w:p w14:paraId="6188770E">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区域</w:t>
            </w:r>
          </w:p>
          <w:p w14:paraId="5F155F8E">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环境</w:t>
            </w:r>
          </w:p>
          <w:p w14:paraId="11138875">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质量</w:t>
            </w:r>
          </w:p>
          <w:p w14:paraId="535F0398">
            <w:pPr>
              <w:adjustRightInd w:val="0"/>
              <w:snapToGrid w:val="0"/>
              <w:jc w:val="center"/>
              <w:rPr>
                <w:rFonts w:hint="default" w:ascii="Times New Roman" w:hAnsi="Times New Roman" w:cs="Times New Roman"/>
                <w:b/>
                <w:bCs/>
                <w:color w:val="FF0000"/>
                <w:kern w:val="0"/>
                <w:sz w:val="24"/>
                <w:szCs w:val="24"/>
                <w:highlight w:val="none"/>
              </w:rPr>
            </w:pPr>
            <w:r>
              <w:rPr>
                <w:rFonts w:hint="default" w:ascii="Times New Roman" w:hAnsi="Times New Roman" w:cs="Times New Roman"/>
                <w:b/>
                <w:bCs/>
                <w:color w:val="auto"/>
                <w:kern w:val="0"/>
                <w:sz w:val="24"/>
                <w:szCs w:val="24"/>
                <w:highlight w:val="none"/>
              </w:rPr>
              <w:t>现状</w:t>
            </w:r>
          </w:p>
        </w:tc>
        <w:tc>
          <w:tcPr>
            <w:tcW w:w="8876" w:type="dxa"/>
            <w:noWrap w:val="0"/>
            <w:vAlign w:val="center"/>
          </w:tcPr>
          <w:p w14:paraId="36428A2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default" w:ascii="Times New Roman" w:hAnsi="Times New Roman" w:eastAsia="宋体" w:cs="Times New Roman"/>
                <w:b/>
                <w:bCs/>
                <w:color w:val="auto"/>
                <w:kern w:val="2"/>
                <w:sz w:val="24"/>
                <w:szCs w:val="24"/>
                <w:lang w:val="en-US" w:eastAsia="zh-CN"/>
              </w:rPr>
              <w:t>地表水环境质量现状</w:t>
            </w:r>
          </w:p>
          <w:p w14:paraId="04942EE1">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根据《环境影响评价技术导则 地表水环境》（HJ 2.3-2018），水环境质量现状调查应优先采用国务院生态环境保护主管部门统一发布的水环境状况信息。</w:t>
            </w:r>
          </w:p>
          <w:p w14:paraId="19F7F490">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根据《2024年青阳县生态环境监测工作方案》，2024年1—12月对境内湖泊和河流地表水开展监测（境内主要河流——青通河、七星河、东河、九华河、陵阳河、牛桥水库共十三个断面：牛桥水库、青通河牛桥断面、青通河青山断面、青通河大桥断面、青通河元桥断面、青通河河口断面、东河杨田断面、东河元桥断面、七星河南河330国道断面、七星河河口断面、九华河三元桥断面、九华河庙前断面、陵阳河陵阳断面）。水质监测4次，共检测24项指标，青通河河口断面水质年均值符合《地表水环境质量标准》（GB3838-2002）中的Ⅱ类标准，其他断面水质年均值符合《地表水环境质量标准》（GB3838-2002）中的Ⅲ类标准，水质优良，达标率为100%，满足地表水功能要求。地表水环境质量较2023年没有明显变化。</w:t>
            </w:r>
          </w:p>
          <w:p w14:paraId="3965AFBD">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综上，项目所在区域地表水环境质量现状较好，对本项目的建设无制约。</w:t>
            </w:r>
          </w:p>
          <w:p w14:paraId="42B2C1C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val="en-US" w:eastAsia="zh-CN"/>
              </w:rPr>
              <w:t>大气环境质量现状</w:t>
            </w:r>
          </w:p>
          <w:p w14:paraId="02E57D9C">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（1）</w:t>
            </w:r>
            <w:r>
              <w:rPr>
                <w:rFonts w:hint="eastAsia" w:ascii="Times New Roman" w:cs="Times New Roman"/>
                <w:color w:val="auto"/>
                <w:kern w:val="2"/>
                <w:sz w:val="24"/>
                <w:szCs w:val="22"/>
                <w:highlight w:val="none"/>
                <w:lang w:val="en-US" w:eastAsia="zh-CN"/>
              </w:rPr>
              <w:t>常规</w:t>
            </w:r>
            <w:r>
              <w:rPr>
                <w:rFonts w:hint="default" w:ascii="Times New Roman" w:hAnsi="Times New Roman" w:eastAsia="宋体" w:cs="Times New Roman"/>
                <w:color w:val="auto"/>
                <w:kern w:val="2"/>
                <w:sz w:val="24"/>
                <w:szCs w:val="22"/>
                <w:highlight w:val="none"/>
                <w:lang w:val="en-US" w:eastAsia="zh-CN"/>
              </w:rPr>
              <w:t>污染物环境质量现状</w:t>
            </w:r>
          </w:p>
          <w:p w14:paraId="560BCC9F">
            <w:pPr>
              <w:keepNext w:val="0"/>
              <w:keepLines w:val="0"/>
              <w:pageBreakBefore w:val="0"/>
              <w:kinsoku/>
              <w:wordWrap/>
              <w:overflowPunct/>
              <w:topLinePunct w:val="0"/>
              <w:autoSpaceDE/>
              <w:autoSpaceDN/>
              <w:bidi w:val="0"/>
              <w:adjustRightInd/>
              <w:snapToGrid/>
              <w:spacing w:line="480" w:lineRule="atLeast"/>
              <w:ind w:right="0" w:firstLine="480" w:firstLineChars="200"/>
              <w:textAlignment w:val="auto"/>
              <w:rPr>
                <w:rFonts w:hint="default" w:ascii="Times New Roman" w:hAnsi="Times New Roman" w:eastAsia="宋体" w:cs="Times New Roman"/>
                <w:bCs/>
                <w:caps w:val="0"/>
                <w:color w:val="auto"/>
                <w:spacing w:val="0"/>
                <w:w w:val="100"/>
                <w:position w:val="0"/>
                <w:sz w:val="24"/>
              </w:rPr>
            </w:pPr>
            <w:r>
              <w:rPr>
                <w:rFonts w:hint="default" w:ascii="Times New Roman" w:hAnsi="Times New Roman" w:eastAsia="宋体" w:cs="Times New Roman"/>
                <w:color w:val="auto"/>
                <w:sz w:val="24"/>
              </w:rPr>
              <w:t>根据《建设项目环境影响报告表编制技术指南》（污染影响类）：“1.大气环境。常规污染物引用与建设项目距离近的有效数据，包括近3年的规划环境影响评价的监测数据，国家、地方环境空气质量监测网数据或生态环境主管部门公开发布的质量数据等。排放国家、地方环境空气质量标准中有标准限值要求的特征污染物时，引用建设项目周边5千米范围内近3年的现有监测数据，无相关数据的选择当季主导风向下风向1个点位补充不少于3天的监测数据。”。</w:t>
            </w:r>
          </w:p>
          <w:p w14:paraId="3661DEF1">
            <w:pPr>
              <w:keepNext w:val="0"/>
              <w:keepLines w:val="0"/>
              <w:pageBreakBefore w:val="0"/>
              <w:kinsoku/>
              <w:wordWrap/>
              <w:overflowPunct/>
              <w:topLinePunct w:val="0"/>
              <w:autoSpaceDE/>
              <w:autoSpaceDN/>
              <w:bidi w:val="0"/>
              <w:adjustRightInd/>
              <w:snapToGrid/>
              <w:spacing w:line="480" w:lineRule="atLeast"/>
              <w:ind w:right="0" w:firstLine="480" w:firstLineChars="200"/>
              <w:textAlignment w:val="auto"/>
              <w:rPr>
                <w:rFonts w:hint="default" w:ascii="Times New Roman" w:hAnsi="Times New Roman" w:eastAsia="宋体" w:cs="Times New Roman"/>
                <w:bCs/>
                <w:caps w:val="0"/>
                <w:color w:val="auto"/>
                <w:spacing w:val="0"/>
                <w:w w:val="100"/>
                <w:position w:val="0"/>
                <w:sz w:val="24"/>
              </w:rPr>
            </w:pPr>
            <w:r>
              <w:rPr>
                <w:rFonts w:hint="default" w:ascii="Times New Roman" w:hAnsi="Times New Roman" w:eastAsia="宋体" w:cs="Times New Roman"/>
                <w:bCs/>
                <w:caps w:val="0"/>
                <w:color w:val="auto"/>
                <w:spacing w:val="0"/>
                <w:w w:val="100"/>
                <w:position w:val="0"/>
                <w:sz w:val="24"/>
                <w:lang w:val="en-US" w:eastAsia="zh-CN"/>
              </w:rPr>
              <w:t>根据</w:t>
            </w:r>
            <w:r>
              <w:rPr>
                <w:rFonts w:hint="default" w:ascii="Times New Roman" w:hAnsi="Times New Roman" w:eastAsia="宋体" w:cs="Times New Roman"/>
                <w:bCs/>
                <w:caps w:val="0"/>
                <w:color w:val="auto"/>
                <w:spacing w:val="0"/>
                <w:w w:val="100"/>
                <w:position w:val="0"/>
                <w:sz w:val="24"/>
              </w:rPr>
              <w:t>《20</w:t>
            </w:r>
            <w:r>
              <w:rPr>
                <w:rFonts w:hint="default" w:ascii="Times New Roman" w:hAnsi="Times New Roman" w:eastAsia="宋体" w:cs="Times New Roman"/>
                <w:bCs/>
                <w:caps w:val="0"/>
                <w:color w:val="auto"/>
                <w:spacing w:val="0"/>
                <w:w w:val="100"/>
                <w:position w:val="0"/>
                <w:sz w:val="24"/>
                <w:lang w:val="en-US" w:eastAsia="zh-CN"/>
              </w:rPr>
              <w:t>2</w:t>
            </w:r>
            <w:r>
              <w:rPr>
                <w:rFonts w:hint="eastAsia" w:ascii="Times New Roman" w:hAnsi="Times New Roman" w:eastAsia="宋体" w:cs="Times New Roman"/>
                <w:bCs/>
                <w:caps w:val="0"/>
                <w:color w:val="auto"/>
                <w:spacing w:val="0"/>
                <w:w w:val="100"/>
                <w:position w:val="0"/>
                <w:sz w:val="24"/>
                <w:lang w:val="en-US" w:eastAsia="zh-CN"/>
              </w:rPr>
              <w:t>4</w:t>
            </w:r>
            <w:r>
              <w:rPr>
                <w:rFonts w:hint="default" w:ascii="Times New Roman" w:hAnsi="Times New Roman" w:eastAsia="宋体" w:cs="Times New Roman"/>
                <w:bCs/>
                <w:caps w:val="0"/>
                <w:color w:val="auto"/>
                <w:spacing w:val="0"/>
                <w:w w:val="100"/>
                <w:position w:val="0"/>
                <w:sz w:val="24"/>
              </w:rPr>
              <w:t>年青阳县环境质量状况公报》</w:t>
            </w:r>
            <w:r>
              <w:rPr>
                <w:rFonts w:hint="default" w:ascii="Times New Roman" w:hAnsi="Times New Roman" w:eastAsia="宋体" w:cs="Times New Roman"/>
                <w:bCs/>
                <w:caps w:val="0"/>
                <w:color w:val="auto"/>
                <w:spacing w:val="0"/>
                <w:w w:val="100"/>
                <w:position w:val="0"/>
                <w:sz w:val="24"/>
                <w:lang w:eastAsia="zh-CN"/>
              </w:rPr>
              <w:t>，2024年，青阳县城区环境空气质量达到优、良天数共341天，优良率93.4%，较去年同期相比提高了1.1%。影响城区环境空气质量的主要污染物是可吸入颗粒物、细颗粒物和臭氧。环境空气中二氧化硫（SO</w:t>
            </w:r>
            <w:r>
              <w:rPr>
                <w:rFonts w:hint="default" w:ascii="Times New Roman" w:hAnsi="Times New Roman" w:eastAsia="宋体" w:cs="Times New Roman"/>
                <w:bCs/>
                <w:caps w:val="0"/>
                <w:color w:val="auto"/>
                <w:spacing w:val="0"/>
                <w:w w:val="100"/>
                <w:position w:val="0"/>
                <w:sz w:val="24"/>
                <w:vertAlign w:val="subscript"/>
                <w:lang w:eastAsia="zh-CN"/>
              </w:rPr>
              <w:t>2</w:t>
            </w:r>
            <w:r>
              <w:rPr>
                <w:rFonts w:hint="default" w:ascii="Times New Roman" w:hAnsi="Times New Roman" w:eastAsia="宋体" w:cs="Times New Roman"/>
                <w:bCs/>
                <w:caps w:val="0"/>
                <w:color w:val="auto"/>
                <w:spacing w:val="0"/>
                <w:w w:val="100"/>
                <w:position w:val="0"/>
                <w:sz w:val="24"/>
                <w:lang w:eastAsia="zh-CN"/>
              </w:rPr>
              <w:t>）、二氧化氮（NO</w:t>
            </w:r>
            <w:r>
              <w:rPr>
                <w:rFonts w:hint="default" w:ascii="Times New Roman" w:hAnsi="Times New Roman" w:eastAsia="宋体" w:cs="Times New Roman"/>
                <w:bCs/>
                <w:caps w:val="0"/>
                <w:color w:val="auto"/>
                <w:spacing w:val="0"/>
                <w:w w:val="100"/>
                <w:position w:val="0"/>
                <w:sz w:val="24"/>
                <w:vertAlign w:val="subscript"/>
                <w:lang w:eastAsia="zh-CN"/>
              </w:rPr>
              <w:t>2</w:t>
            </w:r>
            <w:r>
              <w:rPr>
                <w:rFonts w:hint="default" w:ascii="Times New Roman" w:hAnsi="Times New Roman" w:eastAsia="宋体" w:cs="Times New Roman"/>
                <w:bCs/>
                <w:caps w:val="0"/>
                <w:color w:val="auto"/>
                <w:spacing w:val="0"/>
                <w:w w:val="100"/>
                <w:position w:val="0"/>
                <w:sz w:val="24"/>
                <w:lang w:eastAsia="zh-CN"/>
              </w:rPr>
              <w:t>）、可吸入颗粒物（PM</w:t>
            </w:r>
            <w:r>
              <w:rPr>
                <w:rFonts w:hint="default" w:ascii="Times New Roman" w:hAnsi="Times New Roman" w:eastAsia="宋体" w:cs="Times New Roman"/>
                <w:bCs/>
                <w:caps w:val="0"/>
                <w:color w:val="auto"/>
                <w:spacing w:val="0"/>
                <w:w w:val="100"/>
                <w:position w:val="0"/>
                <w:sz w:val="24"/>
                <w:vertAlign w:val="subscript"/>
                <w:lang w:eastAsia="zh-CN"/>
              </w:rPr>
              <w:t>10</w:t>
            </w:r>
            <w:r>
              <w:rPr>
                <w:rFonts w:hint="default" w:ascii="Times New Roman" w:hAnsi="Times New Roman" w:eastAsia="宋体" w:cs="Times New Roman"/>
                <w:bCs/>
                <w:caps w:val="0"/>
                <w:color w:val="auto"/>
                <w:spacing w:val="0"/>
                <w:w w:val="100"/>
                <w:position w:val="0"/>
                <w:sz w:val="24"/>
                <w:lang w:eastAsia="zh-CN"/>
              </w:rPr>
              <w:t>）、细颗粒物（PM</w:t>
            </w:r>
            <w:r>
              <w:rPr>
                <w:rFonts w:hint="default" w:ascii="Times New Roman" w:hAnsi="Times New Roman" w:eastAsia="宋体" w:cs="Times New Roman"/>
                <w:bCs/>
                <w:caps w:val="0"/>
                <w:color w:val="auto"/>
                <w:spacing w:val="0"/>
                <w:w w:val="100"/>
                <w:position w:val="0"/>
                <w:sz w:val="24"/>
                <w:vertAlign w:val="subscript"/>
                <w:lang w:eastAsia="zh-CN"/>
              </w:rPr>
              <w:t>2.5</w:t>
            </w:r>
            <w:r>
              <w:rPr>
                <w:rFonts w:hint="default" w:ascii="Times New Roman" w:hAnsi="Times New Roman" w:eastAsia="宋体" w:cs="Times New Roman"/>
                <w:bCs/>
                <w:caps w:val="0"/>
                <w:color w:val="auto"/>
                <w:spacing w:val="0"/>
                <w:w w:val="100"/>
                <w:position w:val="0"/>
                <w:sz w:val="24"/>
                <w:lang w:eastAsia="zh-CN"/>
              </w:rPr>
              <w:t>）年均浓度分别为7微克/立方米、17微克/立方米、54微克/立方米、29微克/立方米，一氧化碳（CO）24小时平均第95百分位数浓度为1.1毫克/立方米，臭氧（O</w:t>
            </w:r>
            <w:r>
              <w:rPr>
                <w:rFonts w:hint="default" w:ascii="Times New Roman" w:hAnsi="Times New Roman" w:eastAsia="宋体" w:cs="Times New Roman"/>
                <w:bCs/>
                <w:caps w:val="0"/>
                <w:color w:val="auto"/>
                <w:spacing w:val="0"/>
                <w:w w:val="100"/>
                <w:position w:val="0"/>
                <w:sz w:val="24"/>
                <w:vertAlign w:val="subscript"/>
                <w:lang w:eastAsia="zh-CN"/>
              </w:rPr>
              <w:t>3</w:t>
            </w:r>
            <w:r>
              <w:rPr>
                <w:rFonts w:hint="default" w:ascii="Times New Roman" w:hAnsi="Times New Roman" w:eastAsia="宋体" w:cs="Times New Roman"/>
                <w:bCs/>
                <w:caps w:val="0"/>
                <w:color w:val="auto"/>
                <w:spacing w:val="0"/>
                <w:w w:val="100"/>
                <w:position w:val="0"/>
                <w:sz w:val="24"/>
                <w:lang w:eastAsia="zh-CN"/>
              </w:rPr>
              <w:t>）日最大八小时平均第90百分位数浓度为138微克/立方米。PM</w:t>
            </w:r>
            <w:r>
              <w:rPr>
                <w:rFonts w:hint="default" w:ascii="Times New Roman" w:hAnsi="Times New Roman" w:eastAsia="宋体" w:cs="Times New Roman"/>
                <w:bCs/>
                <w:caps w:val="0"/>
                <w:color w:val="auto"/>
                <w:spacing w:val="0"/>
                <w:w w:val="100"/>
                <w:position w:val="0"/>
                <w:sz w:val="24"/>
                <w:vertAlign w:val="subscript"/>
                <w:lang w:eastAsia="zh-CN"/>
              </w:rPr>
              <w:t>10</w:t>
            </w:r>
            <w:r>
              <w:rPr>
                <w:rFonts w:hint="default" w:ascii="Times New Roman" w:hAnsi="Times New Roman" w:eastAsia="宋体" w:cs="Times New Roman"/>
                <w:bCs/>
                <w:caps w:val="0"/>
                <w:color w:val="auto"/>
                <w:spacing w:val="0"/>
                <w:w w:val="100"/>
                <w:position w:val="0"/>
                <w:sz w:val="24"/>
                <w:lang w:eastAsia="zh-CN"/>
              </w:rPr>
              <w:t>较去年同期相比保持不变，PM</w:t>
            </w:r>
            <w:r>
              <w:rPr>
                <w:rFonts w:hint="default" w:ascii="Times New Roman" w:hAnsi="Times New Roman" w:eastAsia="宋体" w:cs="Times New Roman"/>
                <w:bCs/>
                <w:caps w:val="0"/>
                <w:color w:val="auto"/>
                <w:spacing w:val="0"/>
                <w:w w:val="100"/>
                <w:position w:val="0"/>
                <w:sz w:val="24"/>
                <w:vertAlign w:val="subscript"/>
                <w:lang w:eastAsia="zh-CN"/>
              </w:rPr>
              <w:t>2.5</w:t>
            </w:r>
            <w:r>
              <w:rPr>
                <w:rFonts w:hint="default" w:ascii="Times New Roman" w:hAnsi="Times New Roman" w:eastAsia="宋体" w:cs="Times New Roman"/>
                <w:bCs/>
                <w:caps w:val="0"/>
                <w:color w:val="auto"/>
                <w:spacing w:val="0"/>
                <w:w w:val="100"/>
                <w:position w:val="0"/>
                <w:sz w:val="24"/>
                <w:lang w:eastAsia="zh-CN"/>
              </w:rPr>
              <w:t>较去年同期相比上升了7.4％。城区降水pH值年均值为7.34，全年未出现酸雨。城区空气降尘量为1.9吨/平方千米•月</w:t>
            </w:r>
            <w:r>
              <w:rPr>
                <w:rFonts w:hint="default" w:ascii="Times New Roman" w:hAnsi="Times New Roman" w:eastAsia="宋体" w:cs="Times New Roman"/>
                <w:bCs/>
                <w:caps w:val="0"/>
                <w:color w:val="auto"/>
                <w:spacing w:val="0"/>
                <w:w w:val="100"/>
                <w:position w:val="0"/>
                <w:sz w:val="24"/>
              </w:rPr>
              <w:t>。</w:t>
            </w:r>
          </w:p>
          <w:p w14:paraId="718E7743">
            <w:pPr>
              <w:keepNext w:val="0"/>
              <w:keepLines w:val="0"/>
              <w:pageBreakBefore w:val="0"/>
              <w:widowControl/>
              <w:suppressLineNumbers w:val="0"/>
              <w:kinsoku/>
              <w:wordWrap/>
              <w:overflowPunct/>
              <w:topLinePunct w:val="0"/>
              <w:autoSpaceDE/>
              <w:autoSpaceDN/>
              <w:bidi w:val="0"/>
              <w:adjustRightInd/>
              <w:snapToGrid/>
              <w:spacing w:line="480" w:lineRule="atLeast"/>
              <w:ind w:right="0" w:firstLine="0" w:firstLineChars="0"/>
              <w:jc w:val="center"/>
              <w:textAlignment w:val="auto"/>
              <w:rPr>
                <w:rFonts w:hint="default" w:ascii="Times New Roman" w:hAnsi="Times New Roman" w:eastAsia="宋体" w:cs="Times New Roman"/>
                <w:b/>
                <w:bCs/>
                <w:caps w:val="0"/>
                <w:color w:val="auto"/>
                <w:spacing w:val="0"/>
                <w:w w:val="100"/>
                <w:position w:val="0"/>
                <w:sz w:val="24"/>
                <w:szCs w:val="24"/>
              </w:rPr>
            </w:pPr>
            <w:r>
              <w:rPr>
                <w:rFonts w:hint="default" w:ascii="Times New Roman" w:hAnsi="Times New Roman" w:eastAsia="宋体" w:cs="Times New Roman"/>
                <w:b/>
                <w:bCs/>
                <w:caps w:val="0"/>
                <w:color w:val="auto"/>
                <w:spacing w:val="0"/>
                <w:w w:val="100"/>
                <w:position w:val="0"/>
                <w:sz w:val="21"/>
                <w:szCs w:val="21"/>
              </w:rPr>
              <w:t>表3-1  区域空气质量现状评价表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2001"/>
              <w:gridCol w:w="1605"/>
              <w:gridCol w:w="1440"/>
              <w:gridCol w:w="1095"/>
              <w:gridCol w:w="1127"/>
            </w:tblGrid>
            <w:tr w14:paraId="5D9C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69" w:type="dxa"/>
                  <w:tcBorders>
                    <w:tl2br w:val="nil"/>
                    <w:tr2bl w:val="nil"/>
                  </w:tcBorders>
                  <w:noWrap w:val="0"/>
                  <w:vAlign w:val="center"/>
                </w:tcPr>
                <w:p w14:paraId="3EA824FF">
                  <w:pPr>
                    <w:pStyle w:val="68"/>
                    <w:keepNext w:val="0"/>
                    <w:keepLines w:val="0"/>
                    <w:pageBreakBefore w:val="0"/>
                    <w:kinsoku/>
                    <w:wordWrap/>
                    <w:overflowPunct/>
                    <w:topLinePunct w:val="0"/>
                    <w:autoSpaceDE/>
                    <w:autoSpaceDN/>
                    <w:bidi w:val="0"/>
                    <w:spacing w:beforeLines="0" w:afterLines="0" w:line="240" w:lineRule="auto"/>
                    <w:ind w:firstLine="0"/>
                    <w:rPr>
                      <w:rFonts w:hint="default" w:ascii="Times New Roman" w:hAnsi="Times New Roman" w:eastAsia="宋体" w:cs="Times New Roman"/>
                      <w:b/>
                      <w:bCs/>
                      <w:caps w:val="0"/>
                      <w:color w:val="auto"/>
                      <w:spacing w:val="0"/>
                      <w:w w:val="100"/>
                      <w:position w:val="0"/>
                      <w:sz w:val="21"/>
                      <w:szCs w:val="21"/>
                      <w:highlight w:val="none"/>
                    </w:rPr>
                  </w:pPr>
                  <w:r>
                    <w:rPr>
                      <w:rFonts w:hint="default" w:ascii="Times New Roman" w:hAnsi="Times New Roman" w:eastAsia="宋体" w:cs="Times New Roman"/>
                      <w:b/>
                      <w:bCs/>
                      <w:caps w:val="0"/>
                      <w:color w:val="auto"/>
                      <w:spacing w:val="0"/>
                      <w:w w:val="100"/>
                      <w:position w:val="0"/>
                      <w:sz w:val="21"/>
                      <w:szCs w:val="21"/>
                      <w:highlight w:val="none"/>
                    </w:rPr>
                    <w:t>污染物</w:t>
                  </w:r>
                </w:p>
              </w:tc>
              <w:tc>
                <w:tcPr>
                  <w:tcW w:w="2001" w:type="dxa"/>
                  <w:tcBorders>
                    <w:tl2br w:val="nil"/>
                    <w:tr2bl w:val="nil"/>
                  </w:tcBorders>
                  <w:noWrap w:val="0"/>
                  <w:vAlign w:val="center"/>
                </w:tcPr>
                <w:p w14:paraId="3DFD0958">
                  <w:pPr>
                    <w:pStyle w:val="68"/>
                    <w:keepNext w:val="0"/>
                    <w:keepLines w:val="0"/>
                    <w:pageBreakBefore w:val="0"/>
                    <w:kinsoku/>
                    <w:wordWrap/>
                    <w:overflowPunct/>
                    <w:topLinePunct w:val="0"/>
                    <w:autoSpaceDE/>
                    <w:autoSpaceDN/>
                    <w:bidi w:val="0"/>
                    <w:spacing w:beforeLines="0" w:afterLines="0" w:line="240" w:lineRule="auto"/>
                    <w:ind w:firstLine="0"/>
                    <w:rPr>
                      <w:rFonts w:hint="default" w:ascii="Times New Roman" w:hAnsi="Times New Roman" w:eastAsia="宋体" w:cs="Times New Roman"/>
                      <w:b/>
                      <w:bCs/>
                      <w:caps w:val="0"/>
                      <w:color w:val="auto"/>
                      <w:spacing w:val="0"/>
                      <w:w w:val="100"/>
                      <w:position w:val="0"/>
                      <w:sz w:val="21"/>
                      <w:szCs w:val="21"/>
                      <w:highlight w:val="none"/>
                    </w:rPr>
                  </w:pPr>
                  <w:r>
                    <w:rPr>
                      <w:rFonts w:hint="default" w:ascii="Times New Roman" w:hAnsi="Times New Roman" w:eastAsia="宋体" w:cs="Times New Roman"/>
                      <w:b/>
                      <w:bCs/>
                      <w:caps w:val="0"/>
                      <w:color w:val="auto"/>
                      <w:spacing w:val="0"/>
                      <w:w w:val="100"/>
                      <w:position w:val="0"/>
                      <w:sz w:val="21"/>
                      <w:szCs w:val="21"/>
                      <w:highlight w:val="none"/>
                    </w:rPr>
                    <w:t>年评价指标</w:t>
                  </w:r>
                </w:p>
              </w:tc>
              <w:tc>
                <w:tcPr>
                  <w:tcW w:w="1605" w:type="dxa"/>
                  <w:tcBorders>
                    <w:tl2br w:val="nil"/>
                    <w:tr2bl w:val="nil"/>
                  </w:tcBorders>
                  <w:noWrap w:val="0"/>
                  <w:vAlign w:val="center"/>
                </w:tcPr>
                <w:p w14:paraId="0609A962">
                  <w:pPr>
                    <w:pStyle w:val="68"/>
                    <w:keepNext w:val="0"/>
                    <w:keepLines w:val="0"/>
                    <w:pageBreakBefore w:val="0"/>
                    <w:kinsoku/>
                    <w:wordWrap/>
                    <w:overflowPunct/>
                    <w:topLinePunct w:val="0"/>
                    <w:autoSpaceDE/>
                    <w:autoSpaceDN/>
                    <w:bidi w:val="0"/>
                    <w:spacing w:beforeLines="0" w:afterLines="0" w:line="240" w:lineRule="auto"/>
                    <w:ind w:firstLine="0"/>
                    <w:rPr>
                      <w:rFonts w:hint="default" w:ascii="Times New Roman" w:hAnsi="Times New Roman" w:eastAsia="宋体" w:cs="Times New Roman"/>
                      <w:b/>
                      <w:bCs/>
                      <w:caps w:val="0"/>
                      <w:color w:val="auto"/>
                      <w:spacing w:val="0"/>
                      <w:w w:val="100"/>
                      <w:position w:val="0"/>
                      <w:sz w:val="21"/>
                      <w:szCs w:val="21"/>
                      <w:highlight w:val="none"/>
                    </w:rPr>
                  </w:pPr>
                  <w:r>
                    <w:rPr>
                      <w:rFonts w:hint="default" w:ascii="Times New Roman" w:hAnsi="Times New Roman" w:eastAsia="宋体" w:cs="Times New Roman"/>
                      <w:b/>
                      <w:bCs/>
                      <w:caps w:val="0"/>
                      <w:color w:val="auto"/>
                      <w:spacing w:val="0"/>
                      <w:w w:val="100"/>
                      <w:position w:val="0"/>
                      <w:sz w:val="21"/>
                      <w:szCs w:val="21"/>
                      <w:highlight w:val="none"/>
                    </w:rPr>
                    <w:t>现状浓度μg/m</w:t>
                  </w:r>
                  <w:r>
                    <w:rPr>
                      <w:rFonts w:hint="default" w:ascii="Times New Roman" w:hAnsi="Times New Roman" w:eastAsia="宋体" w:cs="Times New Roman"/>
                      <w:b/>
                      <w:bCs/>
                      <w:caps w:val="0"/>
                      <w:color w:val="auto"/>
                      <w:spacing w:val="0"/>
                      <w:w w:val="100"/>
                      <w:position w:val="0"/>
                      <w:sz w:val="21"/>
                      <w:szCs w:val="21"/>
                      <w:highlight w:val="none"/>
                      <w:vertAlign w:val="superscript"/>
                    </w:rPr>
                    <w:t>3</w:t>
                  </w:r>
                </w:p>
              </w:tc>
              <w:tc>
                <w:tcPr>
                  <w:tcW w:w="1440" w:type="dxa"/>
                  <w:tcBorders>
                    <w:tl2br w:val="nil"/>
                    <w:tr2bl w:val="nil"/>
                  </w:tcBorders>
                  <w:noWrap w:val="0"/>
                  <w:vAlign w:val="center"/>
                </w:tcPr>
                <w:p w14:paraId="04FB0B80">
                  <w:pPr>
                    <w:pStyle w:val="68"/>
                    <w:keepNext w:val="0"/>
                    <w:keepLines w:val="0"/>
                    <w:pageBreakBefore w:val="0"/>
                    <w:kinsoku/>
                    <w:wordWrap/>
                    <w:overflowPunct/>
                    <w:topLinePunct w:val="0"/>
                    <w:autoSpaceDE/>
                    <w:autoSpaceDN/>
                    <w:bidi w:val="0"/>
                    <w:spacing w:beforeLines="0" w:afterLines="0" w:line="240" w:lineRule="auto"/>
                    <w:ind w:firstLine="0"/>
                    <w:rPr>
                      <w:rFonts w:hint="default" w:ascii="Times New Roman" w:hAnsi="Times New Roman" w:eastAsia="宋体" w:cs="Times New Roman"/>
                      <w:b/>
                      <w:bCs/>
                      <w:caps w:val="0"/>
                      <w:color w:val="auto"/>
                      <w:spacing w:val="0"/>
                      <w:w w:val="100"/>
                      <w:position w:val="0"/>
                      <w:sz w:val="21"/>
                      <w:szCs w:val="21"/>
                      <w:highlight w:val="none"/>
                    </w:rPr>
                  </w:pPr>
                  <w:r>
                    <w:rPr>
                      <w:rFonts w:hint="default" w:ascii="Times New Roman" w:hAnsi="Times New Roman" w:eastAsia="宋体" w:cs="Times New Roman"/>
                      <w:b/>
                      <w:bCs/>
                      <w:caps w:val="0"/>
                      <w:color w:val="auto"/>
                      <w:spacing w:val="0"/>
                      <w:w w:val="100"/>
                      <w:position w:val="0"/>
                      <w:sz w:val="21"/>
                      <w:szCs w:val="21"/>
                      <w:highlight w:val="none"/>
                    </w:rPr>
                    <w:t>标准值μg/m</w:t>
                  </w:r>
                  <w:r>
                    <w:rPr>
                      <w:rFonts w:hint="default" w:ascii="Times New Roman" w:hAnsi="Times New Roman" w:eastAsia="宋体" w:cs="Times New Roman"/>
                      <w:b/>
                      <w:bCs/>
                      <w:caps w:val="0"/>
                      <w:color w:val="auto"/>
                      <w:spacing w:val="0"/>
                      <w:w w:val="100"/>
                      <w:position w:val="0"/>
                      <w:sz w:val="21"/>
                      <w:szCs w:val="21"/>
                      <w:highlight w:val="none"/>
                      <w:vertAlign w:val="superscript"/>
                    </w:rPr>
                    <w:t>3</w:t>
                  </w:r>
                </w:p>
              </w:tc>
              <w:tc>
                <w:tcPr>
                  <w:tcW w:w="1095" w:type="dxa"/>
                  <w:tcBorders>
                    <w:tl2br w:val="nil"/>
                    <w:tr2bl w:val="nil"/>
                  </w:tcBorders>
                  <w:noWrap w:val="0"/>
                  <w:vAlign w:val="center"/>
                </w:tcPr>
                <w:p w14:paraId="6496509A">
                  <w:pPr>
                    <w:pStyle w:val="68"/>
                    <w:keepNext w:val="0"/>
                    <w:keepLines w:val="0"/>
                    <w:pageBreakBefore w:val="0"/>
                    <w:kinsoku/>
                    <w:wordWrap/>
                    <w:overflowPunct/>
                    <w:topLinePunct w:val="0"/>
                    <w:autoSpaceDE/>
                    <w:autoSpaceDN/>
                    <w:bidi w:val="0"/>
                    <w:spacing w:beforeLines="0" w:afterLines="0" w:line="240" w:lineRule="auto"/>
                    <w:ind w:firstLine="0"/>
                    <w:rPr>
                      <w:rFonts w:hint="default" w:ascii="Times New Roman" w:hAnsi="Times New Roman" w:eastAsia="宋体" w:cs="Times New Roman"/>
                      <w:b/>
                      <w:bCs/>
                      <w:caps w:val="0"/>
                      <w:color w:val="auto"/>
                      <w:spacing w:val="0"/>
                      <w:w w:val="100"/>
                      <w:position w:val="0"/>
                      <w:sz w:val="21"/>
                      <w:szCs w:val="21"/>
                      <w:highlight w:val="none"/>
                    </w:rPr>
                  </w:pPr>
                  <w:r>
                    <w:rPr>
                      <w:rFonts w:hint="default" w:ascii="Times New Roman" w:hAnsi="Times New Roman" w:eastAsia="宋体" w:cs="Times New Roman"/>
                      <w:b/>
                      <w:bCs/>
                      <w:caps w:val="0"/>
                      <w:color w:val="auto"/>
                      <w:spacing w:val="0"/>
                      <w:w w:val="100"/>
                      <w:position w:val="0"/>
                      <w:sz w:val="21"/>
                      <w:szCs w:val="21"/>
                      <w:highlight w:val="none"/>
                    </w:rPr>
                    <w:t>占标率%</w:t>
                  </w:r>
                </w:p>
              </w:tc>
              <w:tc>
                <w:tcPr>
                  <w:tcW w:w="1127" w:type="dxa"/>
                  <w:tcBorders>
                    <w:tl2br w:val="nil"/>
                    <w:tr2bl w:val="nil"/>
                  </w:tcBorders>
                  <w:noWrap w:val="0"/>
                  <w:vAlign w:val="center"/>
                </w:tcPr>
                <w:p w14:paraId="1D5E82CB">
                  <w:pPr>
                    <w:pStyle w:val="68"/>
                    <w:keepNext w:val="0"/>
                    <w:keepLines w:val="0"/>
                    <w:pageBreakBefore w:val="0"/>
                    <w:kinsoku/>
                    <w:wordWrap/>
                    <w:overflowPunct/>
                    <w:topLinePunct w:val="0"/>
                    <w:autoSpaceDE/>
                    <w:autoSpaceDN/>
                    <w:bidi w:val="0"/>
                    <w:spacing w:beforeLines="0" w:afterLines="0" w:line="240" w:lineRule="auto"/>
                    <w:ind w:firstLine="0"/>
                    <w:rPr>
                      <w:rFonts w:hint="default" w:ascii="Times New Roman" w:hAnsi="Times New Roman" w:eastAsia="宋体" w:cs="Times New Roman"/>
                      <w:b/>
                      <w:bCs/>
                      <w:caps w:val="0"/>
                      <w:color w:val="auto"/>
                      <w:spacing w:val="0"/>
                      <w:w w:val="100"/>
                      <w:position w:val="0"/>
                      <w:sz w:val="21"/>
                      <w:szCs w:val="21"/>
                      <w:highlight w:val="none"/>
                    </w:rPr>
                  </w:pPr>
                  <w:r>
                    <w:rPr>
                      <w:rFonts w:hint="default" w:ascii="Times New Roman" w:hAnsi="Times New Roman" w:eastAsia="宋体" w:cs="Times New Roman"/>
                      <w:b/>
                      <w:bCs/>
                      <w:caps w:val="0"/>
                      <w:color w:val="auto"/>
                      <w:spacing w:val="0"/>
                      <w:w w:val="100"/>
                      <w:position w:val="0"/>
                      <w:sz w:val="21"/>
                      <w:szCs w:val="21"/>
                      <w:highlight w:val="none"/>
                    </w:rPr>
                    <w:t>达标情况</w:t>
                  </w:r>
                </w:p>
              </w:tc>
            </w:tr>
            <w:tr w14:paraId="1DA5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069" w:type="dxa"/>
                  <w:tcBorders>
                    <w:tl2br w:val="nil"/>
                    <w:tr2bl w:val="nil"/>
                  </w:tcBorders>
                  <w:noWrap w:val="0"/>
                  <w:vAlign w:val="center"/>
                </w:tcPr>
                <w:p w14:paraId="14E25DAE">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SO</w:t>
                  </w:r>
                  <w:r>
                    <w:rPr>
                      <w:rFonts w:hint="default" w:ascii="Times New Roman" w:hAnsi="Times New Roman" w:eastAsia="宋体" w:cs="Times New Roman"/>
                      <w:b w:val="0"/>
                      <w:bCs/>
                      <w:color w:val="auto"/>
                      <w:sz w:val="21"/>
                      <w:szCs w:val="21"/>
                      <w:vertAlign w:val="subscript"/>
                    </w:rPr>
                    <w:t>2</w:t>
                  </w:r>
                </w:p>
              </w:tc>
              <w:tc>
                <w:tcPr>
                  <w:tcW w:w="2001" w:type="dxa"/>
                  <w:tcBorders>
                    <w:tl2br w:val="nil"/>
                    <w:tr2bl w:val="nil"/>
                  </w:tcBorders>
                  <w:noWrap w:val="0"/>
                  <w:vAlign w:val="center"/>
                </w:tcPr>
                <w:p w14:paraId="6B929588">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年平均质量浓度</w:t>
                  </w:r>
                </w:p>
              </w:tc>
              <w:tc>
                <w:tcPr>
                  <w:tcW w:w="1605" w:type="dxa"/>
                  <w:tcBorders>
                    <w:tl2br w:val="nil"/>
                    <w:tr2bl w:val="nil"/>
                  </w:tcBorders>
                  <w:noWrap w:val="0"/>
                  <w:vAlign w:val="center"/>
                </w:tcPr>
                <w:p w14:paraId="78C1E2B0">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val="en-US" w:eastAsia="zh-CN"/>
                    </w:rPr>
                  </w:pPr>
                  <w:r>
                    <w:rPr>
                      <w:rFonts w:hint="eastAsia" w:ascii="Times New Roman" w:hAnsi="Times New Roman" w:cs="Times New Roman"/>
                      <w:b w:val="0"/>
                      <w:bCs/>
                      <w:color w:val="auto"/>
                      <w:kern w:val="0"/>
                      <w:sz w:val="21"/>
                      <w:szCs w:val="21"/>
                      <w:lang w:val="en-US" w:eastAsia="zh-CN" w:bidi="ar-SA"/>
                    </w:rPr>
                    <w:t>7</w:t>
                  </w:r>
                </w:p>
              </w:tc>
              <w:tc>
                <w:tcPr>
                  <w:tcW w:w="1440" w:type="dxa"/>
                  <w:tcBorders>
                    <w:tl2br w:val="nil"/>
                    <w:tr2bl w:val="nil"/>
                  </w:tcBorders>
                  <w:noWrap w:val="0"/>
                  <w:vAlign w:val="center"/>
                </w:tcPr>
                <w:p w14:paraId="7FB5189D">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60</w:t>
                  </w:r>
                </w:p>
              </w:tc>
              <w:tc>
                <w:tcPr>
                  <w:tcW w:w="1095" w:type="dxa"/>
                  <w:tcBorders>
                    <w:tl2br w:val="nil"/>
                    <w:tr2bl w:val="nil"/>
                  </w:tcBorders>
                  <w:noWrap w:val="0"/>
                  <w:vAlign w:val="center"/>
                </w:tcPr>
                <w:p w14:paraId="5EA4116A">
                  <w:pPr>
                    <w:pStyle w:val="132"/>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11.7</w:t>
                  </w:r>
                </w:p>
              </w:tc>
              <w:tc>
                <w:tcPr>
                  <w:tcW w:w="1127" w:type="dxa"/>
                  <w:tcBorders>
                    <w:tl2br w:val="nil"/>
                    <w:tr2bl w:val="nil"/>
                  </w:tcBorders>
                  <w:noWrap w:val="0"/>
                  <w:vAlign w:val="center"/>
                </w:tcPr>
                <w:p w14:paraId="1C596F1A">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eastAsia="zh-CN"/>
                    </w:rPr>
                  </w:pPr>
                  <w:r>
                    <w:rPr>
                      <w:rFonts w:hint="default" w:ascii="Times New Roman" w:hAnsi="Times New Roman" w:eastAsia="宋体" w:cs="Times New Roman"/>
                      <w:b w:val="0"/>
                      <w:bCs/>
                      <w:color w:val="auto"/>
                      <w:sz w:val="21"/>
                      <w:szCs w:val="21"/>
                      <w:lang w:val="en-US" w:eastAsia="zh-CN"/>
                    </w:rPr>
                    <w:t>达标</w:t>
                  </w:r>
                </w:p>
              </w:tc>
            </w:tr>
            <w:tr w14:paraId="08B8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069" w:type="dxa"/>
                  <w:tcBorders>
                    <w:tl2br w:val="nil"/>
                    <w:tr2bl w:val="nil"/>
                  </w:tcBorders>
                  <w:noWrap w:val="0"/>
                  <w:vAlign w:val="center"/>
                </w:tcPr>
                <w:p w14:paraId="1E7CF1A1">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NO</w:t>
                  </w:r>
                  <w:r>
                    <w:rPr>
                      <w:rFonts w:hint="default" w:ascii="Times New Roman" w:hAnsi="Times New Roman" w:eastAsia="宋体" w:cs="Times New Roman"/>
                      <w:b w:val="0"/>
                      <w:bCs/>
                      <w:color w:val="auto"/>
                      <w:sz w:val="21"/>
                      <w:szCs w:val="21"/>
                      <w:vertAlign w:val="subscript"/>
                    </w:rPr>
                    <w:t>2</w:t>
                  </w:r>
                </w:p>
              </w:tc>
              <w:tc>
                <w:tcPr>
                  <w:tcW w:w="2001" w:type="dxa"/>
                  <w:tcBorders>
                    <w:tl2br w:val="nil"/>
                    <w:tr2bl w:val="nil"/>
                  </w:tcBorders>
                  <w:noWrap w:val="0"/>
                  <w:vAlign w:val="center"/>
                </w:tcPr>
                <w:p w14:paraId="3B7C0426">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年平均质量浓度</w:t>
                  </w:r>
                </w:p>
              </w:tc>
              <w:tc>
                <w:tcPr>
                  <w:tcW w:w="1605" w:type="dxa"/>
                  <w:tcBorders>
                    <w:tl2br w:val="nil"/>
                    <w:tr2bl w:val="nil"/>
                  </w:tcBorders>
                  <w:noWrap w:val="0"/>
                  <w:vAlign w:val="center"/>
                </w:tcPr>
                <w:p w14:paraId="086FF969">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val="en-US" w:eastAsia="zh-CN"/>
                    </w:rPr>
                  </w:pPr>
                  <w:r>
                    <w:rPr>
                      <w:rFonts w:hint="eastAsia" w:ascii="Times New Roman" w:hAnsi="Times New Roman" w:cs="Times New Roman"/>
                      <w:b w:val="0"/>
                      <w:bCs/>
                      <w:color w:val="auto"/>
                      <w:kern w:val="0"/>
                      <w:sz w:val="21"/>
                      <w:szCs w:val="21"/>
                      <w:lang w:val="en-US" w:eastAsia="zh-CN" w:bidi="ar-SA"/>
                    </w:rPr>
                    <w:t>17</w:t>
                  </w:r>
                </w:p>
              </w:tc>
              <w:tc>
                <w:tcPr>
                  <w:tcW w:w="1440" w:type="dxa"/>
                  <w:tcBorders>
                    <w:tl2br w:val="nil"/>
                    <w:tr2bl w:val="nil"/>
                  </w:tcBorders>
                  <w:noWrap w:val="0"/>
                  <w:vAlign w:val="center"/>
                </w:tcPr>
                <w:p w14:paraId="0702E541">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40</w:t>
                  </w:r>
                </w:p>
              </w:tc>
              <w:tc>
                <w:tcPr>
                  <w:tcW w:w="1095" w:type="dxa"/>
                  <w:tcBorders>
                    <w:tl2br w:val="nil"/>
                    <w:tr2bl w:val="nil"/>
                  </w:tcBorders>
                  <w:noWrap w:val="0"/>
                  <w:vAlign w:val="center"/>
                </w:tcPr>
                <w:p w14:paraId="3A4F10EB">
                  <w:pPr>
                    <w:pStyle w:val="132"/>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42.5</w:t>
                  </w:r>
                </w:p>
              </w:tc>
              <w:tc>
                <w:tcPr>
                  <w:tcW w:w="1127" w:type="dxa"/>
                  <w:tcBorders>
                    <w:tl2br w:val="nil"/>
                    <w:tr2bl w:val="nil"/>
                  </w:tcBorders>
                  <w:noWrap w:val="0"/>
                  <w:vAlign w:val="center"/>
                </w:tcPr>
                <w:p w14:paraId="442C5923">
                  <w:pPr>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lang w:val="en-US" w:eastAsia="zh-CN"/>
                    </w:rPr>
                    <w:t>达标</w:t>
                  </w:r>
                </w:p>
              </w:tc>
            </w:tr>
            <w:tr w14:paraId="335D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069" w:type="dxa"/>
                  <w:tcBorders>
                    <w:tl2br w:val="nil"/>
                    <w:tr2bl w:val="nil"/>
                  </w:tcBorders>
                  <w:noWrap w:val="0"/>
                  <w:vAlign w:val="center"/>
                </w:tcPr>
                <w:p w14:paraId="02CE3B90">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CO</w:t>
                  </w:r>
                </w:p>
              </w:tc>
              <w:tc>
                <w:tcPr>
                  <w:tcW w:w="2001" w:type="dxa"/>
                  <w:tcBorders>
                    <w:tl2br w:val="nil"/>
                    <w:tr2bl w:val="nil"/>
                  </w:tcBorders>
                  <w:noWrap w:val="0"/>
                  <w:vAlign w:val="center"/>
                </w:tcPr>
                <w:p w14:paraId="053791E5">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24h平均质量浓度</w:t>
                  </w:r>
                </w:p>
              </w:tc>
              <w:tc>
                <w:tcPr>
                  <w:tcW w:w="1605" w:type="dxa"/>
                  <w:tcBorders>
                    <w:tl2br w:val="nil"/>
                    <w:tr2bl w:val="nil"/>
                  </w:tcBorders>
                  <w:noWrap w:val="0"/>
                  <w:vAlign w:val="center"/>
                </w:tcPr>
                <w:p w14:paraId="4B16EF5C">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val="en-US"/>
                    </w:rPr>
                  </w:pPr>
                  <w:r>
                    <w:rPr>
                      <w:rFonts w:hint="eastAsia" w:ascii="Times New Roman" w:hAnsi="Times New Roman" w:cs="Times New Roman"/>
                      <w:b w:val="0"/>
                      <w:bCs/>
                      <w:color w:val="auto"/>
                      <w:kern w:val="0"/>
                      <w:sz w:val="21"/>
                      <w:szCs w:val="21"/>
                      <w:lang w:val="en-US" w:eastAsia="zh-CN" w:bidi="ar-SA"/>
                    </w:rPr>
                    <w:t>1100</w:t>
                  </w:r>
                </w:p>
              </w:tc>
              <w:tc>
                <w:tcPr>
                  <w:tcW w:w="1440" w:type="dxa"/>
                  <w:tcBorders>
                    <w:tl2br w:val="nil"/>
                    <w:tr2bl w:val="nil"/>
                  </w:tcBorders>
                  <w:noWrap w:val="0"/>
                  <w:vAlign w:val="center"/>
                </w:tcPr>
                <w:p w14:paraId="6D65627E">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4000</w:t>
                  </w:r>
                </w:p>
              </w:tc>
              <w:tc>
                <w:tcPr>
                  <w:tcW w:w="1095" w:type="dxa"/>
                  <w:tcBorders>
                    <w:tl2br w:val="nil"/>
                    <w:tr2bl w:val="nil"/>
                  </w:tcBorders>
                  <w:noWrap w:val="0"/>
                  <w:vAlign w:val="center"/>
                </w:tcPr>
                <w:p w14:paraId="0FD342F1">
                  <w:pPr>
                    <w:pStyle w:val="132"/>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27.5</w:t>
                  </w:r>
                </w:p>
              </w:tc>
              <w:tc>
                <w:tcPr>
                  <w:tcW w:w="1127" w:type="dxa"/>
                  <w:tcBorders>
                    <w:tl2br w:val="nil"/>
                    <w:tr2bl w:val="nil"/>
                  </w:tcBorders>
                  <w:noWrap w:val="0"/>
                  <w:vAlign w:val="center"/>
                </w:tcPr>
                <w:p w14:paraId="2D99BEE1">
                  <w:pPr>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lang w:val="en-US" w:eastAsia="zh-CN"/>
                    </w:rPr>
                    <w:t>达标</w:t>
                  </w:r>
                </w:p>
              </w:tc>
            </w:tr>
            <w:tr w14:paraId="27CB8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69" w:type="dxa"/>
                  <w:tcBorders>
                    <w:tl2br w:val="nil"/>
                    <w:tr2bl w:val="nil"/>
                  </w:tcBorders>
                  <w:noWrap w:val="0"/>
                  <w:vAlign w:val="center"/>
                </w:tcPr>
                <w:p w14:paraId="3A7AD31A">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O</w:t>
                  </w:r>
                  <w:r>
                    <w:rPr>
                      <w:rFonts w:hint="default" w:ascii="Times New Roman" w:hAnsi="Times New Roman" w:eastAsia="宋体" w:cs="Times New Roman"/>
                      <w:b w:val="0"/>
                      <w:bCs/>
                      <w:color w:val="auto"/>
                      <w:sz w:val="21"/>
                      <w:szCs w:val="21"/>
                      <w:vertAlign w:val="subscript"/>
                    </w:rPr>
                    <w:t>3</w:t>
                  </w:r>
                </w:p>
              </w:tc>
              <w:tc>
                <w:tcPr>
                  <w:tcW w:w="2001" w:type="dxa"/>
                  <w:tcBorders>
                    <w:tl2br w:val="nil"/>
                    <w:tr2bl w:val="nil"/>
                  </w:tcBorders>
                  <w:noWrap w:val="0"/>
                  <w:vAlign w:val="center"/>
                </w:tcPr>
                <w:p w14:paraId="1B190ADE">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日最大8h平均</w:t>
                  </w:r>
                </w:p>
              </w:tc>
              <w:tc>
                <w:tcPr>
                  <w:tcW w:w="1605" w:type="dxa"/>
                  <w:tcBorders>
                    <w:tl2br w:val="nil"/>
                    <w:tr2bl w:val="nil"/>
                  </w:tcBorders>
                  <w:noWrap w:val="0"/>
                  <w:vAlign w:val="center"/>
                </w:tcPr>
                <w:p w14:paraId="0573601A">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val="en-US" w:eastAsia="zh-CN"/>
                    </w:rPr>
                  </w:pPr>
                  <w:r>
                    <w:rPr>
                      <w:rFonts w:hint="eastAsia" w:ascii="Times New Roman" w:hAnsi="Times New Roman" w:cs="Times New Roman"/>
                      <w:b w:val="0"/>
                      <w:bCs/>
                      <w:color w:val="auto"/>
                      <w:kern w:val="0"/>
                      <w:sz w:val="21"/>
                      <w:szCs w:val="21"/>
                      <w:lang w:val="en-US" w:eastAsia="zh-CN" w:bidi="ar-SA"/>
                    </w:rPr>
                    <w:t>138</w:t>
                  </w:r>
                </w:p>
              </w:tc>
              <w:tc>
                <w:tcPr>
                  <w:tcW w:w="1440" w:type="dxa"/>
                  <w:tcBorders>
                    <w:tl2br w:val="nil"/>
                    <w:tr2bl w:val="nil"/>
                  </w:tcBorders>
                  <w:noWrap w:val="0"/>
                  <w:vAlign w:val="center"/>
                </w:tcPr>
                <w:p w14:paraId="491F1442">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160</w:t>
                  </w:r>
                </w:p>
              </w:tc>
              <w:tc>
                <w:tcPr>
                  <w:tcW w:w="1095" w:type="dxa"/>
                  <w:tcBorders>
                    <w:tl2br w:val="nil"/>
                    <w:tr2bl w:val="nil"/>
                  </w:tcBorders>
                  <w:noWrap w:val="0"/>
                  <w:vAlign w:val="center"/>
                </w:tcPr>
                <w:p w14:paraId="559D5C27">
                  <w:pPr>
                    <w:pStyle w:val="132"/>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86.3</w:t>
                  </w:r>
                </w:p>
              </w:tc>
              <w:tc>
                <w:tcPr>
                  <w:tcW w:w="1127" w:type="dxa"/>
                  <w:tcBorders>
                    <w:tl2br w:val="nil"/>
                    <w:tr2bl w:val="nil"/>
                  </w:tcBorders>
                  <w:noWrap w:val="0"/>
                  <w:vAlign w:val="center"/>
                </w:tcPr>
                <w:p w14:paraId="2D2FBDCA">
                  <w:pPr>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lang w:val="en-US" w:eastAsia="zh-CN"/>
                    </w:rPr>
                    <w:t>达标</w:t>
                  </w:r>
                </w:p>
              </w:tc>
            </w:tr>
            <w:tr w14:paraId="0C35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069" w:type="dxa"/>
                  <w:tcBorders>
                    <w:tl2br w:val="nil"/>
                    <w:tr2bl w:val="nil"/>
                  </w:tcBorders>
                  <w:noWrap w:val="0"/>
                  <w:vAlign w:val="center"/>
                </w:tcPr>
                <w:p w14:paraId="7D7A66F5">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PM</w:t>
                  </w:r>
                  <w:r>
                    <w:rPr>
                      <w:rFonts w:hint="default" w:ascii="Times New Roman" w:hAnsi="Times New Roman" w:eastAsia="宋体" w:cs="Times New Roman"/>
                      <w:b w:val="0"/>
                      <w:bCs/>
                      <w:color w:val="auto"/>
                      <w:sz w:val="21"/>
                      <w:szCs w:val="21"/>
                      <w:vertAlign w:val="subscript"/>
                    </w:rPr>
                    <w:t>10</w:t>
                  </w:r>
                </w:p>
              </w:tc>
              <w:tc>
                <w:tcPr>
                  <w:tcW w:w="2001" w:type="dxa"/>
                  <w:tcBorders>
                    <w:tl2br w:val="nil"/>
                    <w:tr2bl w:val="nil"/>
                  </w:tcBorders>
                  <w:noWrap w:val="0"/>
                  <w:vAlign w:val="center"/>
                </w:tcPr>
                <w:p w14:paraId="1237383B">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年平均质量浓度</w:t>
                  </w:r>
                </w:p>
              </w:tc>
              <w:tc>
                <w:tcPr>
                  <w:tcW w:w="1605" w:type="dxa"/>
                  <w:tcBorders>
                    <w:tl2br w:val="nil"/>
                    <w:tr2bl w:val="nil"/>
                  </w:tcBorders>
                  <w:noWrap w:val="0"/>
                  <w:vAlign w:val="center"/>
                </w:tcPr>
                <w:p w14:paraId="4AB8605E">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val="en-US" w:eastAsia="zh-CN"/>
                    </w:rPr>
                  </w:pPr>
                  <w:r>
                    <w:rPr>
                      <w:rFonts w:hint="default" w:ascii="Times New Roman" w:hAnsi="Times New Roman" w:cs="Times New Roman"/>
                      <w:b w:val="0"/>
                      <w:bCs/>
                      <w:color w:val="auto"/>
                      <w:kern w:val="0"/>
                      <w:sz w:val="21"/>
                      <w:szCs w:val="21"/>
                      <w:lang w:val="en-US" w:eastAsia="zh-CN" w:bidi="ar-SA"/>
                    </w:rPr>
                    <w:t>54</w:t>
                  </w:r>
                </w:p>
              </w:tc>
              <w:tc>
                <w:tcPr>
                  <w:tcW w:w="1440" w:type="dxa"/>
                  <w:tcBorders>
                    <w:tl2br w:val="nil"/>
                    <w:tr2bl w:val="nil"/>
                  </w:tcBorders>
                  <w:noWrap w:val="0"/>
                  <w:vAlign w:val="center"/>
                </w:tcPr>
                <w:p w14:paraId="6D33E999">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70</w:t>
                  </w:r>
                </w:p>
              </w:tc>
              <w:tc>
                <w:tcPr>
                  <w:tcW w:w="1095" w:type="dxa"/>
                  <w:tcBorders>
                    <w:tl2br w:val="nil"/>
                    <w:tr2bl w:val="nil"/>
                  </w:tcBorders>
                  <w:noWrap w:val="0"/>
                  <w:vAlign w:val="center"/>
                </w:tcPr>
                <w:p w14:paraId="0EEE3218">
                  <w:pPr>
                    <w:pStyle w:val="132"/>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77.1</w:t>
                  </w:r>
                </w:p>
              </w:tc>
              <w:tc>
                <w:tcPr>
                  <w:tcW w:w="1127" w:type="dxa"/>
                  <w:tcBorders>
                    <w:tl2br w:val="nil"/>
                    <w:tr2bl w:val="nil"/>
                  </w:tcBorders>
                  <w:noWrap w:val="0"/>
                  <w:vAlign w:val="center"/>
                </w:tcPr>
                <w:p w14:paraId="6D8A3831">
                  <w:pPr>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lang w:val="en-US" w:eastAsia="zh-CN"/>
                    </w:rPr>
                    <w:t>达标</w:t>
                  </w:r>
                </w:p>
              </w:tc>
            </w:tr>
            <w:tr w14:paraId="05C7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069" w:type="dxa"/>
                  <w:tcBorders>
                    <w:tl2br w:val="nil"/>
                    <w:tr2bl w:val="nil"/>
                  </w:tcBorders>
                  <w:noWrap w:val="0"/>
                  <w:vAlign w:val="center"/>
                </w:tcPr>
                <w:p w14:paraId="48A33181">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PM</w:t>
                  </w:r>
                  <w:r>
                    <w:rPr>
                      <w:rFonts w:hint="default" w:ascii="Times New Roman" w:hAnsi="Times New Roman" w:eastAsia="宋体" w:cs="Times New Roman"/>
                      <w:b w:val="0"/>
                      <w:bCs/>
                      <w:color w:val="auto"/>
                      <w:sz w:val="21"/>
                      <w:szCs w:val="21"/>
                      <w:vertAlign w:val="subscript"/>
                    </w:rPr>
                    <w:t>2.5</w:t>
                  </w:r>
                </w:p>
              </w:tc>
              <w:tc>
                <w:tcPr>
                  <w:tcW w:w="2001" w:type="dxa"/>
                  <w:tcBorders>
                    <w:tl2br w:val="nil"/>
                    <w:tr2bl w:val="nil"/>
                  </w:tcBorders>
                  <w:noWrap w:val="0"/>
                  <w:vAlign w:val="center"/>
                </w:tcPr>
                <w:p w14:paraId="4557E8C7">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年平均质量浓度</w:t>
                  </w:r>
                </w:p>
              </w:tc>
              <w:tc>
                <w:tcPr>
                  <w:tcW w:w="1605" w:type="dxa"/>
                  <w:tcBorders>
                    <w:tl2br w:val="nil"/>
                    <w:tr2bl w:val="nil"/>
                  </w:tcBorders>
                  <w:noWrap w:val="0"/>
                  <w:vAlign w:val="center"/>
                </w:tcPr>
                <w:p w14:paraId="216F938B">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lang w:val="en-US" w:eastAsia="zh-CN"/>
                    </w:rPr>
                  </w:pPr>
                  <w:r>
                    <w:rPr>
                      <w:rFonts w:hint="default" w:ascii="Times New Roman" w:hAnsi="Times New Roman" w:cs="Times New Roman"/>
                      <w:b w:val="0"/>
                      <w:bCs/>
                      <w:color w:val="auto"/>
                      <w:kern w:val="0"/>
                      <w:sz w:val="21"/>
                      <w:szCs w:val="21"/>
                      <w:lang w:val="en-US" w:eastAsia="zh-CN" w:bidi="ar-SA"/>
                    </w:rPr>
                    <w:t>2</w:t>
                  </w:r>
                  <w:r>
                    <w:rPr>
                      <w:rFonts w:hint="eastAsia" w:ascii="Times New Roman" w:hAnsi="Times New Roman" w:cs="Times New Roman"/>
                      <w:b w:val="0"/>
                      <w:bCs/>
                      <w:color w:val="auto"/>
                      <w:kern w:val="0"/>
                      <w:sz w:val="21"/>
                      <w:szCs w:val="21"/>
                      <w:lang w:val="en-US" w:eastAsia="zh-CN" w:bidi="ar-SA"/>
                    </w:rPr>
                    <w:t>9</w:t>
                  </w:r>
                </w:p>
              </w:tc>
              <w:tc>
                <w:tcPr>
                  <w:tcW w:w="1440" w:type="dxa"/>
                  <w:tcBorders>
                    <w:tl2br w:val="nil"/>
                    <w:tr2bl w:val="nil"/>
                  </w:tcBorders>
                  <w:noWrap w:val="0"/>
                  <w:vAlign w:val="center"/>
                </w:tcPr>
                <w:p w14:paraId="643984F7">
                  <w:pPr>
                    <w:pStyle w:val="132"/>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rPr>
                    <w:t>35</w:t>
                  </w:r>
                </w:p>
              </w:tc>
              <w:tc>
                <w:tcPr>
                  <w:tcW w:w="1095" w:type="dxa"/>
                  <w:tcBorders>
                    <w:tl2br w:val="nil"/>
                    <w:tr2bl w:val="nil"/>
                  </w:tcBorders>
                  <w:noWrap w:val="0"/>
                  <w:vAlign w:val="center"/>
                </w:tcPr>
                <w:p w14:paraId="53F8CFA9">
                  <w:pPr>
                    <w:pStyle w:val="132"/>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82.9</w:t>
                  </w:r>
                </w:p>
              </w:tc>
              <w:tc>
                <w:tcPr>
                  <w:tcW w:w="1127" w:type="dxa"/>
                  <w:tcBorders>
                    <w:tl2br w:val="nil"/>
                    <w:tr2bl w:val="nil"/>
                  </w:tcBorders>
                  <w:noWrap w:val="0"/>
                  <w:vAlign w:val="center"/>
                </w:tcPr>
                <w:p w14:paraId="0948A27D">
                  <w:pPr>
                    <w:spacing w:line="240" w:lineRule="auto"/>
                    <w:ind w:firstLine="0" w:firstLineChars="0"/>
                    <w:jc w:val="center"/>
                    <w:rPr>
                      <w:rFonts w:hint="default" w:ascii="Times New Roman" w:hAnsi="Times New Roman" w:eastAsia="宋体" w:cs="Times New Roman"/>
                      <w:caps w:val="0"/>
                      <w:color w:val="auto"/>
                      <w:spacing w:val="0"/>
                      <w:w w:val="100"/>
                      <w:position w:val="0"/>
                      <w:sz w:val="21"/>
                      <w:szCs w:val="21"/>
                      <w:highlight w:val="none"/>
                    </w:rPr>
                  </w:pPr>
                  <w:r>
                    <w:rPr>
                      <w:rFonts w:hint="default" w:ascii="Times New Roman" w:hAnsi="Times New Roman" w:eastAsia="宋体" w:cs="Times New Roman"/>
                      <w:b w:val="0"/>
                      <w:bCs/>
                      <w:color w:val="auto"/>
                      <w:sz w:val="21"/>
                      <w:szCs w:val="21"/>
                      <w:lang w:val="en-US" w:eastAsia="zh-CN"/>
                    </w:rPr>
                    <w:t>达标</w:t>
                  </w:r>
                </w:p>
              </w:tc>
            </w:tr>
          </w:tbl>
          <w:p w14:paraId="6D851F38">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综上，该区域SO</w:t>
            </w:r>
            <w:r>
              <w:rPr>
                <w:rFonts w:hint="default" w:ascii="Times New Roman" w:hAnsi="Times New Roman" w:eastAsia="宋体" w:cs="Times New Roman"/>
                <w:color w:val="auto"/>
                <w:kern w:val="2"/>
                <w:sz w:val="24"/>
                <w:szCs w:val="22"/>
                <w:highlight w:val="none"/>
                <w:vertAlign w:val="subscript"/>
                <w:lang w:val="en-US" w:eastAsia="zh-CN"/>
              </w:rPr>
              <w:t>2</w:t>
            </w:r>
            <w:r>
              <w:rPr>
                <w:rFonts w:hint="default" w:ascii="Times New Roman" w:hAnsi="Times New Roman" w:eastAsia="宋体" w:cs="Times New Roman"/>
                <w:color w:val="auto"/>
                <w:kern w:val="2"/>
                <w:sz w:val="24"/>
                <w:szCs w:val="22"/>
                <w:highlight w:val="none"/>
                <w:lang w:val="en-US" w:eastAsia="zh-CN"/>
              </w:rPr>
              <w:t>、NO</w:t>
            </w:r>
            <w:r>
              <w:rPr>
                <w:rFonts w:hint="default" w:ascii="Times New Roman" w:hAnsi="Times New Roman" w:eastAsia="宋体" w:cs="Times New Roman"/>
                <w:color w:val="auto"/>
                <w:kern w:val="2"/>
                <w:sz w:val="24"/>
                <w:szCs w:val="22"/>
                <w:highlight w:val="none"/>
                <w:vertAlign w:val="subscript"/>
                <w:lang w:val="en-US" w:eastAsia="zh-CN"/>
              </w:rPr>
              <w:t>2</w:t>
            </w:r>
            <w:r>
              <w:rPr>
                <w:rFonts w:hint="default" w:ascii="Times New Roman" w:hAnsi="Times New Roman" w:eastAsia="宋体" w:cs="Times New Roman"/>
                <w:color w:val="auto"/>
                <w:kern w:val="2"/>
                <w:sz w:val="24"/>
                <w:szCs w:val="22"/>
                <w:highlight w:val="none"/>
                <w:lang w:val="en-US" w:eastAsia="zh-CN"/>
              </w:rPr>
              <w:t>、CO、可吸入颗粒物（PM</w:t>
            </w:r>
            <w:r>
              <w:rPr>
                <w:rFonts w:hint="default" w:ascii="Times New Roman" w:hAnsi="Times New Roman" w:eastAsia="宋体" w:cs="Times New Roman"/>
                <w:color w:val="auto"/>
                <w:kern w:val="2"/>
                <w:sz w:val="24"/>
                <w:szCs w:val="22"/>
                <w:highlight w:val="none"/>
                <w:vertAlign w:val="subscript"/>
                <w:lang w:val="en-US" w:eastAsia="zh-CN"/>
              </w:rPr>
              <w:t>10</w:t>
            </w:r>
            <w:r>
              <w:rPr>
                <w:rFonts w:hint="default" w:ascii="Times New Roman" w:hAnsi="Times New Roman" w:eastAsia="宋体" w:cs="Times New Roman"/>
                <w:color w:val="auto"/>
                <w:kern w:val="2"/>
                <w:sz w:val="24"/>
                <w:szCs w:val="22"/>
                <w:highlight w:val="none"/>
                <w:lang w:val="en-US" w:eastAsia="zh-CN"/>
              </w:rPr>
              <w:t>）、O</w:t>
            </w:r>
            <w:r>
              <w:rPr>
                <w:rFonts w:hint="default" w:ascii="Times New Roman" w:hAnsi="Times New Roman" w:eastAsia="宋体" w:cs="Times New Roman"/>
                <w:color w:val="auto"/>
                <w:kern w:val="2"/>
                <w:sz w:val="24"/>
                <w:szCs w:val="22"/>
                <w:highlight w:val="none"/>
                <w:vertAlign w:val="subscript"/>
                <w:lang w:val="en-US" w:eastAsia="zh-CN"/>
              </w:rPr>
              <w:t>3</w:t>
            </w:r>
            <w:r>
              <w:rPr>
                <w:rFonts w:hint="default" w:ascii="Times New Roman" w:hAnsi="Times New Roman" w:eastAsia="宋体" w:cs="Times New Roman"/>
                <w:color w:val="auto"/>
                <w:kern w:val="2"/>
                <w:sz w:val="24"/>
                <w:szCs w:val="22"/>
                <w:highlight w:val="none"/>
                <w:lang w:val="en-US" w:eastAsia="zh-CN"/>
              </w:rPr>
              <w:t>、PM</w:t>
            </w:r>
            <w:r>
              <w:rPr>
                <w:rFonts w:hint="default" w:ascii="Times New Roman" w:hAnsi="Times New Roman" w:eastAsia="宋体" w:cs="Times New Roman"/>
                <w:color w:val="auto"/>
                <w:kern w:val="2"/>
                <w:sz w:val="24"/>
                <w:szCs w:val="22"/>
                <w:highlight w:val="none"/>
                <w:vertAlign w:val="subscript"/>
                <w:lang w:val="en-US" w:eastAsia="zh-CN"/>
              </w:rPr>
              <w:t>2.5</w:t>
            </w:r>
            <w:r>
              <w:rPr>
                <w:rFonts w:hint="default" w:ascii="Times New Roman" w:hAnsi="Times New Roman" w:eastAsia="宋体" w:cs="Times New Roman"/>
                <w:color w:val="auto"/>
                <w:kern w:val="2"/>
                <w:sz w:val="24"/>
                <w:szCs w:val="22"/>
                <w:highlight w:val="none"/>
                <w:lang w:val="en-US" w:eastAsia="zh-CN"/>
              </w:rPr>
              <w:t>年均浓度值均可达到《环境空气质量标准》（GB3095-2012）中二级标准限值</w:t>
            </w:r>
            <w:r>
              <w:rPr>
                <w:rFonts w:hint="default" w:ascii="Times New Roman" w:hAnsi="Times New Roman" w:eastAsia="宋体" w:cs="Times New Roman"/>
                <w:color w:val="auto"/>
                <w:kern w:val="2"/>
                <w:sz w:val="24"/>
                <w:szCs w:val="22"/>
                <w:highlight w:val="none"/>
                <w:lang w:eastAsia="zh-CN"/>
              </w:rPr>
              <w:t>。</w:t>
            </w:r>
            <w:r>
              <w:rPr>
                <w:rFonts w:hint="default" w:ascii="Times New Roman" w:hAnsi="Times New Roman" w:eastAsia="宋体" w:cs="Times New Roman"/>
                <w:color w:val="auto"/>
                <w:kern w:val="2"/>
                <w:sz w:val="24"/>
                <w:szCs w:val="22"/>
                <w:highlight w:val="none"/>
                <w:lang w:val="en-US" w:eastAsia="zh-CN"/>
              </w:rPr>
              <w:t>因此，项目区域为达标区。</w:t>
            </w:r>
          </w:p>
          <w:p w14:paraId="71524C5D">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（2）特征污染物环境质量现状</w:t>
            </w:r>
          </w:p>
          <w:p w14:paraId="28033E22">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eastAsia" w:ascii="Times New Roman" w:cs="Times New Roman"/>
                <w:color w:val="auto"/>
                <w:kern w:val="2"/>
                <w:sz w:val="24"/>
                <w:szCs w:val="22"/>
                <w:highlight w:val="none"/>
                <w:lang w:val="en-US" w:eastAsia="zh-CN"/>
              </w:rPr>
              <w:t>技改</w:t>
            </w:r>
            <w:r>
              <w:rPr>
                <w:rFonts w:hint="default" w:ascii="Times New Roman" w:hAnsi="Times New Roman" w:eastAsia="宋体" w:cs="Times New Roman"/>
                <w:color w:val="auto"/>
                <w:kern w:val="2"/>
                <w:sz w:val="24"/>
                <w:szCs w:val="22"/>
                <w:highlight w:val="none"/>
                <w:lang w:val="en-US" w:eastAsia="zh-CN"/>
              </w:rPr>
              <w:t>项目</w:t>
            </w:r>
            <w:r>
              <w:rPr>
                <w:rFonts w:hint="eastAsia" w:ascii="Times New Roman" w:cs="Times New Roman"/>
                <w:color w:val="auto"/>
                <w:kern w:val="2"/>
                <w:sz w:val="24"/>
                <w:szCs w:val="22"/>
                <w:highlight w:val="none"/>
                <w:lang w:val="en-US" w:eastAsia="zh-CN"/>
              </w:rPr>
              <w:t>环境空气质量现状评价</w:t>
            </w:r>
            <w:r>
              <w:rPr>
                <w:rFonts w:hint="default" w:ascii="Times New Roman" w:hAnsi="Times New Roman" w:eastAsia="宋体" w:cs="Times New Roman"/>
                <w:color w:val="auto"/>
                <w:kern w:val="2"/>
                <w:sz w:val="24"/>
                <w:szCs w:val="22"/>
                <w:highlight w:val="none"/>
                <w:lang w:val="en-US" w:eastAsia="zh-CN"/>
              </w:rPr>
              <w:t>特征污染因子为TSP</w:t>
            </w:r>
            <w:r>
              <w:rPr>
                <w:rFonts w:hint="eastAsia" w:ascii="Times New Roman" w:cs="Times New Roman"/>
                <w:color w:val="auto"/>
                <w:kern w:val="2"/>
                <w:sz w:val="24"/>
                <w:szCs w:val="22"/>
                <w:highlight w:val="none"/>
                <w:lang w:val="en-US" w:eastAsia="zh-CN"/>
              </w:rPr>
              <w:t>、甲醛。</w:t>
            </w:r>
            <w:r>
              <w:rPr>
                <w:rFonts w:hint="default" w:ascii="Times New Roman" w:hAnsi="Times New Roman" w:eastAsia="宋体" w:cs="Times New Roman"/>
                <w:color w:val="auto"/>
                <w:kern w:val="2"/>
                <w:sz w:val="24"/>
                <w:szCs w:val="22"/>
                <w:highlight w:val="none"/>
                <w:lang w:val="en-US" w:eastAsia="zh-CN"/>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2A0AC4BC">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eastAsia="zh-CN"/>
              </w:rPr>
            </w:pPr>
            <w:r>
              <w:rPr>
                <w:rFonts w:hint="default" w:ascii="Times New Roman" w:hAnsi="Times New Roman" w:eastAsia="宋体" w:cs="Times New Roman"/>
                <w:color w:val="auto"/>
                <w:kern w:val="2"/>
                <w:sz w:val="24"/>
                <w:szCs w:val="22"/>
                <w:highlight w:val="none"/>
                <w:lang w:val="en-US" w:eastAsia="zh-CN"/>
              </w:rPr>
              <w:t>为了解区域大气环境质量现状，本次评价TSP现状引用青阳县开发区管理委员会委托合肥森力检测技术服务有限公司2023年</w:t>
            </w:r>
            <w:r>
              <w:rPr>
                <w:rFonts w:hint="eastAsia" w:ascii="Times New Roman" w:cs="Times New Roman"/>
                <w:color w:val="auto"/>
                <w:kern w:val="2"/>
                <w:sz w:val="24"/>
                <w:szCs w:val="22"/>
                <w:highlight w:val="none"/>
                <w:lang w:val="en-US" w:eastAsia="zh-CN"/>
              </w:rPr>
              <w:t>5</w:t>
            </w:r>
            <w:r>
              <w:rPr>
                <w:rFonts w:hint="default" w:ascii="Times New Roman" w:hAnsi="Times New Roman" w:eastAsia="宋体" w:cs="Times New Roman"/>
                <w:color w:val="auto"/>
                <w:kern w:val="2"/>
                <w:sz w:val="24"/>
                <w:szCs w:val="22"/>
                <w:highlight w:val="none"/>
                <w:lang w:val="en-US" w:eastAsia="zh-CN"/>
              </w:rPr>
              <w:t>月3日</w:t>
            </w:r>
            <w:r>
              <w:rPr>
                <w:rFonts w:hint="eastAsia" w:ascii="Times New Roman" w:cs="Times New Roman"/>
                <w:color w:val="auto"/>
                <w:kern w:val="2"/>
                <w:sz w:val="24"/>
                <w:szCs w:val="22"/>
                <w:highlight w:val="none"/>
                <w:lang w:val="en-US" w:eastAsia="zh-CN"/>
              </w:rPr>
              <w:t>—</w:t>
            </w:r>
            <w:r>
              <w:rPr>
                <w:rFonts w:hint="default" w:ascii="Times New Roman" w:hAnsi="Times New Roman" w:eastAsia="宋体" w:cs="Times New Roman"/>
                <w:color w:val="auto"/>
                <w:kern w:val="2"/>
                <w:sz w:val="24"/>
                <w:szCs w:val="22"/>
                <w:highlight w:val="none"/>
                <w:lang w:val="en-US" w:eastAsia="zh-CN"/>
              </w:rPr>
              <w:t>9日对青阳镁铝轻合金产业集聚区中空气环境质量的检测报告（报告编号：SLJC-HJ-AHNJR225），监测点位于西南侧距离本项目</w:t>
            </w:r>
            <w:r>
              <w:rPr>
                <w:rFonts w:hint="eastAsia" w:ascii="Times New Roman" w:cs="Times New Roman"/>
                <w:color w:val="auto"/>
                <w:kern w:val="2"/>
                <w:sz w:val="24"/>
                <w:szCs w:val="22"/>
                <w:highlight w:val="none"/>
                <w:lang w:val="en-US" w:eastAsia="zh-CN"/>
              </w:rPr>
              <w:t>约3966</w:t>
            </w:r>
            <w:r>
              <w:rPr>
                <w:rFonts w:hint="default" w:ascii="Times New Roman" w:hAnsi="Times New Roman" w:eastAsia="宋体" w:cs="Times New Roman"/>
                <w:color w:val="auto"/>
                <w:kern w:val="2"/>
                <w:sz w:val="24"/>
                <w:szCs w:val="22"/>
                <w:highlight w:val="none"/>
                <w:lang w:val="en-US" w:eastAsia="zh-CN"/>
              </w:rPr>
              <w:t>m的汪杨村，监测点位图见3-1，满足引用数据的要求</w:t>
            </w:r>
            <w:r>
              <w:rPr>
                <w:rFonts w:hint="default" w:ascii="Times New Roman" w:hAnsi="Times New Roman" w:eastAsia="宋体" w:cs="Times New Roman"/>
                <w:color w:val="auto"/>
                <w:kern w:val="2"/>
                <w:sz w:val="24"/>
                <w:szCs w:val="22"/>
                <w:highlight w:val="none"/>
                <w:lang w:eastAsia="zh-CN"/>
              </w:rPr>
              <w:t>。</w:t>
            </w:r>
          </w:p>
          <w:p w14:paraId="57EB502F">
            <w:pPr>
              <w:pStyle w:val="6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color w:val="auto"/>
                <w:kern w:val="2"/>
                <w:sz w:val="24"/>
                <w:szCs w:val="22"/>
                <w:highlight w:val="none"/>
                <w:lang w:val="en-US" w:eastAsia="zh-CN"/>
              </w:rPr>
            </w:pPr>
            <w:r>
              <w:rPr>
                <w:rFonts w:hint="default" w:ascii="Times New Roman" w:hAnsi="Times New Roman" w:eastAsia="宋体" w:cs="Times New Roman"/>
                <w:color w:val="auto"/>
                <w:kern w:val="2"/>
                <w:sz w:val="24"/>
                <w:szCs w:val="22"/>
                <w:highlight w:val="none"/>
                <w:lang w:val="en-US" w:eastAsia="zh-CN"/>
              </w:rPr>
              <w:t>监测期间具体监测结果见下表：</w:t>
            </w:r>
          </w:p>
          <w:p w14:paraId="395851E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1"/>
                <w:szCs w:val="21"/>
                <w:lang w:val="en-US" w:eastAsia="zh-CN"/>
              </w:rPr>
            </w:pPr>
            <w:r>
              <w:rPr>
                <w:rFonts w:hint="eastAsia" w:ascii="Times New Roman" w:hAnsi="Times New Roman" w:eastAsia="宋体" w:cs="Times New Roman"/>
                <w:b/>
                <w:bCs/>
                <w:color w:val="auto"/>
                <w:kern w:val="2"/>
                <w:sz w:val="21"/>
                <w:szCs w:val="21"/>
                <w:lang w:val="en-US" w:eastAsia="zh-CN"/>
              </w:rPr>
              <w:t>表3-1  特征因子环境质量监测结果</w:t>
            </w: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178"/>
              <w:gridCol w:w="1360"/>
              <w:gridCol w:w="1185"/>
              <w:gridCol w:w="1290"/>
              <w:gridCol w:w="915"/>
              <w:gridCol w:w="960"/>
              <w:gridCol w:w="771"/>
            </w:tblGrid>
            <w:tr w14:paraId="74BB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0" w:type="pct"/>
                  <w:vMerge w:val="restart"/>
                  <w:noWrap w:val="0"/>
                  <w:vAlign w:val="center"/>
                </w:tcPr>
                <w:p w14:paraId="23A525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测点名称</w:t>
                  </w:r>
                </w:p>
              </w:tc>
              <w:tc>
                <w:tcPr>
                  <w:tcW w:w="681" w:type="pct"/>
                  <w:vMerge w:val="restart"/>
                  <w:noWrap w:val="0"/>
                  <w:vAlign w:val="center"/>
                </w:tcPr>
                <w:p w14:paraId="05F3B2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距本项目距离</w:t>
                  </w:r>
                </w:p>
              </w:tc>
              <w:tc>
                <w:tcPr>
                  <w:tcW w:w="786" w:type="pct"/>
                  <w:vMerge w:val="restart"/>
                  <w:noWrap w:val="0"/>
                  <w:vAlign w:val="center"/>
                </w:tcPr>
                <w:p w14:paraId="6985A0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监测时间</w:t>
                  </w:r>
                </w:p>
              </w:tc>
              <w:tc>
                <w:tcPr>
                  <w:tcW w:w="685" w:type="pct"/>
                  <w:vMerge w:val="restart"/>
                  <w:noWrap w:val="0"/>
                  <w:vAlign w:val="center"/>
                </w:tcPr>
                <w:p w14:paraId="70ACBE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监测因子</w:t>
                  </w:r>
                </w:p>
              </w:tc>
              <w:tc>
                <w:tcPr>
                  <w:tcW w:w="746" w:type="pct"/>
                  <w:vMerge w:val="restart"/>
                  <w:noWrap w:val="0"/>
                  <w:vAlign w:val="center"/>
                </w:tcPr>
                <w:p w14:paraId="154866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监测结果</w:t>
                  </w:r>
                </w:p>
              </w:tc>
              <w:tc>
                <w:tcPr>
                  <w:tcW w:w="1084" w:type="pct"/>
                  <w:gridSpan w:val="2"/>
                  <w:noWrap w:val="0"/>
                  <w:vAlign w:val="center"/>
                </w:tcPr>
                <w:p w14:paraId="6B1911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标准值（mg/m</w:t>
                  </w:r>
                  <w:r>
                    <w:rPr>
                      <w:rFonts w:hint="eastAsia" w:ascii="Times New Roman" w:hAnsi="Times New Roman" w:eastAsia="宋体" w:cs="Times New Roman"/>
                      <w:b/>
                      <w:bCs/>
                      <w:color w:val="auto"/>
                      <w:sz w:val="21"/>
                      <w:szCs w:val="21"/>
                      <w:highlight w:val="none"/>
                      <w:vertAlign w:val="superscript"/>
                      <w:lang w:eastAsia="zh-CN"/>
                    </w:rPr>
                    <w:t>3</w:t>
                  </w:r>
                  <w:r>
                    <w:rPr>
                      <w:rFonts w:hint="eastAsia" w:ascii="Times New Roman" w:hAnsi="Times New Roman" w:eastAsia="宋体" w:cs="Times New Roman"/>
                      <w:b/>
                      <w:bCs/>
                      <w:color w:val="auto"/>
                      <w:sz w:val="21"/>
                      <w:szCs w:val="21"/>
                      <w:highlight w:val="none"/>
                      <w:lang w:eastAsia="zh-CN"/>
                    </w:rPr>
                    <w:t>）</w:t>
                  </w:r>
                </w:p>
              </w:tc>
              <w:tc>
                <w:tcPr>
                  <w:tcW w:w="445" w:type="pct"/>
                  <w:vMerge w:val="restart"/>
                  <w:noWrap w:val="0"/>
                  <w:vAlign w:val="center"/>
                </w:tcPr>
                <w:p w14:paraId="0C7D91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是否达标</w:t>
                  </w:r>
                </w:p>
              </w:tc>
            </w:tr>
            <w:tr w14:paraId="3C73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0" w:type="pct"/>
                  <w:vMerge w:val="continue"/>
                  <w:noWrap w:val="0"/>
                  <w:vAlign w:val="center"/>
                </w:tcPr>
                <w:p w14:paraId="75A8EC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p>
              </w:tc>
              <w:tc>
                <w:tcPr>
                  <w:tcW w:w="681" w:type="pct"/>
                  <w:vMerge w:val="continue"/>
                  <w:noWrap w:val="0"/>
                  <w:vAlign w:val="center"/>
                </w:tcPr>
                <w:p w14:paraId="359FAC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p>
              </w:tc>
              <w:tc>
                <w:tcPr>
                  <w:tcW w:w="786" w:type="pct"/>
                  <w:vMerge w:val="continue"/>
                  <w:noWrap w:val="0"/>
                  <w:vAlign w:val="center"/>
                </w:tcPr>
                <w:p w14:paraId="50B219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p>
              </w:tc>
              <w:tc>
                <w:tcPr>
                  <w:tcW w:w="685" w:type="pct"/>
                  <w:vMerge w:val="continue"/>
                  <w:noWrap w:val="0"/>
                  <w:vAlign w:val="center"/>
                </w:tcPr>
                <w:p w14:paraId="24483E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p>
              </w:tc>
              <w:tc>
                <w:tcPr>
                  <w:tcW w:w="746" w:type="pct"/>
                  <w:vMerge w:val="continue"/>
                  <w:noWrap w:val="0"/>
                  <w:vAlign w:val="center"/>
                </w:tcPr>
                <w:p w14:paraId="6E4D7C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p>
              </w:tc>
              <w:tc>
                <w:tcPr>
                  <w:tcW w:w="529" w:type="pct"/>
                  <w:noWrap w:val="0"/>
                  <w:vAlign w:val="center"/>
                </w:tcPr>
                <w:p w14:paraId="1FCA19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小时值</w:t>
                  </w:r>
                </w:p>
              </w:tc>
              <w:tc>
                <w:tcPr>
                  <w:tcW w:w="555" w:type="pct"/>
                  <w:noWrap w:val="0"/>
                  <w:vAlign w:val="center"/>
                </w:tcPr>
                <w:p w14:paraId="0E41D2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日均值</w:t>
                  </w:r>
                </w:p>
              </w:tc>
              <w:tc>
                <w:tcPr>
                  <w:tcW w:w="445" w:type="pct"/>
                  <w:vMerge w:val="continue"/>
                  <w:noWrap w:val="0"/>
                  <w:vAlign w:val="center"/>
                </w:tcPr>
                <w:p w14:paraId="251735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eastAsia="zh-CN"/>
                    </w:rPr>
                  </w:pPr>
                </w:p>
              </w:tc>
            </w:tr>
            <w:tr w14:paraId="6CE99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0" w:type="pct"/>
                  <w:shd w:val="clear" w:color="auto" w:fill="auto"/>
                  <w:noWrap w:val="0"/>
                  <w:vAlign w:val="center"/>
                </w:tcPr>
                <w:p w14:paraId="7F4E4E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汪杨村</w:t>
                  </w:r>
                </w:p>
              </w:tc>
              <w:tc>
                <w:tcPr>
                  <w:tcW w:w="681" w:type="pct"/>
                  <w:shd w:val="clear" w:color="auto" w:fill="auto"/>
                  <w:noWrap w:val="0"/>
                  <w:vAlign w:val="center"/>
                </w:tcPr>
                <w:p w14:paraId="1F62AD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3966</w:t>
                  </w:r>
                  <w:r>
                    <w:rPr>
                      <w:rFonts w:hint="eastAsia" w:ascii="Times New Roman" w:hAnsi="Times New Roman" w:eastAsia="宋体" w:cs="Times New Roman"/>
                      <w:color w:val="auto"/>
                      <w:sz w:val="21"/>
                      <w:szCs w:val="21"/>
                      <w:highlight w:val="none"/>
                      <w:lang w:val="en-US" w:eastAsia="zh-CN"/>
                    </w:rPr>
                    <w:t>m</w:t>
                  </w:r>
                </w:p>
              </w:tc>
              <w:tc>
                <w:tcPr>
                  <w:tcW w:w="786" w:type="pct"/>
                  <w:shd w:val="clear" w:color="auto" w:fill="auto"/>
                  <w:noWrap w:val="0"/>
                  <w:vAlign w:val="center"/>
                </w:tcPr>
                <w:p w14:paraId="4B29CF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2023.</w:t>
                  </w:r>
                  <w:r>
                    <w:rPr>
                      <w:rFonts w:hint="eastAsia" w:cs="Times New Roman"/>
                      <w:color w:val="auto"/>
                      <w:kern w:val="2"/>
                      <w:sz w:val="21"/>
                      <w:szCs w:val="21"/>
                      <w:highlight w:val="none"/>
                      <w:lang w:val="en-US" w:eastAsia="zh-CN" w:bidi="ar-SA"/>
                    </w:rPr>
                    <w:t>5</w:t>
                  </w:r>
                  <w:r>
                    <w:rPr>
                      <w:rFonts w:hint="eastAsia" w:ascii="Times New Roman" w:hAnsi="Times New Roman" w:eastAsia="宋体" w:cs="Times New Roman"/>
                      <w:color w:val="auto"/>
                      <w:kern w:val="2"/>
                      <w:sz w:val="21"/>
                      <w:szCs w:val="21"/>
                      <w:highlight w:val="none"/>
                      <w:lang w:val="en-US" w:eastAsia="zh-CN" w:bidi="ar-SA"/>
                    </w:rPr>
                    <w:t>.3~2.9</w:t>
                  </w:r>
                </w:p>
              </w:tc>
              <w:tc>
                <w:tcPr>
                  <w:tcW w:w="685" w:type="pct"/>
                  <w:noWrap w:val="0"/>
                  <w:vAlign w:val="center"/>
                </w:tcPr>
                <w:p w14:paraId="598288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TSP</w:t>
                  </w:r>
                </w:p>
              </w:tc>
              <w:tc>
                <w:tcPr>
                  <w:tcW w:w="746" w:type="pct"/>
                  <w:noWrap w:val="0"/>
                  <w:vAlign w:val="center"/>
                </w:tcPr>
                <w:p w14:paraId="4FF16C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color w:val="auto"/>
                      <w:szCs w:val="21"/>
                    </w:rPr>
                    <w:t>0.196-0.208</w:t>
                  </w:r>
                </w:p>
              </w:tc>
              <w:tc>
                <w:tcPr>
                  <w:tcW w:w="529" w:type="pct"/>
                  <w:noWrap w:val="0"/>
                  <w:vAlign w:val="center"/>
                </w:tcPr>
                <w:p w14:paraId="227920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555" w:type="pct"/>
                  <w:noWrap w:val="0"/>
                  <w:vAlign w:val="center"/>
                </w:tcPr>
                <w:p w14:paraId="50333E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w:t>
                  </w:r>
                </w:p>
              </w:tc>
              <w:tc>
                <w:tcPr>
                  <w:tcW w:w="445" w:type="pct"/>
                  <w:noWrap w:val="0"/>
                  <w:vAlign w:val="center"/>
                </w:tcPr>
                <w:p w14:paraId="4AD6DD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是</w:t>
                  </w:r>
                </w:p>
              </w:tc>
            </w:tr>
          </w:tbl>
          <w:p w14:paraId="2CA219B0">
            <w:pPr>
              <w:widowControl/>
              <w:adjustRightInd w:val="0"/>
              <w:snapToGrid w:val="0"/>
              <w:spacing w:line="240" w:lineRule="auto"/>
              <w:jc w:val="left"/>
              <w:rPr>
                <w:rFonts w:hint="eastAsia" w:ascii="Times New Roman" w:hAnsi="Times New Roman" w:eastAsia="宋体" w:cs="Times New Roman"/>
                <w:b w:val="0"/>
                <w:bCs w:val="0"/>
                <w:color w:val="auto"/>
                <w:kern w:val="0"/>
                <w:sz w:val="18"/>
                <w:szCs w:val="18"/>
                <w:highlight w:val="none"/>
                <w:lang w:val="en-US" w:eastAsia="zh-CN"/>
              </w:rPr>
            </w:pPr>
          </w:p>
          <w:p w14:paraId="460B5C07">
            <w:pPr>
              <w:pStyle w:val="65"/>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outlineLvl w:val="9"/>
              <w:rPr>
                <w:rFonts w:hint="default" w:ascii="Times New Roman" w:hAnsi="Times New Roman" w:eastAsia="宋体" w:cs="Times New Roman"/>
                <w:b w:val="0"/>
                <w:bCs/>
                <w:color w:val="auto"/>
                <w:szCs w:val="24"/>
                <w:highlight w:val="none"/>
              </w:rPr>
            </w:pPr>
            <w:r>
              <w:rPr>
                <w:rFonts w:hint="eastAsia" w:ascii="Times New Roman" w:hAnsi="Times New Roman"/>
                <w:b w:val="0"/>
                <w:bCs/>
                <w:color w:val="auto"/>
                <w:sz w:val="24"/>
                <w:highlight w:val="none"/>
              </w:rPr>
              <w:t>由监测结果可知，项目所在</w:t>
            </w:r>
            <w:r>
              <w:rPr>
                <w:rFonts w:hint="eastAsia" w:ascii="Times New Roman"/>
                <w:b w:val="0"/>
                <w:bCs/>
                <w:color w:val="auto"/>
                <w:sz w:val="24"/>
                <w:highlight w:val="none"/>
                <w:lang w:val="en-US" w:eastAsia="zh-CN"/>
              </w:rPr>
              <w:t>区域</w:t>
            </w:r>
            <w:r>
              <w:rPr>
                <w:rFonts w:hint="eastAsia" w:ascii="Times New Roman" w:hAnsi="Times New Roman"/>
                <w:b w:val="0"/>
                <w:bCs/>
                <w:color w:val="auto"/>
                <w:sz w:val="24"/>
                <w:highlight w:val="none"/>
              </w:rPr>
              <w:t>TSP的监测结果可以满足《环境空气质量标准》（GB</w:t>
            </w:r>
            <w:r>
              <w:rPr>
                <w:rFonts w:hint="eastAsia" w:ascii="Times New Roman" w:hAnsi="Times New Roman"/>
                <w:b w:val="0"/>
                <w:bCs/>
                <w:color w:val="auto"/>
                <w:sz w:val="24"/>
                <w:highlight w:val="none"/>
                <w:lang w:val="en-US" w:eastAsia="zh-CN"/>
              </w:rPr>
              <w:t xml:space="preserve"> </w:t>
            </w:r>
            <w:r>
              <w:rPr>
                <w:rFonts w:hint="eastAsia" w:ascii="Times New Roman" w:hAnsi="Times New Roman"/>
                <w:b w:val="0"/>
                <w:bCs/>
                <w:color w:val="auto"/>
                <w:sz w:val="24"/>
                <w:highlight w:val="none"/>
              </w:rPr>
              <w:t>3095-20</w:t>
            </w:r>
            <w:r>
              <w:rPr>
                <w:rFonts w:hint="eastAsia" w:ascii="Times New Roman"/>
                <w:b w:val="0"/>
                <w:bCs/>
                <w:color w:val="auto"/>
                <w:sz w:val="24"/>
                <w:highlight w:val="none"/>
                <w:lang w:val="en-US" w:eastAsia="zh-CN"/>
              </w:rPr>
              <w:t>26</w:t>
            </w:r>
            <w:r>
              <w:rPr>
                <w:rFonts w:hint="eastAsia" w:ascii="Times New Roman" w:hAnsi="Times New Roman"/>
                <w:b w:val="0"/>
                <w:bCs/>
                <w:color w:val="auto"/>
                <w:sz w:val="24"/>
                <w:highlight w:val="none"/>
              </w:rPr>
              <w:t>）中的二级标准要求（0.3mg/m</w:t>
            </w:r>
            <w:r>
              <w:rPr>
                <w:rFonts w:hint="eastAsia" w:ascii="Times New Roman" w:hAnsi="Times New Roman"/>
                <w:b w:val="0"/>
                <w:bCs/>
                <w:color w:val="auto"/>
                <w:sz w:val="24"/>
                <w:highlight w:val="none"/>
                <w:vertAlign w:val="superscript"/>
              </w:rPr>
              <w:t>3</w:t>
            </w:r>
            <w:r>
              <w:rPr>
                <w:rFonts w:hint="eastAsia" w:ascii="Times New Roman" w:hAnsi="Times New Roman"/>
                <w:b w:val="0"/>
                <w:bCs/>
                <w:color w:val="auto"/>
                <w:sz w:val="24"/>
                <w:highlight w:val="none"/>
              </w:rPr>
              <w:t>）</w:t>
            </w:r>
            <w:r>
              <w:rPr>
                <w:rFonts w:hint="eastAsia" w:ascii="Times New Roman" w:hAnsi="Times New Roman"/>
                <w:b w:val="0"/>
                <w:bCs/>
                <w:color w:val="auto"/>
                <w:sz w:val="24"/>
                <w:highlight w:val="none"/>
                <w:lang w:eastAsia="zh-CN"/>
              </w:rPr>
              <w:t>；</w:t>
            </w:r>
            <w:r>
              <w:rPr>
                <w:rFonts w:hint="eastAsia" w:ascii="Times New Roman" w:hAnsi="Times New Roman"/>
                <w:b w:val="0"/>
                <w:bCs/>
                <w:color w:val="auto"/>
                <w:sz w:val="24"/>
                <w:highlight w:val="none"/>
                <w:lang w:val="en-US" w:eastAsia="zh-CN"/>
              </w:rPr>
              <w:t>上述结果</w:t>
            </w:r>
            <w:r>
              <w:rPr>
                <w:rFonts w:hint="default" w:ascii="Times New Roman" w:hAnsi="Times New Roman" w:eastAsia="宋体" w:cs="Times New Roman"/>
                <w:b w:val="0"/>
                <w:bCs/>
                <w:color w:val="auto"/>
                <w:szCs w:val="24"/>
                <w:highlight w:val="none"/>
                <w:lang w:val="en-US" w:eastAsia="zh-CN"/>
              </w:rPr>
              <w:t>说</w:t>
            </w:r>
            <w:r>
              <w:rPr>
                <w:rFonts w:hint="default" w:ascii="Times New Roman" w:hAnsi="Times New Roman" w:eastAsia="宋体" w:cs="Times New Roman"/>
                <w:b w:val="0"/>
                <w:bCs/>
                <w:color w:val="auto"/>
                <w:szCs w:val="24"/>
                <w:highlight w:val="none"/>
              </w:rPr>
              <w:t>明评价区域内环境空气质量现状总体良好。</w:t>
            </w:r>
          </w:p>
          <w:p w14:paraId="2FEDCB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color w:val="auto"/>
                <w:sz w:val="21"/>
                <w:highlight w:val="none"/>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2214245</wp:posOffset>
                      </wp:positionV>
                      <wp:extent cx="871220" cy="254000"/>
                      <wp:effectExtent l="0" t="0" r="0" b="0"/>
                      <wp:wrapNone/>
                      <wp:docPr id="2" name="文本框 16"/>
                      <wp:cNvGraphicFramePr/>
                      <a:graphic xmlns:a="http://schemas.openxmlformats.org/drawingml/2006/main">
                        <a:graphicData uri="http://schemas.microsoft.com/office/word/2010/wordprocessingShape">
                          <wps:wsp>
                            <wps:cNvSpPr txBox="1"/>
                            <wps:spPr>
                              <a:xfrm>
                                <a:off x="0" y="0"/>
                                <a:ext cx="871220" cy="254000"/>
                              </a:xfrm>
                              <a:prstGeom prst="rect">
                                <a:avLst/>
                              </a:prstGeom>
                              <a:solidFill>
                                <a:srgbClr val="FFFFFF"/>
                              </a:solidFill>
                              <a:ln>
                                <a:noFill/>
                              </a:ln>
                            </wps:spPr>
                            <wps:txbx>
                              <w:txbxContent>
                                <w:p w14:paraId="4A1F4E52">
                                  <w:pPr>
                                    <w:rPr>
                                      <w:rFonts w:hint="default" w:eastAsia="宋体"/>
                                      <w:b/>
                                      <w:bCs/>
                                      <w:lang w:val="en-US" w:eastAsia="zh-CN"/>
                                    </w:rPr>
                                  </w:pPr>
                                  <w:r>
                                    <w:rPr>
                                      <w:rFonts w:hint="eastAsia"/>
                                      <w:b/>
                                      <w:bCs/>
                                      <w:color w:val="FF0000"/>
                                      <w:lang w:val="en-US" w:eastAsia="zh-CN"/>
                                    </w:rPr>
                                    <w:t>引用监测点</w:t>
                                  </w:r>
                                </w:p>
                              </w:txbxContent>
                            </wps:txbx>
                            <wps:bodyPr wrap="square" upright="1"/>
                          </wps:wsp>
                        </a:graphicData>
                      </a:graphic>
                    </wp:anchor>
                  </w:drawing>
                </mc:Choice>
                <mc:Fallback>
                  <w:pict>
                    <v:shape id="文本框 16" o:spid="_x0000_s1026" o:spt="202" type="#_x0000_t202" style="position:absolute;left:0pt;margin-left:31.5pt;margin-top:174.35pt;height:20pt;width:68.6pt;z-index:251659264;mso-width-relative:page;mso-height-relative:page;" fillcolor="#FFFFFF" filled="t" stroked="f" coordsize="21600,21600" o:gfxdata="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wa7Q01wAAAAoBAAAPAAAAAAAAAAEAIAAAACIAAABkcnMv&#10;ZG93bnJldi54bWxQSwECFAAUAAAACACHTuJAh6T+C8sBAACFAwAADgAAAAAAAAABACAAAAAmAQAA&#10;ZHJzL2Uyb0RvYy54bWxQSwUGAAAAAAYABgBZAQAAYwUAAAAA&#10;">
                      <v:fill on="t" focussize="0,0"/>
                      <v:stroke on="f"/>
                      <v:imagedata o:title=""/>
                      <o:lock v:ext="edit" aspectratio="f"/>
                      <v:textbox>
                        <w:txbxContent>
                          <w:p w14:paraId="4A1F4E52">
                            <w:pPr>
                              <w:rPr>
                                <w:rFonts w:hint="default" w:eastAsia="宋体"/>
                                <w:b/>
                                <w:bCs/>
                                <w:lang w:val="en-US" w:eastAsia="zh-CN"/>
                              </w:rPr>
                            </w:pPr>
                            <w:r>
                              <w:rPr>
                                <w:rFonts w:hint="eastAsia"/>
                                <w:b/>
                                <w:bCs/>
                                <w:color w:val="FF0000"/>
                                <w:lang w:val="en-US" w:eastAsia="zh-CN"/>
                              </w:rPr>
                              <w:t>引用监测点</w:t>
                            </w:r>
                          </w:p>
                        </w:txbxContent>
                      </v:textbox>
                    </v:shape>
                  </w:pict>
                </mc:Fallback>
              </mc:AlternateContent>
            </w:r>
            <w:r>
              <w:rPr>
                <w:color w:val="auto"/>
                <w:sz w:val="21"/>
                <w:highlight w:val="none"/>
              </w:rPr>
              <mc:AlternateContent>
                <mc:Choice Requires="wps">
                  <w:drawing>
                    <wp:anchor distT="0" distB="0" distL="114300" distR="114300" simplePos="0" relativeHeight="251662336" behindDoc="0" locked="0" layoutInCell="1" allowOverlap="1">
                      <wp:simplePos x="0" y="0"/>
                      <wp:positionH relativeFrom="column">
                        <wp:posOffset>3437890</wp:posOffset>
                      </wp:positionH>
                      <wp:positionV relativeFrom="paragraph">
                        <wp:posOffset>499110</wp:posOffset>
                      </wp:positionV>
                      <wp:extent cx="191770" cy="276860"/>
                      <wp:effectExtent l="0" t="0" r="0" b="0"/>
                      <wp:wrapNone/>
                      <wp:docPr id="5" name="直线 18"/>
                      <wp:cNvGraphicFramePr/>
                      <a:graphic xmlns:a="http://schemas.openxmlformats.org/drawingml/2006/main">
                        <a:graphicData uri="http://schemas.microsoft.com/office/word/2010/wordprocessingShape">
                          <wps:wsp>
                            <wps:cNvCnPr/>
                            <wps:spPr>
                              <a:xfrm flipH="1">
                                <a:off x="0" y="0"/>
                                <a:ext cx="191770" cy="276860"/>
                              </a:xfrm>
                              <a:prstGeom prst="line">
                                <a:avLst/>
                              </a:prstGeom>
                              <a:ln w="19050" cap="flat" cmpd="sng">
                                <a:solidFill>
                                  <a:srgbClr val="FF0000"/>
                                </a:solidFill>
                                <a:prstDash val="solid"/>
                                <a:headEnd type="none" w="med" len="med"/>
                                <a:tailEnd type="arrow" w="med" len="med"/>
                              </a:ln>
                            </wps:spPr>
                            <wps:bodyPr upright="1"/>
                          </wps:wsp>
                        </a:graphicData>
                      </a:graphic>
                    </wp:anchor>
                  </w:drawing>
                </mc:Choice>
                <mc:Fallback>
                  <w:pict>
                    <v:line id="直线 18" o:spid="_x0000_s1026" o:spt="20" style="position:absolute;left:0pt;flip:x;margin-left:270.7pt;margin-top:39.3pt;height:21.8pt;width:15.1pt;z-index:251662336;mso-width-relative:page;mso-height-relative:page;" filled="f" stroked="t" coordsize="21600,21600" o:gfxdata="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OsO2TYAAAACgEAAA8AAAAAAAAAAQAgAAAAIgAAAGRycy9kb3ducmV2&#10;LnhtbFBLAQIUABQAAAAIAIdO4kC54HOc/AEAAOwDAAAOAAAAAAAAAAEAIAAAACcBAABkcnMvZTJv&#10;RG9jLnhtbFBLBQYAAAAABgAGAFkBAACVBQAAAAA=&#10;">
                      <v:fill on="f" focussize="0,0"/>
                      <v:stroke weight="1.5pt" color="#FF0000" joinstyle="round" endarrow="open"/>
                      <v:imagedata o:title=""/>
                      <o:lock v:ext="edit" aspectratio="f"/>
                    </v:line>
                  </w:pict>
                </mc:Fallback>
              </mc:AlternateContent>
            </w:r>
            <w:r>
              <w:rPr>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3633470</wp:posOffset>
                      </wp:positionH>
                      <wp:positionV relativeFrom="paragraph">
                        <wp:posOffset>223520</wp:posOffset>
                      </wp:positionV>
                      <wp:extent cx="871220" cy="2540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871220" cy="254000"/>
                              </a:xfrm>
                              <a:prstGeom prst="rect">
                                <a:avLst/>
                              </a:prstGeom>
                              <a:solidFill>
                                <a:srgbClr val="FFFFFF"/>
                              </a:solidFill>
                              <a:ln>
                                <a:noFill/>
                              </a:ln>
                            </wps:spPr>
                            <wps:txbx>
                              <w:txbxContent>
                                <w:p w14:paraId="1FCE5969">
                                  <w:pPr>
                                    <w:rPr>
                                      <w:rFonts w:hint="default" w:eastAsia="宋体"/>
                                      <w:b/>
                                      <w:bCs/>
                                      <w:lang w:val="en-US" w:eastAsia="zh-CN"/>
                                    </w:rPr>
                                  </w:pPr>
                                  <w:r>
                                    <w:rPr>
                                      <w:rFonts w:hint="eastAsia"/>
                                      <w:b/>
                                      <w:bCs/>
                                      <w:color w:val="FF0000"/>
                                      <w:lang w:val="en-US" w:eastAsia="zh-CN"/>
                                    </w:rPr>
                                    <w:t>项目所在地</w:t>
                                  </w:r>
                                </w:p>
                              </w:txbxContent>
                            </wps:txbx>
                            <wps:bodyPr wrap="square" upright="1"/>
                          </wps:wsp>
                        </a:graphicData>
                      </a:graphic>
                    </wp:anchor>
                  </w:drawing>
                </mc:Choice>
                <mc:Fallback>
                  <w:pict>
                    <v:shape id="文本框 19" o:spid="_x0000_s1026" o:spt="202" type="#_x0000_t202" style="position:absolute;left:0pt;margin-left:286.1pt;margin-top:17.6pt;height:20pt;width:68.6pt;z-index:251661312;mso-width-relative:page;mso-height-relative:page;" fillcolor="#FFFFFF" filled="t" stroked="f" coordsize="21600,21600" o:gfxdata="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PQ4KXbWAAAACQEAAA8AAAAAAAAAAQAgAAAAIgAAAGRycy9k&#10;b3ducmV2LnhtbFBLAQIUABQAAAAIAIdO4kBmwQxmywEAAIUDAAAOAAAAAAAAAAEAIAAAACUBAABk&#10;cnMvZTJvRG9jLnhtbFBLBQYAAAAABgAGAFkBAABiBQAAAAA=&#10;">
                      <v:fill on="t" focussize="0,0"/>
                      <v:stroke on="f"/>
                      <v:imagedata o:title=""/>
                      <o:lock v:ext="edit" aspectratio="f"/>
                      <v:textbox>
                        <w:txbxContent>
                          <w:p w14:paraId="1FCE5969">
                            <w:pPr>
                              <w:rPr>
                                <w:rFonts w:hint="default" w:eastAsia="宋体"/>
                                <w:b/>
                                <w:bCs/>
                                <w:lang w:val="en-US" w:eastAsia="zh-CN"/>
                              </w:rPr>
                            </w:pPr>
                            <w:r>
                              <w:rPr>
                                <w:rFonts w:hint="eastAsia"/>
                                <w:b/>
                                <w:bCs/>
                                <w:color w:val="FF0000"/>
                                <w:lang w:val="en-US" w:eastAsia="zh-CN"/>
                              </w:rPr>
                              <w:t>项目所在地</w:t>
                            </w:r>
                          </w:p>
                        </w:txbxContent>
                      </v:textbox>
                    </v:shape>
                  </w:pict>
                </mc:Fallback>
              </mc:AlternateContent>
            </w:r>
            <w:r>
              <w:rPr>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1334135</wp:posOffset>
                      </wp:positionH>
                      <wp:positionV relativeFrom="paragraph">
                        <wp:posOffset>2485390</wp:posOffset>
                      </wp:positionV>
                      <wp:extent cx="297815" cy="456565"/>
                      <wp:effectExtent l="0" t="0" r="0" b="0"/>
                      <wp:wrapNone/>
                      <wp:docPr id="3" name="直线 15"/>
                      <wp:cNvGraphicFramePr/>
                      <a:graphic xmlns:a="http://schemas.openxmlformats.org/drawingml/2006/main">
                        <a:graphicData uri="http://schemas.microsoft.com/office/word/2010/wordprocessingShape">
                          <wps:wsp>
                            <wps:cNvCnPr/>
                            <wps:spPr>
                              <a:xfrm>
                                <a:off x="0" y="0"/>
                                <a:ext cx="297815" cy="456565"/>
                              </a:xfrm>
                              <a:prstGeom prst="line">
                                <a:avLst/>
                              </a:prstGeom>
                              <a:ln w="19050" cap="flat" cmpd="sng">
                                <a:solidFill>
                                  <a:srgbClr val="FF0000"/>
                                </a:solidFill>
                                <a:prstDash val="solid"/>
                                <a:headEnd type="none" w="med" len="med"/>
                                <a:tailEnd type="arrow" w="med" len="med"/>
                              </a:ln>
                            </wps:spPr>
                            <wps:bodyPr upright="1"/>
                          </wps:wsp>
                        </a:graphicData>
                      </a:graphic>
                    </wp:anchor>
                  </w:drawing>
                </mc:Choice>
                <mc:Fallback>
                  <w:pict>
                    <v:line id="直线 15" o:spid="_x0000_s1026" o:spt="20" style="position:absolute;left:0pt;margin-left:105.05pt;margin-top:195.7pt;height:35.95pt;width:23.45pt;z-index:251660288;mso-width-relative:page;mso-height-relative:page;" filled="f" stroked="t" coordsize="21600,21600" o:gfxdata="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CsCV9kAAAALAQAADwAAAAAAAAABACAAAAAiAAAAZHJzL2Rvd25yZXYueG1sUEsB&#10;AhQAFAAAAAgAh07iQJMejRb0AQAA4gMAAA4AAAAAAAAAAQAgAAAAKAEAAGRycy9lMm9Eb2MueG1s&#10;UEsFBgAAAAAGAAYAWQEAAI4FAAAAAA==&#10;">
                      <v:fill on="f" focussize="0,0"/>
                      <v:stroke weight="1.5pt" color="#FF0000" joinstyle="round" endarrow="open"/>
                      <v:imagedata o:title=""/>
                      <o:lock v:ext="edit" aspectratio="f"/>
                    </v:line>
                  </w:pict>
                </mc:Fallback>
              </mc:AlternateContent>
            </w:r>
            <w:r>
              <w:rPr>
                <w:rFonts w:hint="eastAsia" w:ascii="Times New Roman" w:hAnsi="Times New Roman" w:eastAsia="宋体" w:cs="Times New Roman"/>
                <w:color w:val="auto"/>
                <w:sz w:val="21"/>
                <w:szCs w:val="21"/>
                <w:highlight w:val="none"/>
                <w:lang w:val="en-US" w:eastAsia="zh-CN"/>
              </w:rPr>
              <w:drawing>
                <wp:inline distT="0" distB="0" distL="114300" distR="114300">
                  <wp:extent cx="5465445" cy="3760470"/>
                  <wp:effectExtent l="0" t="0" r="1905" b="11430"/>
                  <wp:docPr id="48" name="图片 48" descr="引用监测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引用监测点"/>
                          <pic:cNvPicPr>
                            <a:picLocks noChangeAspect="1"/>
                          </pic:cNvPicPr>
                        </pic:nvPicPr>
                        <pic:blipFill>
                          <a:blip r:embed="rId30"/>
                          <a:stretch>
                            <a:fillRect/>
                          </a:stretch>
                        </pic:blipFill>
                        <pic:spPr>
                          <a:xfrm>
                            <a:off x="0" y="0"/>
                            <a:ext cx="5465445" cy="3760470"/>
                          </a:xfrm>
                          <a:prstGeom prst="rect">
                            <a:avLst/>
                          </a:prstGeom>
                        </pic:spPr>
                      </pic:pic>
                    </a:graphicData>
                  </a:graphic>
                </wp:inline>
              </w:drawing>
            </w:r>
          </w:p>
          <w:p w14:paraId="110875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3"/>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图</w:t>
            </w:r>
            <w:r>
              <w:rPr>
                <w:rFonts w:hint="eastAsia" w:ascii="Times New Roman" w:hAnsi="Times New Roman" w:eastAsia="宋体" w:cs="Times New Roman"/>
                <w:b/>
                <w:bCs/>
                <w:color w:val="auto"/>
                <w:sz w:val="21"/>
                <w:szCs w:val="21"/>
                <w:highlight w:val="none"/>
                <w:lang w:eastAsia="zh-CN"/>
              </w:rPr>
              <w:t>3-</w:t>
            </w:r>
            <w:r>
              <w:rPr>
                <w:rFonts w:hint="eastAsia" w:ascii="Times New Roman" w:hAnsi="Times New Roman" w:eastAsia="宋体" w:cs="Times New Roman"/>
                <w:b/>
                <w:bCs/>
                <w:color w:val="auto"/>
                <w:sz w:val="21"/>
                <w:szCs w:val="21"/>
                <w:highlight w:val="none"/>
                <w:lang w:val="en-US" w:eastAsia="zh-CN"/>
              </w:rPr>
              <w:t>1</w:t>
            </w:r>
            <w:r>
              <w:rPr>
                <w:rFonts w:hint="eastAsia" w:ascii="Times New Roman" w:hAnsi="Times New Roman" w:eastAsia="宋体" w:cs="Times New Roman"/>
                <w:b/>
                <w:bCs/>
                <w:color w:val="auto"/>
                <w:sz w:val="21"/>
                <w:szCs w:val="21"/>
                <w:highlight w:val="none"/>
                <w:lang w:eastAsia="zh-CN"/>
              </w:rPr>
              <w:t xml:space="preserve">  </w:t>
            </w:r>
            <w:r>
              <w:rPr>
                <w:rFonts w:hint="eastAsia" w:ascii="Times New Roman" w:hAnsi="Times New Roman" w:eastAsia="宋体" w:cs="Times New Roman"/>
                <w:b/>
                <w:bCs/>
                <w:color w:val="auto"/>
                <w:sz w:val="21"/>
                <w:szCs w:val="21"/>
                <w:highlight w:val="none"/>
                <w:lang w:val="en-US" w:eastAsia="zh-CN"/>
              </w:rPr>
              <w:t>项目特征因子</w:t>
            </w:r>
            <w:r>
              <w:rPr>
                <w:rFonts w:hint="eastAsia" w:ascii="Times New Roman" w:hAnsi="Times New Roman" w:eastAsia="宋体" w:cs="Times New Roman"/>
                <w:b/>
                <w:bCs/>
                <w:color w:val="auto"/>
                <w:sz w:val="21"/>
                <w:szCs w:val="21"/>
                <w:highlight w:val="none"/>
                <w:lang w:eastAsia="zh-CN"/>
              </w:rPr>
              <w:t>环境质量</w:t>
            </w:r>
            <w:r>
              <w:rPr>
                <w:rFonts w:hint="eastAsia" w:ascii="Times New Roman" w:hAnsi="Times New Roman" w:eastAsia="宋体" w:cs="Times New Roman"/>
                <w:b/>
                <w:bCs/>
                <w:color w:val="auto"/>
                <w:sz w:val="21"/>
                <w:szCs w:val="21"/>
                <w:highlight w:val="none"/>
                <w:lang w:val="en-US" w:eastAsia="zh-CN"/>
              </w:rPr>
              <w:t>情况引用数据点位示意图</w:t>
            </w:r>
          </w:p>
          <w:p w14:paraId="5E97CA35">
            <w:pPr>
              <w:spacing w:before="63" w:line="346" w:lineRule="auto"/>
              <w:ind w:left="86" w:right="158" w:firstLine="489"/>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项目特征因子</w:t>
            </w:r>
            <w:r>
              <w:rPr>
                <w:rFonts w:hint="eastAsia" w:ascii="Times New Roman" w:hAnsi="Times New Roman" w:eastAsia="宋体" w:cs="Times New Roman"/>
                <w:color w:val="000000"/>
                <w:sz w:val="24"/>
                <w:szCs w:val="24"/>
                <w:highlight w:val="none"/>
                <w:lang w:val="en-US" w:eastAsia="zh-CN"/>
              </w:rPr>
              <w:t>甲醛</w:t>
            </w:r>
            <w:r>
              <w:rPr>
                <w:rFonts w:hint="default" w:ascii="Times New Roman" w:hAnsi="Times New Roman" w:eastAsia="宋体" w:cs="Times New Roman"/>
                <w:color w:val="000000"/>
                <w:sz w:val="24"/>
                <w:szCs w:val="24"/>
                <w:highlight w:val="none"/>
              </w:rPr>
              <w:t>引用《丰盛汽车零部件（池州）有限公司年产30万台（套）汽车离合器总成项目</w:t>
            </w:r>
            <w:r>
              <w:rPr>
                <w:rFonts w:hint="eastAsia" w:ascii="Times New Roman" w:hAnsi="Times New Roman" w:eastAsia="宋体" w:cs="Times New Roman"/>
                <w:color w:val="000000"/>
                <w:sz w:val="24"/>
                <w:szCs w:val="24"/>
                <w:highlight w:val="none"/>
                <w:lang w:val="en-US" w:eastAsia="zh-CN"/>
              </w:rPr>
              <w:t>环境项目报告表</w:t>
            </w:r>
            <w:r>
              <w:rPr>
                <w:rFonts w:hint="default" w:ascii="Times New Roman" w:hAnsi="Times New Roman" w:eastAsia="宋体" w:cs="Times New Roman"/>
                <w:color w:val="000000"/>
                <w:sz w:val="24"/>
                <w:szCs w:val="24"/>
                <w:highlight w:val="none"/>
              </w:rPr>
              <w:t>》数据（监测时间为202</w:t>
            </w:r>
            <w:r>
              <w:rPr>
                <w:rFonts w:hint="eastAsia" w:ascii="Times New Roman" w:hAnsi="Times New Roman" w:eastAsia="宋体" w:cs="Times New Roman"/>
                <w:color w:val="000000"/>
                <w:sz w:val="24"/>
                <w:szCs w:val="24"/>
                <w:highlight w:val="none"/>
                <w:lang w:val="en-US" w:eastAsia="zh-CN"/>
              </w:rPr>
              <w:t>4</w:t>
            </w:r>
            <w:r>
              <w:rPr>
                <w:rFonts w:hint="default" w:ascii="Times New Roman" w:hAnsi="Times New Roman" w:eastAsia="宋体" w:cs="Times New Roman"/>
                <w:color w:val="000000"/>
                <w:sz w:val="24"/>
                <w:szCs w:val="24"/>
                <w:highlight w:val="none"/>
              </w:rPr>
              <w:t>年</w:t>
            </w:r>
            <w:r>
              <w:rPr>
                <w:rFonts w:hint="eastAsia" w:ascii="Times New Roman" w:hAnsi="Times New Roman" w:eastAsia="宋体" w:cs="Times New Roman"/>
                <w:color w:val="000000"/>
                <w:sz w:val="24"/>
                <w:szCs w:val="24"/>
                <w:highlight w:val="none"/>
                <w:lang w:val="en-US" w:eastAsia="zh-CN"/>
              </w:rPr>
              <w:t>7</w:t>
            </w:r>
            <w:r>
              <w:rPr>
                <w:rFonts w:hint="default" w:ascii="Times New Roman" w:hAnsi="Times New Roman" w:eastAsia="宋体" w:cs="Times New Roman"/>
                <w:color w:val="000000"/>
                <w:sz w:val="24"/>
                <w:szCs w:val="24"/>
                <w:highlight w:val="none"/>
              </w:rPr>
              <w:t>月</w:t>
            </w:r>
            <w:r>
              <w:rPr>
                <w:rFonts w:hint="eastAsia" w:ascii="Times New Roman" w:hAnsi="Times New Roman" w:eastAsia="宋体" w:cs="Times New Roman"/>
                <w:color w:val="000000"/>
                <w:sz w:val="24"/>
                <w:szCs w:val="24"/>
                <w:highlight w:val="none"/>
                <w:lang w:val="en-US" w:eastAsia="zh-CN"/>
              </w:rPr>
              <w:t>18</w:t>
            </w:r>
            <w:r>
              <w:rPr>
                <w:rFonts w:hint="default" w:ascii="Times New Roman" w:hAnsi="Times New Roman" w:eastAsia="宋体" w:cs="Times New Roman"/>
                <w:color w:val="000000"/>
                <w:sz w:val="24"/>
                <w:szCs w:val="24"/>
                <w:highlight w:val="none"/>
              </w:rPr>
              <w:t>日-7月</w:t>
            </w:r>
            <w:r>
              <w:rPr>
                <w:rFonts w:hint="eastAsia" w:ascii="Times New Roman" w:hAnsi="Times New Roman" w:eastAsia="宋体" w:cs="Times New Roman"/>
                <w:color w:val="000000"/>
                <w:sz w:val="24"/>
                <w:szCs w:val="24"/>
                <w:highlight w:val="none"/>
                <w:lang w:val="en-US" w:eastAsia="zh-CN"/>
              </w:rPr>
              <w:t>20</w:t>
            </w:r>
            <w:r>
              <w:rPr>
                <w:rFonts w:hint="default" w:ascii="Times New Roman" w:hAnsi="Times New Roman" w:eastAsia="宋体" w:cs="Times New Roman"/>
                <w:color w:val="000000"/>
                <w:sz w:val="24"/>
                <w:szCs w:val="24"/>
                <w:highlight w:val="none"/>
              </w:rPr>
              <w:t>日</w:t>
            </w:r>
            <w:r>
              <w:rPr>
                <w:rFonts w:hint="eastAsia" w:ascii="Times New Roman" w:hAnsi="Times New Roman" w:eastAsia="宋体" w:cs="Times New Roman"/>
                <w:color w:val="000000"/>
                <w:sz w:val="24"/>
                <w:szCs w:val="24"/>
                <w:highlight w:val="none"/>
                <w:lang w:eastAsia="zh-CN"/>
              </w:rPr>
              <w:t>、</w:t>
            </w:r>
            <w:r>
              <w:rPr>
                <w:rFonts w:hint="default" w:ascii="Times New Roman" w:hAnsi="Times New Roman" w:eastAsia="宋体" w:cs="Times New Roman"/>
                <w:color w:val="000000"/>
                <w:sz w:val="24"/>
                <w:szCs w:val="24"/>
                <w:highlight w:val="none"/>
              </w:rPr>
              <w:t>202</w:t>
            </w:r>
            <w:r>
              <w:rPr>
                <w:rFonts w:hint="eastAsia" w:ascii="Times New Roman" w:hAnsi="Times New Roman" w:eastAsia="宋体" w:cs="Times New Roman"/>
                <w:color w:val="000000"/>
                <w:sz w:val="24"/>
                <w:szCs w:val="24"/>
                <w:highlight w:val="none"/>
                <w:lang w:val="en-US" w:eastAsia="zh-CN"/>
              </w:rPr>
              <w:t>4</w:t>
            </w:r>
            <w:r>
              <w:rPr>
                <w:rFonts w:hint="default" w:ascii="Times New Roman" w:hAnsi="Times New Roman" w:eastAsia="宋体" w:cs="Times New Roman"/>
                <w:color w:val="000000"/>
                <w:sz w:val="24"/>
                <w:szCs w:val="24"/>
                <w:highlight w:val="none"/>
              </w:rPr>
              <w:t>年</w:t>
            </w:r>
            <w:r>
              <w:rPr>
                <w:rFonts w:hint="eastAsia" w:ascii="Times New Roman" w:hAnsi="Times New Roman" w:eastAsia="宋体" w:cs="Times New Roman"/>
                <w:color w:val="000000"/>
                <w:sz w:val="24"/>
                <w:szCs w:val="24"/>
                <w:highlight w:val="none"/>
                <w:lang w:val="en-US" w:eastAsia="zh-CN"/>
              </w:rPr>
              <w:t>7</w:t>
            </w:r>
            <w:r>
              <w:rPr>
                <w:rFonts w:hint="default" w:ascii="Times New Roman" w:hAnsi="Times New Roman" w:eastAsia="宋体" w:cs="Times New Roman"/>
                <w:color w:val="000000"/>
                <w:sz w:val="24"/>
                <w:szCs w:val="24"/>
                <w:highlight w:val="none"/>
              </w:rPr>
              <w:t>月</w:t>
            </w:r>
            <w:r>
              <w:rPr>
                <w:rFonts w:hint="eastAsia" w:ascii="Times New Roman" w:hAnsi="Times New Roman" w:eastAsia="宋体" w:cs="Times New Roman"/>
                <w:color w:val="000000"/>
                <w:sz w:val="24"/>
                <w:szCs w:val="24"/>
                <w:highlight w:val="none"/>
                <w:lang w:val="en-US" w:eastAsia="zh-CN"/>
              </w:rPr>
              <w:t>24</w:t>
            </w:r>
            <w:r>
              <w:rPr>
                <w:rFonts w:hint="default" w:ascii="Times New Roman" w:hAnsi="Times New Roman" w:eastAsia="宋体" w:cs="Times New Roman"/>
                <w:color w:val="000000"/>
                <w:sz w:val="24"/>
                <w:szCs w:val="24"/>
                <w:highlight w:val="none"/>
              </w:rPr>
              <w:t>日-7月</w:t>
            </w:r>
            <w:r>
              <w:rPr>
                <w:rFonts w:hint="eastAsia" w:ascii="Times New Roman" w:hAnsi="Times New Roman" w:eastAsia="宋体" w:cs="Times New Roman"/>
                <w:color w:val="000000"/>
                <w:sz w:val="24"/>
                <w:szCs w:val="24"/>
                <w:highlight w:val="none"/>
                <w:lang w:val="en-US" w:eastAsia="zh-CN"/>
              </w:rPr>
              <w:t>27</w:t>
            </w:r>
            <w:r>
              <w:rPr>
                <w:rFonts w:hint="default" w:ascii="Times New Roman" w:hAnsi="Times New Roman" w:eastAsia="宋体" w:cs="Times New Roman"/>
                <w:color w:val="000000"/>
                <w:sz w:val="24"/>
                <w:szCs w:val="24"/>
                <w:highlight w:val="none"/>
              </w:rPr>
              <w:t>日）。</w:t>
            </w:r>
          </w:p>
          <w:p w14:paraId="70B33684">
            <w:pPr>
              <w:spacing w:before="63" w:line="346" w:lineRule="auto"/>
              <w:ind w:left="86" w:right="158" w:firstLine="489"/>
              <w:jc w:val="lef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引用数据可行性：</w:t>
            </w:r>
          </w:p>
          <w:p w14:paraId="1A0F8CD3">
            <w:pPr>
              <w:spacing w:before="63" w:line="346" w:lineRule="auto"/>
              <w:ind w:left="86" w:right="158" w:firstLine="489"/>
              <w:jc w:val="left"/>
              <w:rPr>
                <w:rFonts w:ascii="宋体" w:hAnsi="宋体" w:eastAsia="宋体" w:cs="宋体"/>
                <w:color w:val="000000"/>
                <w:sz w:val="24"/>
                <w:szCs w:val="24"/>
                <w:highlight w:val="none"/>
              </w:rPr>
            </w:pPr>
            <w:r>
              <w:rPr>
                <w:rFonts w:hint="default" w:ascii="Times New Roman" w:hAnsi="Times New Roman" w:eastAsia="宋体" w:cs="Times New Roman"/>
                <w:color w:val="000000"/>
                <w:sz w:val="24"/>
                <w:szCs w:val="24"/>
                <w:highlight w:val="none"/>
              </w:rPr>
              <w:t>本次评价引用报告中的“丰盛汽车零部件（池州）有限公司</w:t>
            </w:r>
            <w:r>
              <w:rPr>
                <w:rFonts w:hint="eastAsia" w:ascii="Times New Roman" w:hAnsi="Times New Roman" w:eastAsia="宋体" w:cs="Times New Roman"/>
                <w:color w:val="000000"/>
                <w:sz w:val="24"/>
                <w:szCs w:val="24"/>
                <w:highlight w:val="none"/>
                <w:lang w:val="en-US" w:eastAsia="zh-CN"/>
              </w:rPr>
              <w:t>项目地</w:t>
            </w:r>
            <w:r>
              <w:rPr>
                <w:rFonts w:hint="default" w:ascii="Times New Roman" w:hAnsi="Times New Roman" w:eastAsia="宋体" w:cs="Times New Roman"/>
                <w:color w:val="000000"/>
                <w:sz w:val="24"/>
                <w:szCs w:val="24"/>
                <w:highlight w:val="none"/>
              </w:rPr>
              <w:t>”监测点位，监测点位于本项目西</w:t>
            </w:r>
            <w:r>
              <w:rPr>
                <w:rFonts w:hint="eastAsia" w:ascii="Times New Roman" w:hAnsi="Times New Roman" w:eastAsia="宋体" w:cs="Times New Roman"/>
                <w:color w:val="000000"/>
                <w:sz w:val="24"/>
                <w:szCs w:val="24"/>
                <w:highlight w:val="none"/>
                <w:lang w:val="en-US" w:eastAsia="zh-CN"/>
              </w:rPr>
              <w:t>北</w:t>
            </w:r>
            <w:r>
              <w:rPr>
                <w:rFonts w:hint="default" w:ascii="Times New Roman" w:hAnsi="Times New Roman" w:eastAsia="宋体" w:cs="Times New Roman"/>
                <w:color w:val="000000"/>
                <w:sz w:val="24"/>
                <w:szCs w:val="24"/>
                <w:highlight w:val="none"/>
              </w:rPr>
              <w:t>侧，直线距离约为</w:t>
            </w:r>
            <w:r>
              <w:rPr>
                <w:rFonts w:hint="default" w:ascii="Times New Roman" w:hAnsi="Times New Roman" w:eastAsia="宋体" w:cs="Times New Roman"/>
                <w:color w:val="000000"/>
                <w:sz w:val="24"/>
                <w:szCs w:val="24"/>
                <w:highlight w:val="none"/>
                <w:lang w:val="en-US" w:eastAsia="zh-CN"/>
              </w:rPr>
              <w:t>4</w:t>
            </w:r>
            <w:r>
              <w:rPr>
                <w:rFonts w:hint="eastAsia" w:ascii="Times New Roman" w:hAnsi="Times New Roman" w:eastAsia="宋体" w:cs="Times New Roman"/>
                <w:color w:val="000000"/>
                <w:sz w:val="24"/>
                <w:szCs w:val="24"/>
                <w:highlight w:val="none"/>
                <w:lang w:val="en-US" w:eastAsia="zh-CN"/>
              </w:rPr>
              <w:t>529</w:t>
            </w:r>
            <w:r>
              <w:rPr>
                <w:rFonts w:hint="default" w:ascii="Times New Roman" w:hAnsi="Times New Roman" w:eastAsia="宋体" w:cs="Times New Roman"/>
                <w:color w:val="000000"/>
                <w:sz w:val="24"/>
                <w:szCs w:val="24"/>
                <w:highlight w:val="none"/>
              </w:rPr>
              <w:t>m，监测时间为202</w:t>
            </w:r>
            <w:r>
              <w:rPr>
                <w:rFonts w:hint="eastAsia" w:ascii="Times New Roman" w:hAnsi="Times New Roman" w:eastAsia="宋体" w:cs="Times New Roman"/>
                <w:color w:val="000000"/>
                <w:sz w:val="24"/>
                <w:szCs w:val="24"/>
                <w:highlight w:val="none"/>
                <w:lang w:val="en-US" w:eastAsia="zh-CN"/>
              </w:rPr>
              <w:t>4</w:t>
            </w:r>
            <w:r>
              <w:rPr>
                <w:rFonts w:hint="default" w:ascii="Times New Roman" w:hAnsi="Times New Roman" w:eastAsia="宋体" w:cs="Times New Roman"/>
                <w:color w:val="000000"/>
                <w:sz w:val="24"/>
                <w:szCs w:val="24"/>
                <w:highlight w:val="none"/>
              </w:rPr>
              <w:t>年</w:t>
            </w:r>
            <w:r>
              <w:rPr>
                <w:rFonts w:hint="eastAsia" w:ascii="Times New Roman" w:hAnsi="Times New Roman" w:eastAsia="宋体" w:cs="Times New Roman"/>
                <w:color w:val="000000"/>
                <w:sz w:val="24"/>
                <w:szCs w:val="24"/>
                <w:highlight w:val="none"/>
                <w:lang w:val="en-US" w:eastAsia="zh-CN"/>
              </w:rPr>
              <w:t>7</w:t>
            </w:r>
            <w:r>
              <w:rPr>
                <w:rFonts w:hint="default" w:ascii="Times New Roman" w:hAnsi="Times New Roman" w:eastAsia="宋体" w:cs="Times New Roman"/>
                <w:color w:val="000000"/>
                <w:sz w:val="24"/>
                <w:szCs w:val="24"/>
                <w:highlight w:val="none"/>
              </w:rPr>
              <w:t>月</w:t>
            </w:r>
            <w:r>
              <w:rPr>
                <w:rFonts w:hint="eastAsia" w:ascii="Times New Roman" w:hAnsi="Times New Roman" w:eastAsia="宋体" w:cs="Times New Roman"/>
                <w:color w:val="000000"/>
                <w:sz w:val="24"/>
                <w:szCs w:val="24"/>
                <w:highlight w:val="none"/>
                <w:lang w:val="en-US" w:eastAsia="zh-CN"/>
              </w:rPr>
              <w:t>18</w:t>
            </w:r>
            <w:r>
              <w:rPr>
                <w:rFonts w:hint="default" w:ascii="Times New Roman" w:hAnsi="Times New Roman" w:eastAsia="宋体" w:cs="Times New Roman"/>
                <w:color w:val="000000"/>
                <w:sz w:val="24"/>
                <w:szCs w:val="24"/>
                <w:highlight w:val="none"/>
              </w:rPr>
              <w:t>日-7月</w:t>
            </w:r>
            <w:r>
              <w:rPr>
                <w:rFonts w:hint="eastAsia" w:ascii="Times New Roman" w:hAnsi="Times New Roman" w:eastAsia="宋体" w:cs="Times New Roman"/>
                <w:color w:val="000000"/>
                <w:sz w:val="24"/>
                <w:szCs w:val="24"/>
                <w:highlight w:val="none"/>
                <w:lang w:val="en-US" w:eastAsia="zh-CN"/>
              </w:rPr>
              <w:t>20</w:t>
            </w:r>
            <w:r>
              <w:rPr>
                <w:rFonts w:hint="default" w:ascii="Times New Roman" w:hAnsi="Times New Roman" w:eastAsia="宋体" w:cs="Times New Roman"/>
                <w:color w:val="000000"/>
                <w:sz w:val="24"/>
                <w:szCs w:val="24"/>
                <w:highlight w:val="none"/>
              </w:rPr>
              <w:t>日</w:t>
            </w:r>
            <w:r>
              <w:rPr>
                <w:rFonts w:hint="eastAsia" w:ascii="Times New Roman" w:hAnsi="Times New Roman" w:eastAsia="宋体" w:cs="Times New Roman"/>
                <w:color w:val="000000"/>
                <w:sz w:val="24"/>
                <w:szCs w:val="24"/>
                <w:highlight w:val="none"/>
                <w:lang w:eastAsia="zh-CN"/>
              </w:rPr>
              <w:t>、</w:t>
            </w:r>
            <w:r>
              <w:rPr>
                <w:rFonts w:hint="default" w:ascii="Times New Roman" w:hAnsi="Times New Roman" w:eastAsia="宋体" w:cs="Times New Roman"/>
                <w:color w:val="000000"/>
                <w:sz w:val="24"/>
                <w:szCs w:val="24"/>
                <w:highlight w:val="none"/>
              </w:rPr>
              <w:t>202</w:t>
            </w:r>
            <w:r>
              <w:rPr>
                <w:rFonts w:hint="eastAsia" w:ascii="Times New Roman" w:hAnsi="Times New Roman" w:eastAsia="宋体" w:cs="Times New Roman"/>
                <w:color w:val="000000"/>
                <w:sz w:val="24"/>
                <w:szCs w:val="24"/>
                <w:highlight w:val="none"/>
                <w:lang w:val="en-US" w:eastAsia="zh-CN"/>
              </w:rPr>
              <w:t>4</w:t>
            </w:r>
            <w:r>
              <w:rPr>
                <w:rFonts w:hint="default" w:ascii="Times New Roman" w:hAnsi="Times New Roman" w:eastAsia="宋体" w:cs="Times New Roman"/>
                <w:color w:val="000000"/>
                <w:sz w:val="24"/>
                <w:szCs w:val="24"/>
                <w:highlight w:val="none"/>
              </w:rPr>
              <w:t>年</w:t>
            </w:r>
            <w:r>
              <w:rPr>
                <w:rFonts w:hint="eastAsia" w:ascii="Times New Roman" w:hAnsi="Times New Roman" w:eastAsia="宋体" w:cs="Times New Roman"/>
                <w:color w:val="000000"/>
                <w:sz w:val="24"/>
                <w:szCs w:val="24"/>
                <w:highlight w:val="none"/>
                <w:lang w:val="en-US" w:eastAsia="zh-CN"/>
              </w:rPr>
              <w:t>7</w:t>
            </w:r>
            <w:r>
              <w:rPr>
                <w:rFonts w:hint="default" w:ascii="Times New Roman" w:hAnsi="Times New Roman" w:eastAsia="宋体" w:cs="Times New Roman"/>
                <w:color w:val="000000"/>
                <w:sz w:val="24"/>
                <w:szCs w:val="24"/>
                <w:highlight w:val="none"/>
              </w:rPr>
              <w:t>月</w:t>
            </w:r>
            <w:r>
              <w:rPr>
                <w:rFonts w:hint="eastAsia" w:ascii="Times New Roman" w:hAnsi="Times New Roman" w:eastAsia="宋体" w:cs="Times New Roman"/>
                <w:color w:val="000000"/>
                <w:sz w:val="24"/>
                <w:szCs w:val="24"/>
                <w:highlight w:val="none"/>
                <w:lang w:val="en-US" w:eastAsia="zh-CN"/>
              </w:rPr>
              <w:t>24</w:t>
            </w:r>
            <w:r>
              <w:rPr>
                <w:rFonts w:hint="default" w:ascii="Times New Roman" w:hAnsi="Times New Roman" w:eastAsia="宋体" w:cs="Times New Roman"/>
                <w:color w:val="000000"/>
                <w:sz w:val="24"/>
                <w:szCs w:val="24"/>
                <w:highlight w:val="none"/>
              </w:rPr>
              <w:t>日-7月</w:t>
            </w:r>
            <w:r>
              <w:rPr>
                <w:rFonts w:hint="eastAsia" w:ascii="Times New Roman" w:hAnsi="Times New Roman" w:eastAsia="宋体" w:cs="Times New Roman"/>
                <w:color w:val="000000"/>
                <w:sz w:val="24"/>
                <w:szCs w:val="24"/>
                <w:highlight w:val="none"/>
                <w:lang w:val="en-US" w:eastAsia="zh-CN"/>
              </w:rPr>
              <w:t>27</w:t>
            </w:r>
            <w:r>
              <w:rPr>
                <w:rFonts w:hint="default" w:ascii="Times New Roman" w:hAnsi="Times New Roman" w:eastAsia="宋体" w:cs="Times New Roman"/>
                <w:color w:val="000000"/>
                <w:sz w:val="24"/>
                <w:szCs w:val="24"/>
                <w:highlight w:val="none"/>
              </w:rPr>
              <w:t>日。本次评价引用的监测数据，其监测点位在本项目周边5千米范围内，位于主导风向下风向范围内，监测时间距今在3年以内。因此引用该监测数据具有可行性</w:t>
            </w:r>
            <w:r>
              <w:rPr>
                <w:rFonts w:ascii="宋体" w:hAnsi="宋体" w:eastAsia="宋体" w:cs="宋体"/>
                <w:color w:val="000000"/>
                <w:spacing w:val="-4"/>
                <w:sz w:val="24"/>
                <w:szCs w:val="24"/>
                <w:highlight w:val="none"/>
              </w:rPr>
              <w:t>；监测数据及评价结果详见下表：</w:t>
            </w:r>
            <w:r>
              <w:rPr>
                <w:rFonts w:hint="default" w:ascii="Times New Roman" w:hAnsi="Times New Roman" w:eastAsia="宋体" w:cs="Times New Roman"/>
                <w:color w:val="000000"/>
                <w:sz w:val="28"/>
                <w:highlight w:val="none"/>
              </w:rPr>
              <mc:AlternateContent>
                <mc:Choice Requires="wps">
                  <w:drawing>
                    <wp:anchor distT="0" distB="0" distL="114300" distR="114300" simplePos="0" relativeHeight="251683840" behindDoc="0" locked="0" layoutInCell="1" allowOverlap="1">
                      <wp:simplePos x="0" y="0"/>
                      <wp:positionH relativeFrom="column">
                        <wp:posOffset>2136775</wp:posOffset>
                      </wp:positionH>
                      <wp:positionV relativeFrom="paragraph">
                        <wp:posOffset>1236980</wp:posOffset>
                      </wp:positionV>
                      <wp:extent cx="669290" cy="207010"/>
                      <wp:effectExtent l="0" t="0" r="0" b="0"/>
                      <wp:wrapNone/>
                      <wp:docPr id="45" name="文本框 45"/>
                      <wp:cNvGraphicFramePr/>
                      <a:graphic xmlns:a="http://schemas.openxmlformats.org/drawingml/2006/main">
                        <a:graphicData uri="http://schemas.microsoft.com/office/word/2010/wordprocessingShape">
                          <wps:wsp>
                            <wps:cNvSpPr txBox="1"/>
                            <wps:spPr>
                              <a:xfrm flipH="1">
                                <a:off x="0" y="0"/>
                                <a:ext cx="669290" cy="207010"/>
                              </a:xfrm>
                              <a:prstGeom prst="rect">
                                <a:avLst/>
                              </a:prstGeom>
                              <a:noFill/>
                              <a:ln>
                                <a:noFill/>
                              </a:ln>
                            </wps:spPr>
                            <wps:txbx>
                              <w:txbxContent>
                                <w:p w14:paraId="5F0FC20E">
                                  <w:pPr>
                                    <w:spacing w:line="240" w:lineRule="auto"/>
                                    <w:jc w:val="center"/>
                                    <w:rPr>
                                      <w:rFonts w:hint="default" w:ascii="Times New Roman" w:hAnsi="Times New Roman" w:eastAsia="宋体" w:cs="Times New Roman"/>
                                      <w:color w:val="000000"/>
                                      <w:sz w:val="18"/>
                                      <w:szCs w:val="21"/>
                                      <w:lang w:val="en-US" w:eastAsia="zh-CN"/>
                                    </w:rPr>
                                  </w:pPr>
                                  <w:r>
                                    <w:rPr>
                                      <w:rFonts w:hint="eastAsia" w:ascii="Times New Roman" w:hAnsi="Times New Roman" w:eastAsia="宋体" w:cs="Times New Roman"/>
                                      <w:color w:val="000000"/>
                                      <w:sz w:val="18"/>
                                      <w:szCs w:val="21"/>
                                      <w:lang w:val="en-US" w:eastAsia="zh-CN"/>
                                    </w:rPr>
                                    <w:t>4529m</w:t>
                                  </w:r>
                                </w:p>
                                <w:p w14:paraId="0BC1CDD6">
                                  <w:pPr>
                                    <w:widowControl w:val="0"/>
                                    <w:adjustRightInd/>
                                    <w:snapToGrid/>
                                    <w:spacing w:beforeLines="0" w:after="120" w:line="240" w:lineRule="auto"/>
                                    <w:ind w:left="0" w:leftChars="0" w:firstLine="0" w:firstLineChars="0"/>
                                    <w:jc w:val="center"/>
                                    <w:rPr>
                                      <w:rFonts w:hint="default" w:ascii="Times New Roman" w:hAnsi="Times New Roman" w:eastAsia="宋体" w:cs="Times New Roman"/>
                                      <w:kern w:val="2"/>
                                      <w:sz w:val="21"/>
                                      <w:szCs w:val="24"/>
                                      <w:lang w:val="en-US" w:eastAsia="zh-CN" w:bidi="ar-SA"/>
                                    </w:rPr>
                                  </w:pPr>
                                </w:p>
                              </w:txbxContent>
                            </wps:txbx>
                            <wps:bodyPr upright="1"/>
                          </wps:wsp>
                        </a:graphicData>
                      </a:graphic>
                    </wp:anchor>
                  </w:drawing>
                </mc:Choice>
                <mc:Fallback>
                  <w:pict>
                    <v:shape id="_x0000_s1026" o:spid="_x0000_s1026" o:spt="202" type="#_x0000_t202" style="position:absolute;left:0pt;flip:x;margin-left:168.25pt;margin-top:97.4pt;height:16.3pt;width:52.7pt;z-index:251683840;mso-width-relative:page;mso-height-relative:page;" filled="f" stroked="f" coordsize="21600,21600" o:gfxdata="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BQTUsrcAAAACwEAAA8AAAAAAAAAAQAgAAAAIgAAAGRycy9kb3ducmV2LnhtbFBLAQIUABQA&#10;AAAIAIdO4kB2CLfNswEAAFkDAAAOAAAAAAAAAAEAIAAAACsBAABkcnMvZTJvRG9jLnhtbFBLBQYA&#10;AAAABgAGAFkBAABQBQAAAAA=&#10;">
                      <v:fill on="f" focussize="0,0"/>
                      <v:stroke on="f"/>
                      <v:imagedata o:title=""/>
                      <o:lock v:ext="edit" aspectratio="f"/>
                      <v:textbox>
                        <w:txbxContent>
                          <w:p w14:paraId="5F0FC20E">
                            <w:pPr>
                              <w:spacing w:line="240" w:lineRule="auto"/>
                              <w:jc w:val="center"/>
                              <w:rPr>
                                <w:rFonts w:hint="default" w:ascii="Times New Roman" w:hAnsi="Times New Roman" w:eastAsia="宋体" w:cs="Times New Roman"/>
                                <w:color w:val="000000"/>
                                <w:sz w:val="18"/>
                                <w:szCs w:val="21"/>
                                <w:lang w:val="en-US" w:eastAsia="zh-CN"/>
                              </w:rPr>
                            </w:pPr>
                            <w:r>
                              <w:rPr>
                                <w:rFonts w:hint="eastAsia" w:ascii="Times New Roman" w:hAnsi="Times New Roman" w:eastAsia="宋体" w:cs="Times New Roman"/>
                                <w:color w:val="000000"/>
                                <w:sz w:val="18"/>
                                <w:szCs w:val="21"/>
                                <w:lang w:val="en-US" w:eastAsia="zh-CN"/>
                              </w:rPr>
                              <w:t>4529m</w:t>
                            </w:r>
                          </w:p>
                          <w:p w14:paraId="0BC1CDD6">
                            <w:pPr>
                              <w:widowControl w:val="0"/>
                              <w:adjustRightInd/>
                              <w:snapToGrid/>
                              <w:spacing w:beforeLines="0" w:after="120" w:line="240" w:lineRule="auto"/>
                              <w:ind w:left="0" w:leftChars="0" w:firstLine="0" w:firstLineChars="0"/>
                              <w:jc w:val="center"/>
                              <w:rPr>
                                <w:rFonts w:hint="default" w:ascii="Times New Roman" w:hAnsi="Times New Roman" w:eastAsia="宋体" w:cs="Times New Roman"/>
                                <w:kern w:val="2"/>
                                <w:sz w:val="21"/>
                                <w:szCs w:val="24"/>
                                <w:lang w:val="en-US" w:eastAsia="zh-CN" w:bidi="ar-SA"/>
                              </w:rPr>
                            </w:pPr>
                          </w:p>
                        </w:txbxContent>
                      </v:textbox>
                    </v:shape>
                  </w:pict>
                </mc:Fallback>
              </mc:AlternateContent>
            </w:r>
            <w:r>
              <w:rPr>
                <w:rFonts w:ascii="Times New Roman" w:hAnsi="Times New Roman" w:eastAsia="宋体" w:cs="Times New Roman"/>
                <w:color w:val="000000"/>
                <w:highlight w:val="none"/>
              </w:rPr>
              <w:drawing>
                <wp:inline distT="0" distB="0" distL="114300" distR="114300">
                  <wp:extent cx="5387340" cy="2624455"/>
                  <wp:effectExtent l="0" t="0" r="3810" b="4445"/>
                  <wp:docPr id="5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
                          <pic:cNvPicPr>
                            <a:picLocks noChangeAspect="1"/>
                          </pic:cNvPicPr>
                        </pic:nvPicPr>
                        <pic:blipFill>
                          <a:blip r:embed="rId31"/>
                          <a:stretch>
                            <a:fillRect/>
                          </a:stretch>
                        </pic:blipFill>
                        <pic:spPr>
                          <a:xfrm>
                            <a:off x="0" y="0"/>
                            <a:ext cx="5387340" cy="2624455"/>
                          </a:xfrm>
                          <a:prstGeom prst="rect">
                            <a:avLst/>
                          </a:prstGeom>
                          <a:noFill/>
                          <a:ln>
                            <a:noFill/>
                          </a:ln>
                        </pic:spPr>
                      </pic:pic>
                    </a:graphicData>
                  </a:graphic>
                </wp:inline>
              </w:drawing>
            </w:r>
          </w:p>
          <w:p w14:paraId="06AC319A">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ascii="宋体" w:hAnsi="宋体" w:eastAsia="宋体" w:cs="宋体"/>
                <w:b/>
                <w:bCs/>
                <w:color w:val="000000"/>
                <w:spacing w:val="-3"/>
                <w:sz w:val="22"/>
                <w:szCs w:val="22"/>
                <w:highlight w:val="none"/>
              </w:rPr>
            </w:pPr>
            <w:r>
              <w:rPr>
                <w:rFonts w:hint="default" w:ascii="Times New Roman" w:hAnsi="Times New Roman" w:eastAsia="宋体" w:cs="Times New Roman"/>
                <w:b/>
                <w:bCs/>
                <w:color w:val="000000"/>
                <w:szCs w:val="21"/>
                <w:highlight w:val="none"/>
              </w:rPr>
              <w:t>图3-</w:t>
            </w:r>
            <w:r>
              <w:rPr>
                <w:rFonts w:hint="eastAsia" w:ascii="Times New Roman" w:hAnsi="Times New Roman" w:eastAsia="宋体" w:cs="Times New Roman"/>
                <w:b/>
                <w:bCs/>
                <w:color w:val="000000"/>
                <w:szCs w:val="21"/>
                <w:highlight w:val="none"/>
                <w:lang w:val="en-US" w:eastAsia="zh-CN"/>
              </w:rPr>
              <w:t>3</w:t>
            </w:r>
            <w:r>
              <w:rPr>
                <w:rFonts w:hint="default" w:ascii="Times New Roman" w:hAnsi="Times New Roman" w:eastAsia="宋体" w:cs="Times New Roman"/>
                <w:b/>
                <w:bCs/>
                <w:color w:val="000000"/>
                <w:szCs w:val="21"/>
                <w:highlight w:val="none"/>
              </w:rPr>
              <w:t xml:space="preserve">  </w:t>
            </w:r>
            <w:r>
              <w:rPr>
                <w:rFonts w:hint="eastAsia" w:ascii="Times New Roman" w:hAnsi="Times New Roman" w:eastAsia="宋体" w:cs="Times New Roman"/>
                <w:b/>
                <w:bCs/>
                <w:color w:val="000000"/>
                <w:szCs w:val="21"/>
                <w:highlight w:val="none"/>
                <w:lang w:val="en-US" w:eastAsia="zh-CN"/>
              </w:rPr>
              <w:t>甲醛</w:t>
            </w:r>
            <w:r>
              <w:rPr>
                <w:rFonts w:hint="default" w:ascii="Times New Roman" w:hAnsi="Times New Roman" w:eastAsia="宋体" w:cs="Times New Roman"/>
                <w:b/>
                <w:bCs/>
                <w:color w:val="000000"/>
                <w:szCs w:val="21"/>
                <w:highlight w:val="none"/>
              </w:rPr>
              <w:t>监测数据点位与本项目位置关系图</w:t>
            </w:r>
          </w:p>
          <w:p w14:paraId="0AF8FDA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eastAsia="宋体" w:cs="宋体"/>
                <w:color w:val="000000"/>
                <w:sz w:val="22"/>
                <w:szCs w:val="22"/>
                <w:highlight w:val="none"/>
              </w:rPr>
            </w:pPr>
            <w:r>
              <w:rPr>
                <w:rFonts w:ascii="宋体" w:hAnsi="宋体" w:eastAsia="宋体" w:cs="宋体"/>
                <w:b/>
                <w:bCs/>
                <w:color w:val="000000"/>
                <w:spacing w:val="-3"/>
                <w:sz w:val="22"/>
                <w:szCs w:val="22"/>
                <w:highlight w:val="none"/>
              </w:rPr>
              <w:t>表3-</w:t>
            </w:r>
            <w:r>
              <w:rPr>
                <w:rFonts w:hint="eastAsia" w:ascii="宋体" w:hAnsi="宋体" w:eastAsia="宋体" w:cs="宋体"/>
                <w:b/>
                <w:bCs/>
                <w:color w:val="000000"/>
                <w:spacing w:val="-3"/>
                <w:sz w:val="22"/>
                <w:szCs w:val="22"/>
                <w:highlight w:val="none"/>
                <w:lang w:val="en-US" w:eastAsia="zh-CN"/>
              </w:rPr>
              <w:t>4</w:t>
            </w:r>
            <w:r>
              <w:rPr>
                <w:rFonts w:ascii="宋体" w:hAnsi="宋体" w:eastAsia="宋体" w:cs="宋体"/>
                <w:b/>
                <w:bCs/>
                <w:color w:val="000000"/>
                <w:spacing w:val="-3"/>
                <w:sz w:val="22"/>
                <w:szCs w:val="22"/>
                <w:highlight w:val="none"/>
              </w:rPr>
              <w:t>区域空气环境质量现状监测结果表</w:t>
            </w:r>
          </w:p>
          <w:tbl>
            <w:tblPr>
              <w:tblStyle w:val="129"/>
              <w:tblW w:w="5000" w:type="pct"/>
              <w:tblInd w:w="113"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2083"/>
              <w:gridCol w:w="930"/>
              <w:gridCol w:w="1590"/>
              <w:gridCol w:w="1560"/>
              <w:gridCol w:w="1635"/>
              <w:gridCol w:w="862"/>
            </w:tblGrid>
            <w:tr w14:paraId="746F58D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2083" w:type="dxa"/>
                  <w:tcBorders>
                    <w:tl2br w:val="nil"/>
                    <w:tr2bl w:val="nil"/>
                  </w:tcBorders>
                  <w:noWrap w:val="0"/>
                  <w:vAlign w:val="center"/>
                </w:tcPr>
                <w:p w14:paraId="5BCA6F9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4"/>
                      <w:sz w:val="21"/>
                      <w:szCs w:val="21"/>
                      <w:highlight w:val="none"/>
                    </w:rPr>
                    <w:t>监测地点</w:t>
                  </w:r>
                </w:p>
              </w:tc>
              <w:tc>
                <w:tcPr>
                  <w:tcW w:w="930" w:type="dxa"/>
                  <w:tcBorders>
                    <w:tl2br w:val="nil"/>
                    <w:tr2bl w:val="nil"/>
                  </w:tcBorders>
                  <w:noWrap w:val="0"/>
                  <w:vAlign w:val="center"/>
                </w:tcPr>
                <w:p w14:paraId="6B24A75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9"/>
                      <w:sz w:val="21"/>
                      <w:szCs w:val="21"/>
                      <w:highlight w:val="none"/>
                    </w:rPr>
                    <w:t>检测项目</w:t>
                  </w:r>
                </w:p>
              </w:tc>
              <w:tc>
                <w:tcPr>
                  <w:tcW w:w="1590" w:type="dxa"/>
                  <w:tcBorders>
                    <w:tl2br w:val="nil"/>
                    <w:tr2bl w:val="nil"/>
                  </w:tcBorders>
                  <w:noWrap w:val="0"/>
                  <w:vAlign w:val="center"/>
                </w:tcPr>
                <w:p w14:paraId="62CED1A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2"/>
                      <w:position w:val="4"/>
                      <w:sz w:val="21"/>
                      <w:szCs w:val="21"/>
                      <w:highlight w:val="none"/>
                    </w:rPr>
                    <w:t>评价标准</w:t>
                  </w:r>
                </w:p>
                <w:p w14:paraId="7548329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pacing w:val="-6"/>
                      <w:sz w:val="21"/>
                      <w:szCs w:val="21"/>
                      <w:highlight w:val="none"/>
                    </w:rPr>
                    <w:t>(μg/m³)</w:t>
                  </w:r>
                  <w:r>
                    <w:rPr>
                      <w:rFonts w:hint="eastAsia" w:ascii="Times New Roman" w:hAnsi="Times New Roman" w:eastAsia="宋体" w:cs="Times New Roman"/>
                      <w:color w:val="000000"/>
                      <w:spacing w:val="-6"/>
                      <w:sz w:val="21"/>
                      <w:szCs w:val="21"/>
                      <w:highlight w:val="none"/>
                      <w:lang w:val="en-US" w:eastAsia="zh-CN"/>
                    </w:rPr>
                    <w:t>1</w:t>
                  </w:r>
                  <w:r>
                    <w:rPr>
                      <w:rFonts w:hint="default" w:ascii="Times New Roman" w:hAnsi="Times New Roman" w:eastAsia="宋体" w:cs="Times New Roman"/>
                      <w:color w:val="000000"/>
                      <w:spacing w:val="-6"/>
                      <w:sz w:val="21"/>
                      <w:szCs w:val="21"/>
                      <w:highlight w:val="none"/>
                      <w:lang w:val="en-US" w:eastAsia="zh-CN"/>
                    </w:rPr>
                    <w:t>小时平均</w:t>
                  </w:r>
                </w:p>
              </w:tc>
              <w:tc>
                <w:tcPr>
                  <w:tcW w:w="1560" w:type="dxa"/>
                  <w:tcBorders>
                    <w:tl2br w:val="nil"/>
                    <w:tr2bl w:val="nil"/>
                  </w:tcBorders>
                  <w:noWrap w:val="0"/>
                  <w:vAlign w:val="center"/>
                </w:tcPr>
                <w:p w14:paraId="6F3E14A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2"/>
                      <w:sz w:val="21"/>
                      <w:szCs w:val="21"/>
                      <w:highlight w:val="none"/>
                    </w:rPr>
                    <w:t>检测浓度范</w:t>
                  </w:r>
                </w:p>
                <w:p w14:paraId="74EF13B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17"/>
                      <w:sz w:val="21"/>
                      <w:szCs w:val="21"/>
                      <w:highlight w:val="none"/>
                    </w:rPr>
                    <w:t>围(μg/m³)</w:t>
                  </w:r>
                </w:p>
              </w:tc>
              <w:tc>
                <w:tcPr>
                  <w:tcW w:w="1635" w:type="dxa"/>
                  <w:tcBorders>
                    <w:tl2br w:val="nil"/>
                    <w:tr2bl w:val="nil"/>
                  </w:tcBorders>
                  <w:noWrap w:val="0"/>
                  <w:vAlign w:val="center"/>
                </w:tcPr>
                <w:p w14:paraId="1DBEEEE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3"/>
                      <w:sz w:val="21"/>
                      <w:szCs w:val="21"/>
                      <w:highlight w:val="none"/>
                    </w:rPr>
                    <w:t>最大浓度占</w:t>
                  </w:r>
                  <w:r>
                    <w:rPr>
                      <w:rFonts w:hint="default" w:ascii="Times New Roman" w:hAnsi="Times New Roman" w:eastAsia="宋体" w:cs="Times New Roman"/>
                      <w:color w:val="000000"/>
                      <w:spacing w:val="-3"/>
                      <w:sz w:val="21"/>
                      <w:szCs w:val="21"/>
                      <w:highlight w:val="none"/>
                    </w:rPr>
                    <w:t>标率%</w:t>
                  </w:r>
                </w:p>
              </w:tc>
              <w:tc>
                <w:tcPr>
                  <w:tcW w:w="862" w:type="dxa"/>
                  <w:tcBorders>
                    <w:tl2br w:val="nil"/>
                    <w:tr2bl w:val="nil"/>
                  </w:tcBorders>
                  <w:noWrap w:val="0"/>
                  <w:vAlign w:val="center"/>
                </w:tcPr>
                <w:p w14:paraId="1CDFAB9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2"/>
                      <w:sz w:val="21"/>
                      <w:szCs w:val="21"/>
                      <w:highlight w:val="none"/>
                    </w:rPr>
                    <w:t>超标率</w:t>
                  </w:r>
                </w:p>
              </w:tc>
            </w:tr>
            <w:tr w14:paraId="4BDB1E5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83" w:type="dxa"/>
                  <w:tcBorders>
                    <w:tl2br w:val="nil"/>
                    <w:tr2bl w:val="nil"/>
                  </w:tcBorders>
                  <w:noWrap w:val="0"/>
                  <w:vAlign w:val="center"/>
                </w:tcPr>
                <w:p w14:paraId="1AB8616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丰盛汽车零部件（池州）有限公司项目地</w:t>
                  </w:r>
                </w:p>
              </w:tc>
              <w:tc>
                <w:tcPr>
                  <w:tcW w:w="930" w:type="dxa"/>
                  <w:tcBorders>
                    <w:tl2br w:val="nil"/>
                    <w:tr2bl w:val="nil"/>
                  </w:tcBorders>
                  <w:noWrap w:val="0"/>
                  <w:vAlign w:val="center"/>
                </w:tcPr>
                <w:p w14:paraId="033CCCE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甲醛</w:t>
                  </w:r>
                </w:p>
              </w:tc>
              <w:tc>
                <w:tcPr>
                  <w:tcW w:w="1590" w:type="dxa"/>
                  <w:tcBorders>
                    <w:tl2br w:val="nil"/>
                    <w:tr2bl w:val="nil"/>
                  </w:tcBorders>
                  <w:noWrap w:val="0"/>
                  <w:vAlign w:val="center"/>
                </w:tcPr>
                <w:p w14:paraId="0F3F690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pacing w:val="-3"/>
                      <w:sz w:val="21"/>
                      <w:szCs w:val="21"/>
                      <w:highlight w:val="none"/>
                      <w:lang w:val="en-US" w:eastAsia="zh-CN"/>
                    </w:rPr>
                    <w:t>5</w:t>
                  </w:r>
                  <w:r>
                    <w:rPr>
                      <w:rFonts w:hint="default" w:ascii="Times New Roman" w:hAnsi="Times New Roman" w:eastAsia="宋体" w:cs="Times New Roman"/>
                      <w:color w:val="000000"/>
                      <w:spacing w:val="-3"/>
                      <w:sz w:val="21"/>
                      <w:szCs w:val="21"/>
                      <w:highlight w:val="none"/>
                    </w:rPr>
                    <w:t>0</w:t>
                  </w:r>
                </w:p>
              </w:tc>
              <w:tc>
                <w:tcPr>
                  <w:tcW w:w="1560" w:type="dxa"/>
                  <w:tcBorders>
                    <w:tl2br w:val="nil"/>
                    <w:tr2bl w:val="nil"/>
                  </w:tcBorders>
                  <w:noWrap w:val="0"/>
                  <w:vAlign w:val="center"/>
                </w:tcPr>
                <w:p w14:paraId="020A92E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ND</w:t>
                  </w:r>
                </w:p>
              </w:tc>
              <w:tc>
                <w:tcPr>
                  <w:tcW w:w="1635" w:type="dxa"/>
                  <w:tcBorders>
                    <w:tl2br w:val="nil"/>
                    <w:tr2bl w:val="nil"/>
                  </w:tcBorders>
                  <w:noWrap w:val="0"/>
                  <w:vAlign w:val="center"/>
                </w:tcPr>
                <w:p w14:paraId="5A14F5A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w:t>
                  </w:r>
                </w:p>
              </w:tc>
              <w:tc>
                <w:tcPr>
                  <w:tcW w:w="862" w:type="dxa"/>
                  <w:tcBorders>
                    <w:tl2br w:val="nil"/>
                    <w:tr2bl w:val="nil"/>
                  </w:tcBorders>
                  <w:noWrap w:val="0"/>
                  <w:vAlign w:val="center"/>
                </w:tcPr>
                <w:p w14:paraId="025DC1E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w:t>
                  </w:r>
                </w:p>
              </w:tc>
            </w:tr>
          </w:tbl>
          <w:p w14:paraId="5A6BEAFF">
            <w:pPr>
              <w:spacing w:line="360" w:lineRule="auto"/>
              <w:ind w:firstLine="480" w:firstLineChars="200"/>
              <w:textAlignment w:val="baseline"/>
              <w:rPr>
                <w:rFonts w:hint="eastAsia" w:ascii="Times New Roman" w:hAnsi="Times New Roman" w:eastAsia="宋体" w:cs="Times New Roman"/>
                <w:b/>
                <w:color w:val="000000"/>
                <w:sz w:val="24"/>
                <w:highlight w:val="none"/>
              </w:rPr>
            </w:pPr>
            <w:r>
              <w:rPr>
                <w:rFonts w:hint="default" w:ascii="Times New Roman" w:hAnsi="Times New Roman" w:eastAsia="宋体" w:cs="Times New Roman"/>
                <w:color w:val="000000"/>
                <w:sz w:val="24"/>
                <w:highlight w:val="none"/>
              </w:rPr>
              <w:t>根据监测结果，项目所在地区域甲醛满足《环境影响评价技术导则 大气环境》(HJ2.2-2018)中表D.1其他污染物空气质量浓度参考限值要求。</w:t>
            </w:r>
          </w:p>
          <w:p w14:paraId="0E82A4A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声环境</w:t>
            </w:r>
          </w:p>
          <w:p w14:paraId="77D691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根据《建设项目环境影响报告表编制技术指南（污染影响类）</w:t>
            </w:r>
            <w:r>
              <w:rPr>
                <w:rFonts w:hint="eastAsia" w:cs="Times New Roman"/>
                <w:color w:val="auto"/>
                <w:sz w:val="24"/>
                <w:highlight w:val="none"/>
                <w:lang w:eastAsia="zh-CN"/>
              </w:rPr>
              <w:t>（试行）》</w:t>
            </w:r>
            <w:r>
              <w:rPr>
                <w:rFonts w:hint="default" w:ascii="Times New Roman" w:hAnsi="Times New Roman" w:eastAsia="宋体" w:cs="Times New Roman"/>
                <w:color w:val="auto"/>
                <w:sz w:val="24"/>
                <w:highlight w:val="none"/>
                <w:lang w:eastAsia="zh-CN"/>
              </w:rPr>
              <w:t>，厂界外周边50m范围内存在声环境保护目标的建设项目，应监测保护目标声环境质量现状并评价达标情况。</w:t>
            </w:r>
          </w:p>
          <w:p w14:paraId="657697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根据现场勘探，本项目厂界外周边50m范围内并不存在声环境保护目标。因此，本项目无需开展声环境质量</w:t>
            </w:r>
            <w:r>
              <w:rPr>
                <w:rFonts w:hint="eastAsia" w:ascii="Times New Roman" w:hAnsi="Times New Roman" w:eastAsia="宋体" w:cs="Times New Roman"/>
                <w:color w:val="auto"/>
                <w:sz w:val="24"/>
                <w:highlight w:val="none"/>
                <w:lang w:val="en-US" w:eastAsia="zh-CN"/>
              </w:rPr>
              <w:t>现状</w:t>
            </w:r>
            <w:r>
              <w:rPr>
                <w:rFonts w:hint="default" w:ascii="Times New Roman" w:hAnsi="Times New Roman" w:eastAsia="宋体" w:cs="Times New Roman"/>
                <w:color w:val="auto"/>
                <w:sz w:val="24"/>
                <w:highlight w:val="none"/>
                <w:lang w:eastAsia="zh-CN"/>
              </w:rPr>
              <w:t>监测。</w:t>
            </w:r>
          </w:p>
          <w:p w14:paraId="64B7FA0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default" w:ascii="Times New Roman" w:hAnsi="Times New Roman" w:eastAsia="宋体" w:cs="Times New Roman"/>
                <w:b/>
                <w:bCs/>
                <w:color w:val="auto"/>
                <w:kern w:val="2"/>
                <w:sz w:val="24"/>
                <w:szCs w:val="24"/>
                <w:lang w:val="en-US" w:eastAsia="zh-CN"/>
              </w:rPr>
              <w:t>生态环境</w:t>
            </w:r>
          </w:p>
          <w:p w14:paraId="0865CD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根据《建设项目环境影响报告表编制技术指南（污染影响类）（试行）》，产业园区外建设项目新增用地且用地范围内含有生态环境保护目标时，应进行生态现状调查。</w:t>
            </w:r>
            <w:r>
              <w:rPr>
                <w:rFonts w:hint="default" w:ascii="Times New Roman" w:hAnsi="Times New Roman" w:cs="Times New Roman"/>
                <w:color w:val="auto"/>
                <w:sz w:val="24"/>
                <w:highlight w:val="none"/>
              </w:rPr>
              <w:t>本项目位于</w:t>
            </w:r>
            <w:r>
              <w:rPr>
                <w:rFonts w:hint="eastAsia" w:cs="Times New Roman"/>
                <w:color w:val="auto"/>
                <w:sz w:val="24"/>
                <w:highlight w:val="none"/>
                <w:lang w:val="en-US" w:eastAsia="zh-CN"/>
              </w:rPr>
              <w:t>青阳县新河镇镁铝及机电装备制造产业集聚区</w:t>
            </w:r>
            <w:r>
              <w:rPr>
                <w:rFonts w:hint="default" w:ascii="Times New Roman" w:hAnsi="Times New Roman" w:cs="Times New Roman"/>
                <w:color w:val="auto"/>
                <w:sz w:val="24"/>
                <w:highlight w:val="none"/>
              </w:rPr>
              <w:t>内，</w:t>
            </w:r>
            <w:r>
              <w:rPr>
                <w:rFonts w:hint="eastAsia" w:ascii="Times New Roman" w:hAnsi="Times New Roman" w:cs="Times New Roman"/>
                <w:color w:val="auto"/>
                <w:sz w:val="24"/>
                <w:highlight w:val="none"/>
                <w:lang w:val="en-US" w:eastAsia="zh-CN"/>
              </w:rPr>
              <w:t>且不新增用地</w:t>
            </w:r>
            <w:r>
              <w:rPr>
                <w:rFonts w:hint="default" w:ascii="Times New Roman" w:hAnsi="Times New Roman" w:cs="Times New Roman"/>
                <w:color w:val="auto"/>
                <w:sz w:val="24"/>
                <w:highlight w:val="none"/>
              </w:rPr>
              <w:t>，无需进行生态现状调查</w:t>
            </w:r>
            <w:r>
              <w:rPr>
                <w:rFonts w:hint="eastAsia" w:cs="Times New Roman"/>
                <w:color w:val="auto"/>
                <w:sz w:val="24"/>
                <w:highlight w:val="none"/>
                <w:lang w:val="en-US" w:eastAsia="zh-CN"/>
              </w:rPr>
              <w:t>。</w:t>
            </w:r>
          </w:p>
          <w:p w14:paraId="4D41F09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5.</w:t>
            </w:r>
            <w:r>
              <w:rPr>
                <w:rFonts w:hint="eastAsia" w:ascii="Times New Roman" w:hAnsi="Times New Roman" w:eastAsia="宋体" w:cs="Times New Roman"/>
                <w:b/>
                <w:bCs/>
                <w:color w:val="auto"/>
                <w:kern w:val="2"/>
                <w:sz w:val="24"/>
                <w:szCs w:val="24"/>
                <w:lang w:val="en-US" w:eastAsia="zh-CN"/>
              </w:rPr>
              <w:t>电磁辐射</w:t>
            </w:r>
          </w:p>
          <w:p w14:paraId="7BF6152C">
            <w:pPr>
              <w:keepNext w:val="0"/>
              <w:keepLines w:val="0"/>
              <w:pageBreakBefore w:val="0"/>
              <w:widowControl w:val="0"/>
              <w:bidi w:val="0"/>
              <w:spacing w:beforeAutospacing="0" w:afterAutospacing="0" w:line="360" w:lineRule="auto"/>
              <w:ind w:left="0" w:leftChars="0" w:right="0" w:rightChars="0" w:firstLine="480" w:firstLineChars="200"/>
              <w:rPr>
                <w:rFonts w:hint="eastAsia" w:cs="Times New Roman"/>
                <w:b/>
                <w:bCs/>
                <w:color w:val="auto"/>
                <w:sz w:val="24"/>
                <w:highlight w:val="none"/>
                <w:lang w:val="en-US" w:eastAsia="zh-CN"/>
              </w:rPr>
            </w:pPr>
            <w:r>
              <w:rPr>
                <w:rFonts w:hint="eastAsia" w:cs="Calibri"/>
                <w:color w:val="auto"/>
                <w:sz w:val="24"/>
                <w:highlight w:val="none"/>
                <w:lang w:val="en-US" w:eastAsia="zh-CN"/>
              </w:rPr>
              <w:t>本项目不涉及电磁辐射类，无需开展电磁辐射现状监测与评价。</w:t>
            </w:r>
          </w:p>
          <w:p w14:paraId="6AB0127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6.</w:t>
            </w:r>
            <w:r>
              <w:rPr>
                <w:rFonts w:hint="default" w:ascii="Times New Roman" w:hAnsi="Times New Roman" w:eastAsia="宋体" w:cs="Times New Roman"/>
                <w:b/>
                <w:bCs/>
                <w:color w:val="auto"/>
                <w:kern w:val="2"/>
                <w:sz w:val="24"/>
                <w:szCs w:val="24"/>
                <w:lang w:val="en-US" w:eastAsia="zh-CN"/>
              </w:rPr>
              <w:t>地下水</w:t>
            </w:r>
            <w:r>
              <w:rPr>
                <w:rFonts w:hint="eastAsia" w:ascii="Times New Roman" w:hAnsi="Times New Roman" w:eastAsia="宋体" w:cs="Times New Roman"/>
                <w:b/>
                <w:bCs/>
                <w:color w:val="auto"/>
                <w:kern w:val="2"/>
                <w:sz w:val="24"/>
                <w:szCs w:val="24"/>
                <w:lang w:val="en-US" w:eastAsia="zh-CN"/>
              </w:rPr>
              <w:t>、土壤</w:t>
            </w:r>
          </w:p>
          <w:p w14:paraId="47E76A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项目周边现状主要为道路、其他企业用地、空地以及居民。</w:t>
            </w:r>
          </w:p>
          <w:p w14:paraId="0C2C13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根据相关资料，项目</w:t>
            </w:r>
            <w:r>
              <w:rPr>
                <w:rFonts w:hint="default" w:ascii="Times New Roman" w:hAnsi="Times New Roman" w:eastAsia="宋体" w:cs="Times New Roman"/>
                <w:color w:val="auto"/>
                <w:sz w:val="24"/>
                <w:szCs w:val="24"/>
                <w:highlight w:val="none"/>
                <w:lang w:eastAsia="zh-CN"/>
              </w:rPr>
              <w:t>厂界外500米范围内</w:t>
            </w:r>
            <w:r>
              <w:rPr>
                <w:rFonts w:hint="eastAsia" w:ascii="Times New Roman" w:hAnsi="Times New Roman" w:eastAsia="宋体" w:cs="Times New Roman"/>
                <w:color w:val="auto"/>
                <w:sz w:val="24"/>
                <w:szCs w:val="24"/>
                <w:highlight w:val="none"/>
                <w:lang w:val="en-US" w:eastAsia="zh-CN"/>
              </w:rPr>
              <w:t>不存在</w:t>
            </w:r>
            <w:r>
              <w:rPr>
                <w:rFonts w:hint="default" w:ascii="Times New Roman" w:hAnsi="Times New Roman" w:eastAsia="宋体" w:cs="Times New Roman"/>
                <w:color w:val="auto"/>
                <w:sz w:val="24"/>
                <w:szCs w:val="24"/>
                <w:highlight w:val="none"/>
                <w:lang w:eastAsia="zh-CN"/>
              </w:rPr>
              <w:t>地下水集中式饮用水水源和热水、矿泉水、温泉等特殊地下水资源。</w:t>
            </w:r>
          </w:p>
          <w:p w14:paraId="3E35F9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根据《建设项目环境影响报告表编制技术指南（污染影响类）（试行）》中要求，区域环境质量现状中</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地下水、土壤环境。原则上不开展环境质量现状调查。建设项目存在土壤、地下水环境污染途径的，应结合污染源、保护目标分布情况开展现状调查以留作背景值。</w:t>
            </w:r>
            <w:r>
              <w:rPr>
                <w:rFonts w:hint="eastAsia" w:ascii="Times New Roman" w:hAnsi="Times New Roman" w:eastAsia="宋体" w:cs="Times New Roman"/>
                <w:color w:val="auto"/>
                <w:sz w:val="24"/>
                <w:szCs w:val="24"/>
                <w:highlight w:val="none"/>
                <w:lang w:eastAsia="zh-CN"/>
              </w:rPr>
              <w:t>”</w:t>
            </w:r>
          </w:p>
          <w:p w14:paraId="7C67A0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FF0000"/>
                <w:kern w:val="0"/>
                <w:sz w:val="24"/>
                <w:highlight w:val="none"/>
              </w:rPr>
            </w:pPr>
            <w:r>
              <w:rPr>
                <w:rFonts w:hint="default" w:ascii="Times New Roman" w:hAnsi="Times New Roman" w:eastAsia="宋体" w:cs="Times New Roman"/>
                <w:color w:val="auto"/>
                <w:sz w:val="24"/>
                <w:szCs w:val="24"/>
                <w:highlight w:val="none"/>
                <w:lang w:eastAsia="zh-CN"/>
              </w:rPr>
              <w:t>本项目</w:t>
            </w:r>
            <w:r>
              <w:rPr>
                <w:rFonts w:hint="eastAsia" w:ascii="Times New Roman" w:hAnsi="Times New Roman" w:eastAsia="宋体" w:cs="Times New Roman"/>
                <w:color w:val="auto"/>
                <w:sz w:val="24"/>
                <w:szCs w:val="24"/>
                <w:highlight w:val="none"/>
                <w:lang w:val="en-US" w:eastAsia="zh-CN"/>
              </w:rPr>
              <w:t>厂区</w:t>
            </w:r>
            <w:r>
              <w:rPr>
                <w:rFonts w:hint="default" w:ascii="Times New Roman" w:hAnsi="Times New Roman" w:eastAsia="宋体" w:cs="Times New Roman"/>
                <w:color w:val="auto"/>
                <w:sz w:val="24"/>
                <w:szCs w:val="24"/>
                <w:highlight w:val="none"/>
                <w:lang w:eastAsia="zh-CN"/>
              </w:rPr>
              <w:t>重点防渗地面硬化，不存在污染途径</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工艺</w:t>
            </w:r>
            <w:r>
              <w:rPr>
                <w:rFonts w:hint="default" w:ascii="Times New Roman" w:hAnsi="Times New Roman" w:eastAsia="宋体" w:cs="Times New Roman"/>
                <w:color w:val="auto"/>
                <w:sz w:val="24"/>
                <w:szCs w:val="24"/>
                <w:highlight w:val="none"/>
                <w:lang w:eastAsia="zh-CN"/>
              </w:rPr>
              <w:t>过程</w:t>
            </w:r>
            <w:r>
              <w:rPr>
                <w:rFonts w:hint="eastAsia" w:ascii="Times New Roman" w:hAnsi="Times New Roman" w:eastAsia="宋体" w:cs="Times New Roman"/>
                <w:color w:val="auto"/>
                <w:sz w:val="24"/>
                <w:szCs w:val="24"/>
                <w:highlight w:val="none"/>
                <w:lang w:val="en-US" w:eastAsia="zh-CN"/>
              </w:rPr>
              <w:t>基本不</w:t>
            </w:r>
            <w:r>
              <w:rPr>
                <w:rFonts w:hint="default" w:ascii="Times New Roman" w:hAnsi="Times New Roman" w:eastAsia="宋体" w:cs="Times New Roman"/>
                <w:color w:val="auto"/>
                <w:sz w:val="24"/>
                <w:szCs w:val="24"/>
                <w:highlight w:val="none"/>
                <w:lang w:eastAsia="zh-CN"/>
              </w:rPr>
              <w:t>涉及土壤、地下水环境污染途径</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故本项目</w:t>
            </w:r>
            <w:r>
              <w:rPr>
                <w:rFonts w:hint="eastAsia" w:ascii="Times New Roman" w:hAnsi="Times New Roman" w:eastAsia="宋体" w:cs="Times New Roman"/>
                <w:color w:val="auto"/>
                <w:sz w:val="24"/>
                <w:szCs w:val="24"/>
                <w:highlight w:val="none"/>
                <w:lang w:val="en-US" w:eastAsia="zh-CN"/>
              </w:rPr>
              <w:t>可不</w:t>
            </w:r>
            <w:r>
              <w:rPr>
                <w:rFonts w:hint="default" w:ascii="Times New Roman" w:hAnsi="Times New Roman" w:eastAsia="宋体" w:cs="Times New Roman"/>
                <w:color w:val="auto"/>
                <w:sz w:val="24"/>
                <w:szCs w:val="24"/>
                <w:highlight w:val="none"/>
                <w:lang w:eastAsia="zh-CN"/>
              </w:rPr>
              <w:t>开展现状调查。</w:t>
            </w:r>
          </w:p>
        </w:tc>
      </w:tr>
      <w:tr w14:paraId="79CCE3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13" w:type="dxa"/>
            <w:noWrap w:val="0"/>
            <w:vAlign w:val="center"/>
          </w:tcPr>
          <w:p w14:paraId="15EFB4AF">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环境</w:t>
            </w:r>
          </w:p>
          <w:p w14:paraId="7FAFE0DD">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保护</w:t>
            </w:r>
          </w:p>
          <w:p w14:paraId="77D4D259">
            <w:pPr>
              <w:adjustRightInd w:val="0"/>
              <w:snapToGrid w:val="0"/>
              <w:jc w:val="center"/>
              <w:rPr>
                <w:rFonts w:hint="default" w:ascii="Times New Roman" w:hAnsi="Times New Roman" w:cs="Times New Roman"/>
                <w:b/>
                <w:bCs/>
                <w:color w:val="FF0000"/>
                <w:kern w:val="0"/>
                <w:sz w:val="24"/>
                <w:szCs w:val="24"/>
                <w:highlight w:val="none"/>
              </w:rPr>
            </w:pPr>
            <w:r>
              <w:rPr>
                <w:rFonts w:hint="default" w:ascii="Times New Roman" w:hAnsi="Times New Roman" w:cs="Times New Roman"/>
                <w:b/>
                <w:bCs/>
                <w:color w:val="auto"/>
                <w:kern w:val="0"/>
                <w:sz w:val="24"/>
                <w:szCs w:val="24"/>
                <w:highlight w:val="none"/>
              </w:rPr>
              <w:t>目标</w:t>
            </w:r>
          </w:p>
        </w:tc>
        <w:tc>
          <w:tcPr>
            <w:tcW w:w="8876" w:type="dxa"/>
            <w:noWrap w:val="0"/>
            <w:vAlign w:val="center"/>
          </w:tcPr>
          <w:p w14:paraId="7179A4C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default" w:ascii="Times New Roman" w:hAnsi="Times New Roman" w:eastAsia="宋体" w:cs="Times New Roman"/>
                <w:b/>
                <w:bCs/>
                <w:color w:val="auto"/>
                <w:kern w:val="2"/>
                <w:sz w:val="24"/>
                <w:szCs w:val="24"/>
                <w:lang w:val="en-US" w:eastAsia="zh-CN"/>
              </w:rPr>
              <w:t>大气环境</w:t>
            </w:r>
            <w:r>
              <w:rPr>
                <w:rFonts w:hint="eastAsia" w:ascii="Times New Roman" w:hAnsi="Times New Roman" w:eastAsia="宋体" w:cs="Times New Roman"/>
                <w:b/>
                <w:bCs/>
                <w:color w:val="auto"/>
                <w:kern w:val="2"/>
                <w:sz w:val="24"/>
                <w:szCs w:val="24"/>
                <w:lang w:val="en-US" w:eastAsia="zh-CN"/>
              </w:rPr>
              <w:t>保护目标</w:t>
            </w:r>
          </w:p>
          <w:p w14:paraId="4D5667F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宋体"/>
                <w:color w:val="auto"/>
                <w:sz w:val="24"/>
                <w:highlight w:val="none"/>
              </w:rPr>
            </w:pPr>
            <w:r>
              <w:rPr>
                <w:rFonts w:hint="eastAsia" w:ascii="Times New Roman" w:hAnsi="Times New Roman" w:cs="Times New Roman"/>
                <w:bCs/>
                <w:color w:val="auto"/>
                <w:sz w:val="24"/>
                <w:highlight w:val="none"/>
                <w:lang w:val="en-US" w:eastAsia="zh-CN"/>
              </w:rPr>
              <w:t>本</w:t>
            </w:r>
            <w:r>
              <w:rPr>
                <w:rFonts w:hint="eastAsia" w:ascii="Times New Roman" w:hAnsi="Times New Roman" w:cs="Times New Roman"/>
                <w:bCs/>
                <w:color w:val="auto"/>
                <w:sz w:val="24"/>
                <w:highlight w:val="none"/>
                <w:lang w:eastAsia="zh-CN"/>
              </w:rPr>
              <w:t>项目</w:t>
            </w:r>
            <w:r>
              <w:rPr>
                <w:rFonts w:hint="default" w:ascii="Times New Roman" w:hAnsi="Times New Roman" w:cs="Times New Roman"/>
                <w:bCs/>
                <w:color w:val="auto"/>
                <w:sz w:val="24"/>
                <w:highlight w:val="none"/>
              </w:rPr>
              <w:t>选址于</w:t>
            </w:r>
            <w:r>
              <w:rPr>
                <w:rFonts w:hint="eastAsia" w:cs="Times New Roman"/>
                <w:bCs/>
                <w:color w:val="auto"/>
                <w:sz w:val="24"/>
                <w:highlight w:val="none"/>
                <w:lang w:val="en-US" w:eastAsia="zh-CN"/>
              </w:rPr>
              <w:t>青阳县新河镇镁铝及机电装备制造产业集聚区</w:t>
            </w:r>
            <w:r>
              <w:rPr>
                <w:rFonts w:hint="eastAsia" w:ascii="Times New Roman" w:hAnsi="Times New Roman" w:cs="Times New Roman"/>
                <w:color w:val="auto"/>
                <w:sz w:val="24"/>
                <w:szCs w:val="24"/>
                <w:highlight w:val="none"/>
                <w:lang w:eastAsia="zh-CN"/>
              </w:rPr>
              <w:t>池州市锋达金属铸造有限公司</w:t>
            </w:r>
            <w:r>
              <w:rPr>
                <w:rFonts w:hint="eastAsia" w:ascii="Times New Roman" w:hAnsi="Times New Roman" w:cs="Times New Roman"/>
                <w:bCs/>
                <w:color w:val="auto"/>
                <w:sz w:val="24"/>
                <w:highlight w:val="none"/>
                <w:lang w:val="en-US" w:eastAsia="zh-CN"/>
              </w:rPr>
              <w:t>现有厂区内</w:t>
            </w:r>
            <w:r>
              <w:rPr>
                <w:rFonts w:hint="eastAsia"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 xml:space="preserve">中心坐标E </w:t>
            </w:r>
            <w:r>
              <w:rPr>
                <w:rFonts w:hint="eastAsia" w:ascii="Times New Roman" w:hAnsi="Times New Roman" w:cs="Times New Roman"/>
                <w:bCs/>
                <w:color w:val="auto"/>
                <w:sz w:val="24"/>
                <w:highlight w:val="none"/>
                <w:lang w:val="en-US" w:eastAsia="zh-CN"/>
              </w:rPr>
              <w:t>117°54′54.981″</w:t>
            </w:r>
            <w:r>
              <w:rPr>
                <w:rFonts w:hint="default"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rPr>
              <w:t>N</w:t>
            </w:r>
            <w:r>
              <w:rPr>
                <w:rFonts w:hint="eastAsia" w:ascii="Times New Roman" w:hAnsi="Times New Roman" w:cs="Times New Roman"/>
                <w:bCs/>
                <w:color w:val="auto"/>
                <w:sz w:val="24"/>
                <w:highlight w:val="none"/>
                <w:lang w:val="en-US" w:eastAsia="zh-CN"/>
              </w:rPr>
              <w:t>30°40′39.316″</w:t>
            </w:r>
            <w:r>
              <w:rPr>
                <w:rFonts w:hint="eastAsia" w:ascii="Times New Roman" w:hAnsi="Times New Roman" w:eastAsia="宋体" w:cs="宋体"/>
                <w:color w:val="auto"/>
                <w:sz w:val="24"/>
                <w:highlight w:val="none"/>
              </w:rPr>
              <w:t>。</w:t>
            </w:r>
          </w:p>
          <w:p w14:paraId="12EFC98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imes New Roman" w:hAnsi="Times New Roman" w:cs="宋体"/>
                <w:color w:val="auto"/>
                <w:kern w:val="0"/>
                <w:sz w:val="24"/>
                <w:highlight w:val="none"/>
                <w:lang w:eastAsia="zh-CN"/>
              </w:rPr>
            </w:pPr>
            <w:r>
              <w:rPr>
                <w:rFonts w:hint="eastAsia" w:ascii="Times New Roman" w:hAnsi="Times New Roman" w:eastAsia="宋体" w:cs="宋体"/>
                <w:color w:val="auto"/>
                <w:sz w:val="24"/>
                <w:highlight w:val="none"/>
                <w:lang w:val="en-US" w:eastAsia="zh-CN"/>
              </w:rPr>
              <w:t>根据现场踏勘情况以及收集到的其他资料，本次项目</w:t>
            </w:r>
            <w:r>
              <w:rPr>
                <w:rFonts w:hint="eastAsia" w:ascii="Times New Roman" w:hAnsi="Times New Roman" w:cs="宋体"/>
                <w:color w:val="auto"/>
                <w:kern w:val="0"/>
                <w:sz w:val="24"/>
                <w:highlight w:val="none"/>
              </w:rPr>
              <w:t>厂界外500米范围内</w:t>
            </w:r>
            <w:r>
              <w:rPr>
                <w:rFonts w:hint="eastAsia" w:ascii="Times New Roman" w:hAnsi="Times New Roman" w:cs="宋体"/>
                <w:color w:val="auto"/>
                <w:kern w:val="0"/>
                <w:sz w:val="24"/>
                <w:highlight w:val="none"/>
                <w:lang w:val="en-US" w:eastAsia="zh-CN"/>
              </w:rPr>
              <w:t>存在</w:t>
            </w:r>
            <w:r>
              <w:rPr>
                <w:rFonts w:hint="eastAsia" w:ascii="Times New Roman" w:hAnsi="Times New Roman" w:cs="宋体"/>
                <w:color w:val="auto"/>
                <w:kern w:val="0"/>
                <w:sz w:val="24"/>
                <w:highlight w:val="none"/>
              </w:rPr>
              <w:t>若干居民点</w:t>
            </w:r>
            <w:r>
              <w:rPr>
                <w:rFonts w:hint="eastAsia" w:ascii="Times New Roman" w:hAnsi="Times New Roman" w:cs="宋体"/>
                <w:color w:val="auto"/>
                <w:kern w:val="0"/>
                <w:sz w:val="24"/>
                <w:highlight w:val="none"/>
                <w:lang w:eastAsia="zh-CN"/>
              </w:rPr>
              <w:t>。</w:t>
            </w:r>
          </w:p>
          <w:p w14:paraId="6A5D5E5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imes New Roman" w:hAnsi="Times New Roman" w:cs="宋体"/>
                <w:color w:val="auto"/>
                <w:kern w:val="0"/>
                <w:sz w:val="24"/>
                <w:highlight w:val="none"/>
              </w:rPr>
            </w:pPr>
            <w:r>
              <w:rPr>
                <w:rFonts w:hint="eastAsia" w:ascii="Times New Roman" w:hAnsi="Times New Roman" w:cs="宋体"/>
                <w:color w:val="auto"/>
                <w:kern w:val="0"/>
                <w:sz w:val="24"/>
                <w:highlight w:val="none"/>
              </w:rPr>
              <w:t>本项目</w:t>
            </w:r>
            <w:r>
              <w:rPr>
                <w:rFonts w:hint="eastAsia" w:ascii="Times New Roman" w:hAnsi="Times New Roman" w:cs="宋体"/>
                <w:color w:val="auto"/>
                <w:kern w:val="0"/>
                <w:sz w:val="24"/>
                <w:highlight w:val="none"/>
                <w:lang w:val="en-US" w:eastAsia="zh-CN"/>
              </w:rPr>
              <w:t>周边</w:t>
            </w:r>
            <w:r>
              <w:rPr>
                <w:rFonts w:hint="eastAsia" w:ascii="Times New Roman" w:hAnsi="Times New Roman" w:cs="宋体"/>
                <w:color w:val="auto"/>
                <w:kern w:val="0"/>
                <w:sz w:val="24"/>
                <w:highlight w:val="none"/>
              </w:rPr>
              <w:t>大气环境保护目标详见下表：</w:t>
            </w:r>
          </w:p>
          <w:p w14:paraId="1BCB958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表3-2  项目主要大气环境保护目标一览表</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387"/>
              <w:gridCol w:w="1115"/>
              <w:gridCol w:w="1220"/>
              <w:gridCol w:w="758"/>
              <w:gridCol w:w="956"/>
              <w:gridCol w:w="1194"/>
              <w:gridCol w:w="741"/>
              <w:gridCol w:w="850"/>
            </w:tblGrid>
            <w:tr w14:paraId="0A0D9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vMerge w:val="restart"/>
                  <w:noWrap w:val="0"/>
                  <w:vAlign w:val="center"/>
                </w:tcPr>
                <w:p w14:paraId="002AAB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序号</w:t>
                  </w:r>
                </w:p>
              </w:tc>
              <w:tc>
                <w:tcPr>
                  <w:tcW w:w="801" w:type="pct"/>
                  <w:vMerge w:val="restart"/>
                  <w:noWrap w:val="0"/>
                  <w:vAlign w:val="center"/>
                </w:tcPr>
                <w:p w14:paraId="696149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名称</w:t>
                  </w:r>
                </w:p>
              </w:tc>
              <w:tc>
                <w:tcPr>
                  <w:tcW w:w="1349" w:type="pct"/>
                  <w:gridSpan w:val="2"/>
                  <w:noWrap w:val="0"/>
                  <w:vAlign w:val="center"/>
                </w:tcPr>
                <w:p w14:paraId="18B855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坐标/m</w:t>
                  </w:r>
                </w:p>
              </w:tc>
              <w:tc>
                <w:tcPr>
                  <w:tcW w:w="438" w:type="pct"/>
                  <w:vMerge w:val="restart"/>
                  <w:noWrap w:val="0"/>
                  <w:vAlign w:val="center"/>
                </w:tcPr>
                <w:p w14:paraId="3793AF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保护对象</w:t>
                  </w:r>
                </w:p>
              </w:tc>
              <w:tc>
                <w:tcPr>
                  <w:tcW w:w="552" w:type="pct"/>
                  <w:vMerge w:val="restart"/>
                  <w:noWrap w:val="0"/>
                  <w:vAlign w:val="center"/>
                </w:tcPr>
                <w:p w14:paraId="43FE7D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保护内容</w:t>
                  </w:r>
                </w:p>
              </w:tc>
              <w:tc>
                <w:tcPr>
                  <w:tcW w:w="690" w:type="pct"/>
                  <w:vMerge w:val="restart"/>
                  <w:noWrap w:val="0"/>
                  <w:vAlign w:val="center"/>
                </w:tcPr>
                <w:p w14:paraId="0B95C9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环境功能区</w:t>
                  </w:r>
                </w:p>
              </w:tc>
              <w:tc>
                <w:tcPr>
                  <w:tcW w:w="428" w:type="pct"/>
                  <w:vMerge w:val="restart"/>
                  <w:noWrap w:val="0"/>
                  <w:vAlign w:val="center"/>
                </w:tcPr>
                <w:p w14:paraId="76DA89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相对厂址方位</w:t>
                  </w:r>
                </w:p>
              </w:tc>
              <w:tc>
                <w:tcPr>
                  <w:tcW w:w="491" w:type="pct"/>
                  <w:vMerge w:val="restart"/>
                  <w:noWrap w:val="0"/>
                  <w:vAlign w:val="center"/>
                </w:tcPr>
                <w:p w14:paraId="62F657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相对厂界距离/m</w:t>
                  </w:r>
                </w:p>
              </w:tc>
            </w:tr>
            <w:tr w14:paraId="50CF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vMerge w:val="continue"/>
                  <w:noWrap w:val="0"/>
                  <w:vAlign w:val="center"/>
                </w:tcPr>
                <w:p w14:paraId="4519FB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801" w:type="pct"/>
                  <w:vMerge w:val="continue"/>
                  <w:noWrap w:val="0"/>
                  <w:vAlign w:val="center"/>
                </w:tcPr>
                <w:p w14:paraId="6457AF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44" w:type="pct"/>
                  <w:noWrap w:val="0"/>
                  <w:vAlign w:val="center"/>
                </w:tcPr>
                <w:p w14:paraId="6DB5C2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X</w:t>
                  </w:r>
                </w:p>
              </w:tc>
              <w:tc>
                <w:tcPr>
                  <w:tcW w:w="705" w:type="pct"/>
                  <w:noWrap w:val="0"/>
                  <w:vAlign w:val="center"/>
                </w:tcPr>
                <w:p w14:paraId="6DFEDF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Y</w:t>
                  </w:r>
                </w:p>
              </w:tc>
              <w:tc>
                <w:tcPr>
                  <w:tcW w:w="438" w:type="pct"/>
                  <w:vMerge w:val="continue"/>
                  <w:noWrap w:val="0"/>
                  <w:vAlign w:val="center"/>
                </w:tcPr>
                <w:p w14:paraId="5699C1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552" w:type="pct"/>
                  <w:vMerge w:val="continue"/>
                  <w:noWrap w:val="0"/>
                  <w:vAlign w:val="center"/>
                </w:tcPr>
                <w:p w14:paraId="0770EF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90" w:type="pct"/>
                  <w:vMerge w:val="continue"/>
                  <w:noWrap w:val="0"/>
                  <w:vAlign w:val="center"/>
                </w:tcPr>
                <w:p w14:paraId="1D6337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428" w:type="pct"/>
                  <w:vMerge w:val="continue"/>
                  <w:noWrap w:val="0"/>
                  <w:vAlign w:val="center"/>
                </w:tcPr>
                <w:p w14:paraId="2E31C9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491" w:type="pct"/>
                  <w:vMerge w:val="continue"/>
                  <w:noWrap w:val="0"/>
                  <w:vAlign w:val="center"/>
                </w:tcPr>
                <w:p w14:paraId="39A439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r>
            <w:tr w14:paraId="0B10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noWrap w:val="0"/>
                  <w:vAlign w:val="center"/>
                </w:tcPr>
                <w:p w14:paraId="2049F6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1</w:t>
                  </w:r>
                </w:p>
              </w:tc>
              <w:tc>
                <w:tcPr>
                  <w:tcW w:w="801" w:type="pct"/>
                  <w:noWrap w:val="0"/>
                  <w:vAlign w:val="center"/>
                </w:tcPr>
                <w:p w14:paraId="0A1438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十里岗村委会</w:t>
                  </w:r>
                </w:p>
              </w:tc>
              <w:tc>
                <w:tcPr>
                  <w:tcW w:w="644" w:type="pct"/>
                  <w:noWrap w:val="0"/>
                  <w:vAlign w:val="center"/>
                </w:tcPr>
                <w:p w14:paraId="3925F6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586630.37</w:t>
                  </w:r>
                </w:p>
              </w:tc>
              <w:tc>
                <w:tcPr>
                  <w:tcW w:w="705" w:type="pct"/>
                  <w:noWrap w:val="0"/>
                  <w:vAlign w:val="center"/>
                </w:tcPr>
                <w:p w14:paraId="3219F5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3394476.07</w:t>
                  </w:r>
                </w:p>
              </w:tc>
              <w:tc>
                <w:tcPr>
                  <w:tcW w:w="438" w:type="pct"/>
                  <w:noWrap w:val="0"/>
                  <w:vAlign w:val="center"/>
                </w:tcPr>
                <w:p w14:paraId="3AAB8F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办公人员</w:t>
                  </w:r>
                </w:p>
              </w:tc>
              <w:tc>
                <w:tcPr>
                  <w:tcW w:w="552" w:type="pct"/>
                  <w:noWrap w:val="0"/>
                  <w:vAlign w:val="center"/>
                </w:tcPr>
                <w:p w14:paraId="7C87E9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约10</w:t>
                  </w:r>
                  <w:r>
                    <w:rPr>
                      <w:rFonts w:hint="eastAsia" w:cs="Times New Roman"/>
                      <w:color w:val="auto"/>
                      <w:sz w:val="21"/>
                      <w:szCs w:val="21"/>
                      <w:highlight w:val="none"/>
                      <w:lang w:val="en-US" w:eastAsia="zh-CN"/>
                    </w:rPr>
                    <w:t>人</w:t>
                  </w:r>
                </w:p>
              </w:tc>
              <w:tc>
                <w:tcPr>
                  <w:tcW w:w="690" w:type="pct"/>
                  <w:vMerge w:val="restart"/>
                  <w:noWrap w:val="0"/>
                  <w:vAlign w:val="center"/>
                </w:tcPr>
                <w:p w14:paraId="063963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val="0"/>
                      <w:bCs/>
                      <w:color w:val="auto"/>
                      <w:sz w:val="21"/>
                      <w:szCs w:val="21"/>
                      <w:highlight w:val="none"/>
                      <w:vertAlign w:val="baseline"/>
                      <w:lang w:val="en-US" w:eastAsia="zh-CN"/>
                    </w:rPr>
                    <w:t>（GB 3095-2012）中二类区</w:t>
                  </w:r>
                </w:p>
              </w:tc>
              <w:tc>
                <w:tcPr>
                  <w:tcW w:w="428" w:type="pct"/>
                  <w:noWrap w:val="0"/>
                  <w:vAlign w:val="center"/>
                </w:tcPr>
                <w:p w14:paraId="69EE75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w:t>
                  </w:r>
                </w:p>
              </w:tc>
              <w:tc>
                <w:tcPr>
                  <w:tcW w:w="491" w:type="pct"/>
                  <w:noWrap w:val="0"/>
                  <w:vAlign w:val="center"/>
                </w:tcPr>
                <w:p w14:paraId="2DDA6D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约467</w:t>
                  </w:r>
                </w:p>
              </w:tc>
            </w:tr>
            <w:tr w14:paraId="2A46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noWrap w:val="0"/>
                  <w:vAlign w:val="center"/>
                </w:tcPr>
                <w:p w14:paraId="45A005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2</w:t>
                  </w:r>
                </w:p>
              </w:tc>
              <w:tc>
                <w:tcPr>
                  <w:tcW w:w="801" w:type="pct"/>
                  <w:noWrap w:val="0"/>
                  <w:vAlign w:val="center"/>
                </w:tcPr>
                <w:p w14:paraId="6D2F00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池州公共安全联勤办公室</w:t>
                  </w:r>
                </w:p>
              </w:tc>
              <w:tc>
                <w:tcPr>
                  <w:tcW w:w="644" w:type="pct"/>
                  <w:noWrap w:val="0"/>
                  <w:vAlign w:val="center"/>
                </w:tcPr>
                <w:p w14:paraId="0C3B32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586698.79</w:t>
                  </w:r>
                </w:p>
              </w:tc>
              <w:tc>
                <w:tcPr>
                  <w:tcW w:w="705" w:type="pct"/>
                  <w:noWrap w:val="0"/>
                  <w:vAlign w:val="center"/>
                </w:tcPr>
                <w:p w14:paraId="75930F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3394560.46</w:t>
                  </w:r>
                </w:p>
              </w:tc>
              <w:tc>
                <w:tcPr>
                  <w:tcW w:w="438" w:type="pct"/>
                  <w:noWrap w:val="0"/>
                  <w:vAlign w:val="center"/>
                </w:tcPr>
                <w:p w14:paraId="4FE96A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居民</w:t>
                  </w:r>
                </w:p>
              </w:tc>
              <w:tc>
                <w:tcPr>
                  <w:tcW w:w="552" w:type="pct"/>
                  <w:noWrap w:val="0"/>
                  <w:vAlign w:val="center"/>
                </w:tcPr>
                <w:p w14:paraId="6D47C6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约</w:t>
                  </w:r>
                  <w:r>
                    <w:rPr>
                      <w:rFonts w:hint="eastAsia" w:cs="Times New Roman"/>
                      <w:color w:val="auto"/>
                      <w:sz w:val="21"/>
                      <w:szCs w:val="21"/>
                      <w:highlight w:val="none"/>
                      <w:lang w:val="en-US" w:eastAsia="zh-CN"/>
                    </w:rPr>
                    <w:t>15人</w:t>
                  </w:r>
                </w:p>
              </w:tc>
              <w:tc>
                <w:tcPr>
                  <w:tcW w:w="690" w:type="pct"/>
                  <w:vMerge w:val="continue"/>
                  <w:noWrap w:val="0"/>
                  <w:vAlign w:val="center"/>
                </w:tcPr>
                <w:p w14:paraId="27F71A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color w:val="auto"/>
                      <w:sz w:val="21"/>
                      <w:szCs w:val="21"/>
                      <w:highlight w:val="none"/>
                      <w:vertAlign w:val="baseline"/>
                      <w:lang w:val="en-US" w:eastAsia="zh-CN"/>
                    </w:rPr>
                  </w:pPr>
                </w:p>
              </w:tc>
              <w:tc>
                <w:tcPr>
                  <w:tcW w:w="428" w:type="pct"/>
                  <w:noWrap w:val="0"/>
                  <w:vAlign w:val="center"/>
                </w:tcPr>
                <w:p w14:paraId="629E90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w:t>
                  </w:r>
                </w:p>
              </w:tc>
              <w:tc>
                <w:tcPr>
                  <w:tcW w:w="491" w:type="pct"/>
                  <w:noWrap w:val="0"/>
                  <w:vAlign w:val="center"/>
                </w:tcPr>
                <w:p w14:paraId="004049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约402</w:t>
                  </w:r>
                </w:p>
              </w:tc>
            </w:tr>
            <w:tr w14:paraId="6DAB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noWrap w:val="0"/>
                  <w:vAlign w:val="center"/>
                </w:tcPr>
                <w:p w14:paraId="0041B7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801" w:type="pct"/>
                  <w:noWrap w:val="0"/>
                  <w:vAlign w:val="center"/>
                </w:tcPr>
                <w:p w14:paraId="65964B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十里岗散户1</w:t>
                  </w:r>
                </w:p>
              </w:tc>
              <w:tc>
                <w:tcPr>
                  <w:tcW w:w="644" w:type="pct"/>
                  <w:noWrap w:val="0"/>
                  <w:vAlign w:val="center"/>
                </w:tcPr>
                <w:p w14:paraId="4E880D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587652.58</w:t>
                  </w:r>
                </w:p>
              </w:tc>
              <w:tc>
                <w:tcPr>
                  <w:tcW w:w="705" w:type="pct"/>
                  <w:noWrap w:val="0"/>
                  <w:vAlign w:val="center"/>
                </w:tcPr>
                <w:p w14:paraId="0EDCE1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3394558.22</w:t>
                  </w:r>
                </w:p>
              </w:tc>
              <w:tc>
                <w:tcPr>
                  <w:tcW w:w="438" w:type="pct"/>
                  <w:noWrap w:val="0"/>
                  <w:vAlign w:val="center"/>
                </w:tcPr>
                <w:p w14:paraId="120DB2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居民</w:t>
                  </w:r>
                </w:p>
              </w:tc>
              <w:tc>
                <w:tcPr>
                  <w:tcW w:w="552" w:type="pct"/>
                  <w:noWrap w:val="0"/>
                  <w:vAlign w:val="center"/>
                </w:tcPr>
                <w:p w14:paraId="4797A3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约</w:t>
                  </w:r>
                  <w:r>
                    <w:rPr>
                      <w:rFonts w:hint="eastAsia" w:cs="Times New Roman"/>
                      <w:color w:val="auto"/>
                      <w:sz w:val="21"/>
                      <w:szCs w:val="21"/>
                      <w:highlight w:val="none"/>
                      <w:lang w:val="en-US" w:eastAsia="zh-CN"/>
                    </w:rPr>
                    <w:t>4户12人</w:t>
                  </w:r>
                </w:p>
              </w:tc>
              <w:tc>
                <w:tcPr>
                  <w:tcW w:w="690" w:type="pct"/>
                  <w:vMerge w:val="continue"/>
                  <w:noWrap w:val="0"/>
                  <w:vAlign w:val="center"/>
                </w:tcPr>
                <w:p w14:paraId="5C7886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428" w:type="pct"/>
                  <w:noWrap w:val="0"/>
                  <w:vAlign w:val="center"/>
                </w:tcPr>
                <w:p w14:paraId="3C5ED0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E</w:t>
                  </w:r>
                </w:p>
              </w:tc>
              <w:tc>
                <w:tcPr>
                  <w:tcW w:w="491" w:type="pct"/>
                  <w:noWrap w:val="0"/>
                  <w:vAlign w:val="center"/>
                </w:tcPr>
                <w:p w14:paraId="43925B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约324</w:t>
                  </w:r>
                  <w:bookmarkStart w:id="19" w:name="_GoBack"/>
                  <w:bookmarkEnd w:id="19"/>
                </w:p>
              </w:tc>
            </w:tr>
            <w:tr w14:paraId="4E8E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noWrap w:val="0"/>
                  <w:vAlign w:val="center"/>
                </w:tcPr>
                <w:p w14:paraId="065BEA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w:t>
                  </w:r>
                </w:p>
              </w:tc>
              <w:tc>
                <w:tcPr>
                  <w:tcW w:w="801" w:type="pct"/>
                  <w:noWrap w:val="0"/>
                  <w:vAlign w:val="center"/>
                </w:tcPr>
                <w:p w14:paraId="46B458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万春村散户1</w:t>
                  </w:r>
                </w:p>
              </w:tc>
              <w:tc>
                <w:tcPr>
                  <w:tcW w:w="644" w:type="pct"/>
                  <w:noWrap w:val="0"/>
                  <w:vAlign w:val="center"/>
                </w:tcPr>
                <w:p w14:paraId="4A394E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587548.63</w:t>
                  </w:r>
                </w:p>
              </w:tc>
              <w:tc>
                <w:tcPr>
                  <w:tcW w:w="705" w:type="pct"/>
                  <w:noWrap w:val="0"/>
                  <w:vAlign w:val="center"/>
                </w:tcPr>
                <w:p w14:paraId="795C59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3394374.60 </w:t>
                  </w:r>
                </w:p>
              </w:tc>
              <w:tc>
                <w:tcPr>
                  <w:tcW w:w="438" w:type="pct"/>
                  <w:noWrap w:val="0"/>
                  <w:vAlign w:val="center"/>
                </w:tcPr>
                <w:p w14:paraId="326B04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居民</w:t>
                  </w:r>
                </w:p>
              </w:tc>
              <w:tc>
                <w:tcPr>
                  <w:tcW w:w="552" w:type="pct"/>
                  <w:noWrap w:val="0"/>
                  <w:vAlign w:val="center"/>
                </w:tcPr>
                <w:p w14:paraId="75DBFB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约</w:t>
                  </w:r>
                  <w:r>
                    <w:rPr>
                      <w:rFonts w:hint="eastAsia" w:cs="Times New Roman"/>
                      <w:color w:val="auto"/>
                      <w:sz w:val="21"/>
                      <w:szCs w:val="21"/>
                      <w:highlight w:val="none"/>
                      <w:lang w:val="en-US" w:eastAsia="zh-CN"/>
                    </w:rPr>
                    <w:t>5户15人</w:t>
                  </w:r>
                </w:p>
              </w:tc>
              <w:tc>
                <w:tcPr>
                  <w:tcW w:w="690" w:type="pct"/>
                  <w:vMerge w:val="continue"/>
                  <w:noWrap w:val="0"/>
                  <w:vAlign w:val="center"/>
                </w:tcPr>
                <w:p w14:paraId="33EFD1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428" w:type="pct"/>
                  <w:noWrap w:val="0"/>
                  <w:vAlign w:val="center"/>
                </w:tcPr>
                <w:p w14:paraId="6B555E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SE</w:t>
                  </w:r>
                </w:p>
              </w:tc>
              <w:tc>
                <w:tcPr>
                  <w:tcW w:w="491" w:type="pct"/>
                  <w:noWrap w:val="0"/>
                  <w:vAlign w:val="center"/>
                </w:tcPr>
                <w:p w14:paraId="26AFB3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约332</w:t>
                  </w:r>
                </w:p>
              </w:tc>
            </w:tr>
            <w:tr w14:paraId="41E9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8" w:type="pct"/>
                  <w:noWrap w:val="0"/>
                  <w:vAlign w:val="center"/>
                </w:tcPr>
                <w:p w14:paraId="3AB416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w:t>
                  </w:r>
                </w:p>
              </w:tc>
              <w:tc>
                <w:tcPr>
                  <w:tcW w:w="801" w:type="pct"/>
                  <w:noWrap w:val="0"/>
                  <w:vAlign w:val="center"/>
                </w:tcPr>
                <w:p w14:paraId="4FD41A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万春村散户2</w:t>
                  </w:r>
                </w:p>
              </w:tc>
              <w:tc>
                <w:tcPr>
                  <w:tcW w:w="644" w:type="pct"/>
                  <w:noWrap w:val="0"/>
                  <w:vAlign w:val="center"/>
                </w:tcPr>
                <w:p w14:paraId="15AC76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587490.27</w:t>
                  </w:r>
                </w:p>
              </w:tc>
              <w:tc>
                <w:tcPr>
                  <w:tcW w:w="705" w:type="pct"/>
                  <w:noWrap w:val="0"/>
                  <w:vAlign w:val="center"/>
                </w:tcPr>
                <w:p w14:paraId="293B8A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3394270.85</w:t>
                  </w:r>
                </w:p>
              </w:tc>
              <w:tc>
                <w:tcPr>
                  <w:tcW w:w="438" w:type="pct"/>
                  <w:noWrap w:val="0"/>
                  <w:vAlign w:val="center"/>
                </w:tcPr>
                <w:p w14:paraId="3A08C1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居民</w:t>
                  </w:r>
                </w:p>
              </w:tc>
              <w:tc>
                <w:tcPr>
                  <w:tcW w:w="552" w:type="pct"/>
                  <w:noWrap w:val="0"/>
                  <w:vAlign w:val="center"/>
                </w:tcPr>
                <w:p w14:paraId="3D02E3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约</w:t>
                  </w:r>
                  <w:r>
                    <w:rPr>
                      <w:rFonts w:hint="eastAsia" w:cs="Times New Roman"/>
                      <w:color w:val="auto"/>
                      <w:sz w:val="21"/>
                      <w:szCs w:val="21"/>
                      <w:highlight w:val="none"/>
                      <w:lang w:val="en-US" w:eastAsia="zh-CN"/>
                    </w:rPr>
                    <w:t>12户36人</w:t>
                  </w:r>
                </w:p>
              </w:tc>
              <w:tc>
                <w:tcPr>
                  <w:tcW w:w="690" w:type="pct"/>
                  <w:vMerge w:val="continue"/>
                  <w:noWrap w:val="0"/>
                  <w:vAlign w:val="center"/>
                </w:tcPr>
                <w:p w14:paraId="1282B1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428" w:type="pct"/>
                  <w:noWrap w:val="0"/>
                  <w:vAlign w:val="center"/>
                </w:tcPr>
                <w:p w14:paraId="62BE55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SE</w:t>
                  </w:r>
                </w:p>
              </w:tc>
              <w:tc>
                <w:tcPr>
                  <w:tcW w:w="491" w:type="pct"/>
                  <w:noWrap w:val="0"/>
                  <w:vAlign w:val="center"/>
                </w:tcPr>
                <w:p w14:paraId="2B56A8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约324</w:t>
                  </w:r>
                </w:p>
              </w:tc>
            </w:tr>
          </w:tbl>
          <w:p w14:paraId="320795DE">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r>
              <w:rPr>
                <w:rFonts w:hint="default" w:ascii="Times New Roman" w:hAnsi="Times New Roman" w:eastAsia="宋体" w:cs="Times New Roman"/>
                <w:b/>
                <w:bCs/>
                <w:color w:val="auto"/>
                <w:kern w:val="0"/>
                <w:sz w:val="18"/>
                <w:szCs w:val="18"/>
                <w:highlight w:val="none"/>
                <w:lang w:val="en-US" w:eastAsia="zh-CN"/>
              </w:rPr>
              <w:t>注：</w:t>
            </w:r>
            <w:r>
              <w:rPr>
                <w:rFonts w:hint="default" w:ascii="Times New Roman" w:hAnsi="Times New Roman" w:eastAsia="宋体" w:cs="Times New Roman"/>
                <w:b w:val="0"/>
                <w:bCs w:val="0"/>
                <w:color w:val="auto"/>
                <w:kern w:val="0"/>
                <w:sz w:val="18"/>
                <w:szCs w:val="18"/>
                <w:highlight w:val="none"/>
                <w:lang w:val="en-US" w:eastAsia="zh-CN"/>
              </w:rPr>
              <w:t>上表中的</w:t>
            </w:r>
            <w:r>
              <w:rPr>
                <w:rFonts w:hint="eastAsia" w:cs="Times New Roman"/>
                <w:b w:val="0"/>
                <w:bCs w:val="0"/>
                <w:color w:val="auto"/>
                <w:kern w:val="0"/>
                <w:sz w:val="18"/>
                <w:szCs w:val="18"/>
                <w:highlight w:val="none"/>
                <w:lang w:val="en-US" w:eastAsia="zh-CN"/>
              </w:rPr>
              <w:t>坐标系为通用横轴墨卡托投影坐标系 (UTM），投影带：50N，单位：m</w:t>
            </w:r>
            <w:r>
              <w:rPr>
                <w:rFonts w:hint="default" w:ascii="Times New Roman" w:hAnsi="Times New Roman" w:eastAsia="宋体" w:cs="Times New Roman"/>
                <w:b w:val="0"/>
                <w:bCs w:val="0"/>
                <w:color w:val="auto"/>
                <w:kern w:val="0"/>
                <w:sz w:val="18"/>
                <w:szCs w:val="18"/>
                <w:highlight w:val="none"/>
                <w:lang w:val="en-US" w:eastAsia="zh-CN"/>
              </w:rPr>
              <w:t>。</w:t>
            </w:r>
          </w:p>
          <w:p w14:paraId="070AC0F3">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p>
          <w:p w14:paraId="48AE99D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lang w:val="en-US" w:eastAsia="zh-CN"/>
              </w:rPr>
              <w:t>地表水环境保护目标</w:t>
            </w:r>
          </w:p>
          <w:p w14:paraId="7E00E77D">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项目位于</w:t>
            </w:r>
            <w:r>
              <w:rPr>
                <w:rFonts w:hint="eastAsia" w:cs="Times New Roman"/>
                <w:color w:val="auto"/>
                <w:sz w:val="24"/>
                <w:szCs w:val="24"/>
                <w:highlight w:val="none"/>
                <w:lang w:val="en-US" w:eastAsia="zh-CN"/>
              </w:rPr>
              <w:t>青阳县新河镇镁铝及机电装备制造产业集聚区</w:t>
            </w:r>
            <w:r>
              <w:rPr>
                <w:rFonts w:hint="eastAsia" w:ascii="Times New Roman" w:hAnsi="Times New Roman" w:eastAsia="宋体" w:cs="宋体"/>
                <w:color w:val="auto"/>
                <w:sz w:val="24"/>
                <w:highlight w:val="none"/>
                <w:lang w:val="en-US" w:eastAsia="zh-CN"/>
              </w:rPr>
              <w:t>内，项目建成后相关废水经园区管网送至新河镇污水处理厂处理达标后纳管排放。</w:t>
            </w:r>
          </w:p>
          <w:p w14:paraId="63BE46A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项目附近地表水水</w:t>
            </w:r>
            <w:r>
              <w:rPr>
                <w:rFonts w:hint="eastAsia" w:ascii="Times New Roman" w:hAnsi="Times New Roman" w:eastAsia="宋体" w:cs="宋体"/>
                <w:color w:val="auto"/>
                <w:sz w:val="24"/>
                <w:szCs w:val="24"/>
                <w:highlight w:val="none"/>
                <w:lang w:val="en-US" w:eastAsia="zh-CN"/>
              </w:rPr>
              <w:t>体为东山河</w:t>
            </w:r>
            <w:r>
              <w:rPr>
                <w:rFonts w:hint="eastAsia" w:cs="宋体"/>
                <w:color w:val="auto"/>
                <w:sz w:val="24"/>
                <w:szCs w:val="24"/>
                <w:highlight w:val="none"/>
                <w:lang w:val="en-US" w:eastAsia="zh-CN"/>
              </w:rPr>
              <w:t>，项目距离大通河约4.3km，距离青通河约6km</w:t>
            </w:r>
            <w:r>
              <w:rPr>
                <w:rFonts w:hint="eastAsia" w:ascii="Times New Roman" w:hAnsi="Times New Roman" w:eastAsia="宋体" w:cs="宋体"/>
                <w:color w:val="auto"/>
                <w:sz w:val="24"/>
                <w:highlight w:val="none"/>
                <w:lang w:val="en-US" w:eastAsia="zh-CN"/>
              </w:rPr>
              <w:t>。</w:t>
            </w:r>
          </w:p>
          <w:p w14:paraId="606D513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表3-3</w:t>
            </w:r>
            <w:r>
              <w:rPr>
                <w:rFonts w:hint="default" w:ascii="Times New Roman" w:hAnsi="Times New Roman" w:eastAsia="宋体" w:cs="Times New Roman"/>
                <w:b/>
                <w:bCs/>
                <w:color w:val="auto"/>
                <w:kern w:val="2"/>
                <w:sz w:val="24"/>
                <w:szCs w:val="24"/>
                <w:lang w:val="en-US" w:eastAsia="zh-CN"/>
              </w:rPr>
              <w:t xml:space="preserve">  项目</w:t>
            </w:r>
            <w:r>
              <w:rPr>
                <w:rFonts w:hint="eastAsia" w:ascii="Times New Roman" w:hAnsi="Times New Roman" w:eastAsia="宋体" w:cs="Times New Roman"/>
                <w:b/>
                <w:bCs/>
                <w:color w:val="auto"/>
                <w:kern w:val="2"/>
                <w:sz w:val="24"/>
                <w:szCs w:val="24"/>
                <w:lang w:val="en-US" w:eastAsia="zh-CN"/>
              </w:rPr>
              <w:t>附近地表水</w:t>
            </w:r>
            <w:r>
              <w:rPr>
                <w:rFonts w:hint="default" w:ascii="Times New Roman" w:hAnsi="Times New Roman" w:eastAsia="宋体" w:cs="Times New Roman"/>
                <w:b/>
                <w:bCs/>
                <w:color w:val="auto"/>
                <w:kern w:val="2"/>
                <w:sz w:val="24"/>
                <w:szCs w:val="24"/>
                <w:lang w:val="en-US" w:eastAsia="zh-CN"/>
              </w:rPr>
              <w:t>环境敏感保护目标一览表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87"/>
              <w:gridCol w:w="952"/>
              <w:gridCol w:w="601"/>
              <w:gridCol w:w="580"/>
              <w:gridCol w:w="1234"/>
              <w:gridCol w:w="777"/>
              <w:gridCol w:w="576"/>
              <w:gridCol w:w="3143"/>
            </w:tblGrid>
            <w:tr w14:paraId="435C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455" w:type="pct"/>
                  <w:vMerge w:val="restart"/>
                  <w:tcBorders>
                    <w:tl2br w:val="nil"/>
                    <w:tr2bl w:val="nil"/>
                  </w:tcBorders>
                  <w:noWrap w:val="0"/>
                  <w:vAlign w:val="center"/>
                </w:tcPr>
                <w:p w14:paraId="07EDAB16">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550" w:type="pct"/>
                  <w:vMerge w:val="restart"/>
                  <w:tcBorders>
                    <w:tl2br w:val="nil"/>
                    <w:tr2bl w:val="nil"/>
                  </w:tcBorders>
                  <w:noWrap w:val="0"/>
                  <w:vAlign w:val="center"/>
                </w:tcPr>
                <w:p w14:paraId="7DF0FD80">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主要保护目标</w:t>
                  </w:r>
                </w:p>
              </w:tc>
              <w:tc>
                <w:tcPr>
                  <w:tcW w:w="682" w:type="pct"/>
                  <w:gridSpan w:val="2"/>
                  <w:tcBorders>
                    <w:tl2br w:val="nil"/>
                    <w:tr2bl w:val="nil"/>
                  </w:tcBorders>
                  <w:noWrap w:val="0"/>
                  <w:vAlign w:val="center"/>
                </w:tcPr>
                <w:p w14:paraId="74975893">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kern w:val="0"/>
                      <w:szCs w:val="21"/>
                      <w:highlight w:val="none"/>
                    </w:rPr>
                    <w:t>坐标/m</w:t>
                  </w:r>
                </w:p>
              </w:tc>
              <w:tc>
                <w:tcPr>
                  <w:tcW w:w="713" w:type="pct"/>
                  <w:vMerge w:val="restart"/>
                  <w:tcBorders>
                    <w:tl2br w:val="nil"/>
                    <w:tr2bl w:val="nil"/>
                  </w:tcBorders>
                  <w:noWrap w:val="0"/>
                  <w:vAlign w:val="center"/>
                </w:tcPr>
                <w:p w14:paraId="3CC66668">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性质、规模</w:t>
                  </w:r>
                </w:p>
              </w:tc>
              <w:tc>
                <w:tcPr>
                  <w:tcW w:w="449" w:type="pct"/>
                  <w:vMerge w:val="restart"/>
                  <w:tcBorders>
                    <w:tl2br w:val="nil"/>
                    <w:tr2bl w:val="nil"/>
                  </w:tcBorders>
                  <w:noWrap w:val="0"/>
                  <w:vAlign w:val="center"/>
                </w:tcPr>
                <w:p w14:paraId="7E21897B">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rPr>
                    <w:t>距离</w:t>
                  </w:r>
                  <w:r>
                    <w:rPr>
                      <w:rFonts w:hint="default" w:ascii="Times New Roman" w:hAnsi="Times New Roman" w:eastAsia="宋体" w:cs="Times New Roman"/>
                      <w:b/>
                      <w:bCs/>
                      <w:color w:val="auto"/>
                      <w:sz w:val="21"/>
                      <w:szCs w:val="21"/>
                      <w:highlight w:val="none"/>
                      <w:lang w:eastAsia="zh-CN"/>
                    </w:rPr>
                    <w:t>（</w:t>
                  </w:r>
                  <w:r>
                    <w:rPr>
                      <w:rFonts w:hint="default" w:ascii="Times New Roman" w:hAnsi="Times New Roman" w:eastAsia="宋体" w:cs="Times New Roman"/>
                      <w:b/>
                      <w:bCs/>
                      <w:color w:val="auto"/>
                      <w:sz w:val="21"/>
                      <w:szCs w:val="21"/>
                      <w:highlight w:val="none"/>
                    </w:rPr>
                    <w:t>m</w:t>
                  </w:r>
                  <w:r>
                    <w:rPr>
                      <w:rFonts w:hint="eastAsia" w:ascii="Times New Roman" w:hAnsi="Times New Roman" w:eastAsia="宋体" w:cs="Times New Roman"/>
                      <w:b/>
                      <w:bCs/>
                      <w:color w:val="auto"/>
                      <w:sz w:val="21"/>
                      <w:szCs w:val="21"/>
                      <w:highlight w:val="none"/>
                      <w:lang w:eastAsia="zh-CN"/>
                    </w:rPr>
                    <w:t>）</w:t>
                  </w:r>
                </w:p>
              </w:tc>
              <w:tc>
                <w:tcPr>
                  <w:tcW w:w="333" w:type="pct"/>
                  <w:vMerge w:val="restart"/>
                  <w:tcBorders>
                    <w:tl2br w:val="nil"/>
                    <w:tr2bl w:val="nil"/>
                  </w:tcBorders>
                  <w:noWrap w:val="0"/>
                  <w:vAlign w:val="center"/>
                </w:tcPr>
                <w:p w14:paraId="36BBCBDA">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方位</w:t>
                  </w:r>
                </w:p>
              </w:tc>
              <w:tc>
                <w:tcPr>
                  <w:tcW w:w="1816" w:type="pct"/>
                  <w:vMerge w:val="restart"/>
                  <w:tcBorders>
                    <w:tl2br w:val="nil"/>
                    <w:tr2bl w:val="nil"/>
                  </w:tcBorders>
                  <w:noWrap w:val="0"/>
                  <w:vAlign w:val="center"/>
                </w:tcPr>
                <w:p w14:paraId="28690EC8">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保护级别</w:t>
                  </w:r>
                </w:p>
              </w:tc>
            </w:tr>
            <w:tr w14:paraId="1A282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455" w:type="pct"/>
                  <w:vMerge w:val="continue"/>
                  <w:tcBorders>
                    <w:tl2br w:val="nil"/>
                    <w:tr2bl w:val="nil"/>
                  </w:tcBorders>
                  <w:noWrap w:val="0"/>
                  <w:vAlign w:val="center"/>
                </w:tcPr>
                <w:p w14:paraId="6168727B">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highlight w:val="none"/>
                    </w:rPr>
                  </w:pPr>
                </w:p>
              </w:tc>
              <w:tc>
                <w:tcPr>
                  <w:tcW w:w="550" w:type="pct"/>
                  <w:vMerge w:val="continue"/>
                  <w:tcBorders>
                    <w:tl2br w:val="nil"/>
                    <w:tr2bl w:val="nil"/>
                  </w:tcBorders>
                  <w:noWrap w:val="0"/>
                  <w:vAlign w:val="center"/>
                </w:tcPr>
                <w:p w14:paraId="79D9296A">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highlight w:val="none"/>
                    </w:rPr>
                  </w:pPr>
                </w:p>
              </w:tc>
              <w:tc>
                <w:tcPr>
                  <w:tcW w:w="347" w:type="pct"/>
                  <w:tcBorders>
                    <w:tl2br w:val="nil"/>
                    <w:tr2bl w:val="nil"/>
                  </w:tcBorders>
                  <w:noWrap w:val="0"/>
                  <w:vAlign w:val="center"/>
                </w:tcPr>
                <w:p w14:paraId="0B7950AA">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kern w:val="0"/>
                      <w:szCs w:val="21"/>
                      <w:highlight w:val="none"/>
                    </w:rPr>
                    <w:t>X</w:t>
                  </w:r>
                </w:p>
              </w:tc>
              <w:tc>
                <w:tcPr>
                  <w:tcW w:w="334" w:type="pct"/>
                  <w:tcBorders>
                    <w:tl2br w:val="nil"/>
                    <w:tr2bl w:val="nil"/>
                  </w:tcBorders>
                  <w:noWrap w:val="0"/>
                  <w:vAlign w:val="center"/>
                </w:tcPr>
                <w:p w14:paraId="714AAF3C">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kern w:val="0"/>
                      <w:szCs w:val="21"/>
                      <w:highlight w:val="none"/>
                    </w:rPr>
                    <w:t>Y</w:t>
                  </w:r>
                </w:p>
              </w:tc>
              <w:tc>
                <w:tcPr>
                  <w:tcW w:w="713" w:type="pct"/>
                  <w:vMerge w:val="continue"/>
                  <w:tcBorders>
                    <w:tl2br w:val="nil"/>
                    <w:tr2bl w:val="nil"/>
                  </w:tcBorders>
                  <w:noWrap w:val="0"/>
                  <w:vAlign w:val="center"/>
                </w:tcPr>
                <w:p w14:paraId="360812B9">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449" w:type="pct"/>
                  <w:vMerge w:val="continue"/>
                  <w:tcBorders>
                    <w:tl2br w:val="nil"/>
                    <w:tr2bl w:val="nil"/>
                  </w:tcBorders>
                  <w:noWrap w:val="0"/>
                  <w:vAlign w:val="center"/>
                </w:tcPr>
                <w:p w14:paraId="4686ADAF">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333" w:type="pct"/>
                  <w:vMerge w:val="continue"/>
                  <w:tcBorders>
                    <w:tl2br w:val="nil"/>
                    <w:tr2bl w:val="nil"/>
                  </w:tcBorders>
                  <w:noWrap w:val="0"/>
                  <w:vAlign w:val="center"/>
                </w:tcPr>
                <w:p w14:paraId="04487478">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1816" w:type="pct"/>
                  <w:vMerge w:val="continue"/>
                  <w:tcBorders>
                    <w:tl2br w:val="nil"/>
                    <w:tr2bl w:val="nil"/>
                  </w:tcBorders>
                  <w:noWrap w:val="0"/>
                  <w:vAlign w:val="center"/>
                </w:tcPr>
                <w:p w14:paraId="410D63AE">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2F12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455" w:type="pct"/>
                  <w:tcBorders>
                    <w:tl2br w:val="nil"/>
                    <w:tr2bl w:val="nil"/>
                  </w:tcBorders>
                  <w:noWrap w:val="0"/>
                  <w:vAlign w:val="center"/>
                </w:tcPr>
                <w:p w14:paraId="0CA5C9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地表水环境</w:t>
                  </w:r>
                </w:p>
              </w:tc>
              <w:tc>
                <w:tcPr>
                  <w:tcW w:w="550" w:type="pct"/>
                  <w:tcBorders>
                    <w:tl2br w:val="nil"/>
                    <w:tr2bl w:val="nil"/>
                  </w:tcBorders>
                  <w:noWrap w:val="0"/>
                  <w:vAlign w:val="center"/>
                </w:tcPr>
                <w:p w14:paraId="4EF2E0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东山河</w:t>
                  </w:r>
                </w:p>
              </w:tc>
              <w:tc>
                <w:tcPr>
                  <w:tcW w:w="347" w:type="pct"/>
                  <w:tcBorders>
                    <w:tl2br w:val="nil"/>
                    <w:tr2bl w:val="nil"/>
                  </w:tcBorders>
                  <w:noWrap w:val="0"/>
                  <w:vAlign w:val="center"/>
                </w:tcPr>
                <w:p w14:paraId="62DF86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334" w:type="pct"/>
                  <w:tcBorders>
                    <w:tl2br w:val="nil"/>
                    <w:tr2bl w:val="nil"/>
                  </w:tcBorders>
                  <w:noWrap w:val="0"/>
                  <w:vAlign w:val="center"/>
                </w:tcPr>
                <w:p w14:paraId="650A09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713" w:type="pct"/>
                  <w:tcBorders>
                    <w:tl2br w:val="nil"/>
                    <w:tr2bl w:val="nil"/>
                  </w:tcBorders>
                  <w:noWrap w:val="0"/>
                  <w:vAlign w:val="center"/>
                </w:tcPr>
                <w:p w14:paraId="0D0BB8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小型河流</w:t>
                  </w:r>
                </w:p>
              </w:tc>
              <w:tc>
                <w:tcPr>
                  <w:tcW w:w="449" w:type="pct"/>
                  <w:tcBorders>
                    <w:tl2br w:val="nil"/>
                    <w:tr2bl w:val="nil"/>
                  </w:tcBorders>
                  <w:noWrap w:val="0"/>
                  <w:vAlign w:val="center"/>
                </w:tcPr>
                <w:p w14:paraId="7DA0B1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900</w:t>
                  </w:r>
                </w:p>
              </w:tc>
              <w:tc>
                <w:tcPr>
                  <w:tcW w:w="333" w:type="pct"/>
                  <w:tcBorders>
                    <w:tl2br w:val="nil"/>
                    <w:tr2bl w:val="nil"/>
                  </w:tcBorders>
                  <w:noWrap w:val="0"/>
                  <w:vAlign w:val="center"/>
                </w:tcPr>
                <w:p w14:paraId="627E90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w:t>
                  </w:r>
                </w:p>
              </w:tc>
              <w:tc>
                <w:tcPr>
                  <w:tcW w:w="1816" w:type="pct"/>
                  <w:tcBorders>
                    <w:tl2br w:val="nil"/>
                    <w:tr2bl w:val="nil"/>
                  </w:tcBorders>
                  <w:noWrap w:val="0"/>
                  <w:vAlign w:val="center"/>
                </w:tcPr>
                <w:p w14:paraId="39CCEC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《地表水环境质量标准》（GB</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3838</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2002）中的Ⅲ类标准</w:t>
                  </w:r>
                </w:p>
              </w:tc>
            </w:tr>
          </w:tbl>
          <w:p w14:paraId="285EEAF0">
            <w:pPr>
              <w:widowControl/>
              <w:adjustRightInd w:val="0"/>
              <w:snapToGrid w:val="0"/>
              <w:spacing w:line="240" w:lineRule="auto"/>
              <w:jc w:val="left"/>
              <w:rPr>
                <w:rFonts w:hint="eastAsia" w:ascii="Times New Roman" w:hAnsi="Times New Roman" w:eastAsia="宋体" w:cs="Times New Roman"/>
                <w:b w:val="0"/>
                <w:bCs w:val="0"/>
                <w:color w:val="auto"/>
                <w:kern w:val="0"/>
                <w:sz w:val="18"/>
                <w:szCs w:val="18"/>
                <w:highlight w:val="none"/>
                <w:lang w:val="en-US" w:eastAsia="zh-CN"/>
              </w:rPr>
            </w:pPr>
          </w:p>
          <w:p w14:paraId="58D1711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声环境</w:t>
            </w:r>
            <w:r>
              <w:rPr>
                <w:rFonts w:hint="eastAsia" w:ascii="Times New Roman" w:hAnsi="Times New Roman" w:eastAsia="宋体" w:cs="Times New Roman"/>
                <w:b/>
                <w:bCs/>
                <w:color w:val="auto"/>
                <w:kern w:val="2"/>
                <w:sz w:val="24"/>
                <w:szCs w:val="24"/>
                <w:lang w:val="en-US" w:eastAsia="zh-CN"/>
              </w:rPr>
              <w:t>保护目标</w:t>
            </w:r>
          </w:p>
          <w:p w14:paraId="646B79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根据现场勘探，本项目厂界外周边50m范围内不存在声环境保护目标。</w:t>
            </w:r>
          </w:p>
          <w:p w14:paraId="6BAF320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default" w:ascii="Times New Roman" w:hAnsi="Times New Roman" w:eastAsia="宋体" w:cs="Times New Roman"/>
                <w:b/>
                <w:bCs/>
                <w:color w:val="auto"/>
                <w:kern w:val="2"/>
                <w:sz w:val="24"/>
                <w:szCs w:val="24"/>
                <w:lang w:val="en-US" w:eastAsia="zh-CN"/>
              </w:rPr>
              <w:t>地下水环境保护目标</w:t>
            </w:r>
          </w:p>
          <w:p w14:paraId="1BD6B0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default" w:ascii="Times New Roman" w:hAnsi="Times New Roman" w:eastAsia="宋体" w:cs="Times New Roman"/>
                <w:color w:val="auto"/>
                <w:sz w:val="24"/>
                <w:szCs w:val="24"/>
                <w:highlight w:val="none"/>
                <w:lang w:eastAsia="zh-CN"/>
              </w:rPr>
              <w:t>厂界外500m范围内无地下水集中式</w:t>
            </w:r>
            <w:r>
              <w:rPr>
                <w:rFonts w:hint="eastAsia" w:cs="Times New Roman"/>
                <w:color w:val="auto"/>
                <w:sz w:val="24"/>
                <w:szCs w:val="24"/>
                <w:highlight w:val="none"/>
                <w:lang w:eastAsia="zh-CN"/>
              </w:rPr>
              <w:t>饮用水</w:t>
            </w:r>
            <w:r>
              <w:rPr>
                <w:rFonts w:hint="default" w:ascii="Times New Roman" w:hAnsi="Times New Roman" w:eastAsia="宋体" w:cs="Times New Roman"/>
                <w:color w:val="auto"/>
                <w:sz w:val="24"/>
                <w:szCs w:val="24"/>
                <w:highlight w:val="none"/>
                <w:lang w:eastAsia="zh-CN"/>
              </w:rPr>
              <w:t>水源和热水、矿泉水、温泉等特殊地下水资源</w:t>
            </w:r>
            <w:r>
              <w:rPr>
                <w:rFonts w:hint="eastAsia" w:ascii="Times New Roman" w:hAnsi="Times New Roman" w:eastAsia="宋体" w:cs="Times New Roman"/>
                <w:color w:val="auto"/>
                <w:sz w:val="24"/>
                <w:szCs w:val="24"/>
                <w:highlight w:val="none"/>
                <w:lang w:val="en-US" w:eastAsia="zh-CN"/>
              </w:rPr>
              <w:t>，故项目无</w:t>
            </w:r>
            <w:r>
              <w:rPr>
                <w:rFonts w:hint="default" w:ascii="Times New Roman" w:hAnsi="Times New Roman" w:eastAsia="宋体" w:cs="Times New Roman"/>
                <w:color w:val="auto"/>
                <w:sz w:val="24"/>
                <w:szCs w:val="24"/>
                <w:highlight w:val="none"/>
                <w:lang w:val="en-US" w:eastAsia="zh-CN"/>
              </w:rPr>
              <w:t>地下水环境保护目标。</w:t>
            </w:r>
          </w:p>
          <w:p w14:paraId="3673FA4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5.</w:t>
            </w:r>
            <w:r>
              <w:rPr>
                <w:rFonts w:hint="default" w:ascii="Times New Roman" w:hAnsi="Times New Roman" w:eastAsia="宋体" w:cs="Times New Roman"/>
                <w:b/>
                <w:bCs/>
                <w:color w:val="auto"/>
                <w:kern w:val="2"/>
                <w:sz w:val="24"/>
                <w:szCs w:val="24"/>
                <w:lang w:val="en-US" w:eastAsia="zh-CN"/>
              </w:rPr>
              <w:t>生态环境保护目标</w:t>
            </w:r>
          </w:p>
          <w:p w14:paraId="4F3E8A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FF0000"/>
                <w:szCs w:val="21"/>
                <w:highlight w:val="none"/>
              </w:rPr>
            </w:pPr>
            <w:r>
              <w:rPr>
                <w:rFonts w:hint="default" w:ascii="Times New Roman" w:hAnsi="Times New Roman" w:eastAsia="宋体" w:cs="Times New Roman"/>
                <w:color w:val="auto"/>
                <w:sz w:val="24"/>
                <w:szCs w:val="24"/>
                <w:highlight w:val="none"/>
                <w:lang w:val="en-US" w:eastAsia="zh-CN"/>
              </w:rPr>
              <w:t>本项目位于</w:t>
            </w:r>
            <w:r>
              <w:rPr>
                <w:rFonts w:hint="eastAsia" w:cs="Times New Roman"/>
                <w:color w:val="auto"/>
                <w:sz w:val="24"/>
                <w:szCs w:val="24"/>
                <w:highlight w:val="none"/>
                <w:lang w:val="en-US" w:eastAsia="zh-CN"/>
              </w:rPr>
              <w:t>青阳县新河镇镁铝及机电装备制造产业集聚区</w:t>
            </w:r>
            <w:r>
              <w:rPr>
                <w:rFonts w:hint="eastAsia" w:ascii="Times New Roman" w:hAnsi="Times New Roman" w:eastAsia="宋体" w:cs="宋体"/>
                <w:color w:val="auto"/>
                <w:sz w:val="24"/>
                <w:highlight w:val="none"/>
                <w:lang w:val="en-US" w:eastAsia="zh-CN"/>
              </w:rPr>
              <w:t>现有厂区内</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无生态环境保护目标</w:t>
            </w:r>
            <w:r>
              <w:rPr>
                <w:rFonts w:hint="default" w:ascii="Times New Roman" w:hAnsi="Times New Roman" w:eastAsia="宋体" w:cs="Times New Roman"/>
                <w:color w:val="auto"/>
                <w:sz w:val="24"/>
                <w:szCs w:val="24"/>
                <w:highlight w:val="none"/>
                <w:lang w:val="en-US" w:eastAsia="zh-CN"/>
              </w:rPr>
              <w:t>。</w:t>
            </w:r>
          </w:p>
        </w:tc>
      </w:tr>
      <w:tr w14:paraId="3EE982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13" w:type="dxa"/>
            <w:noWrap w:val="0"/>
            <w:tcMar>
              <w:left w:w="28" w:type="dxa"/>
              <w:right w:w="28" w:type="dxa"/>
            </w:tcMar>
            <w:vAlign w:val="center"/>
          </w:tcPr>
          <w:p w14:paraId="48460BEC">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污染</w:t>
            </w:r>
          </w:p>
          <w:p w14:paraId="24ACFDEA">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物排</w:t>
            </w:r>
          </w:p>
          <w:p w14:paraId="5E14BB4C">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放控</w:t>
            </w:r>
          </w:p>
          <w:p w14:paraId="130FEA1F">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制标</w:t>
            </w:r>
          </w:p>
          <w:p w14:paraId="48CAB3FD">
            <w:pPr>
              <w:adjustRightInd w:val="0"/>
              <w:snapToGrid w:val="0"/>
              <w:jc w:val="center"/>
              <w:rPr>
                <w:rFonts w:hint="default" w:ascii="Times New Roman" w:hAnsi="Times New Roman" w:cs="Times New Roman"/>
                <w:b/>
                <w:bCs/>
                <w:color w:val="FF0000"/>
                <w:kern w:val="0"/>
                <w:sz w:val="24"/>
                <w:szCs w:val="24"/>
                <w:highlight w:val="none"/>
              </w:rPr>
            </w:pPr>
            <w:r>
              <w:rPr>
                <w:rFonts w:hint="default" w:ascii="Times New Roman" w:hAnsi="Times New Roman" w:cs="Times New Roman"/>
                <w:b/>
                <w:bCs/>
                <w:color w:val="auto"/>
                <w:kern w:val="0"/>
                <w:sz w:val="24"/>
                <w:szCs w:val="24"/>
                <w:highlight w:val="none"/>
              </w:rPr>
              <w:t>准</w:t>
            </w:r>
          </w:p>
        </w:tc>
        <w:tc>
          <w:tcPr>
            <w:tcW w:w="8876" w:type="dxa"/>
            <w:noWrap w:val="0"/>
            <w:vAlign w:val="center"/>
          </w:tcPr>
          <w:p w14:paraId="2A3E480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default" w:ascii="Times New Roman" w:hAnsi="Times New Roman" w:eastAsia="宋体" w:cs="Times New Roman"/>
                <w:b/>
                <w:bCs/>
                <w:color w:val="auto"/>
                <w:kern w:val="2"/>
                <w:sz w:val="24"/>
                <w:szCs w:val="24"/>
                <w:lang w:val="en-US" w:eastAsia="zh-CN"/>
              </w:rPr>
              <w:t>水污染物排放标准</w:t>
            </w:r>
          </w:p>
          <w:p w14:paraId="16F12718">
            <w:pPr>
              <w:widowControl/>
              <w:adjustRightInd w:val="0"/>
              <w:snapToGrid w:val="0"/>
              <w:spacing w:line="360" w:lineRule="auto"/>
              <w:ind w:firstLine="424" w:firstLineChars="177"/>
              <w:jc w:val="left"/>
              <w:rPr>
                <w:rFonts w:hint="default" w:ascii="Times New Roman" w:hAnsi="Times New Roman" w:cs="Times New Roman"/>
                <w:color w:val="auto"/>
                <w:kern w:val="0"/>
                <w:sz w:val="24"/>
                <w:szCs w:val="20"/>
                <w:highlight w:val="none"/>
              </w:rPr>
            </w:pPr>
            <w:r>
              <w:rPr>
                <w:rFonts w:hint="eastAsia" w:ascii="Times New Roman" w:hAnsi="Times New Roman" w:eastAsia="宋体" w:cs="Times New Roman"/>
                <w:color w:val="auto"/>
                <w:sz w:val="24"/>
                <w:szCs w:val="24"/>
                <w:highlight w:val="none"/>
                <w:lang w:eastAsia="zh-CN"/>
              </w:rPr>
              <w:t>本项目</w:t>
            </w:r>
            <w:r>
              <w:rPr>
                <w:rFonts w:hint="eastAsia" w:ascii="Times New Roman" w:hAnsi="Times New Roman" w:eastAsia="宋体" w:cs="Times New Roman"/>
                <w:color w:val="auto"/>
                <w:sz w:val="24"/>
                <w:szCs w:val="24"/>
                <w:highlight w:val="none"/>
                <w:lang w:val="en-US" w:eastAsia="zh-CN"/>
              </w:rPr>
              <w:t>主要外排</w:t>
            </w:r>
            <w:r>
              <w:rPr>
                <w:rFonts w:hint="eastAsia" w:ascii="Times New Roman" w:hAnsi="Times New Roman" w:eastAsia="宋体" w:cs="Times New Roman"/>
                <w:color w:val="auto"/>
                <w:sz w:val="24"/>
                <w:szCs w:val="24"/>
                <w:highlight w:val="none"/>
                <w:lang w:eastAsia="zh-CN"/>
              </w:rPr>
              <w:t>废水主要为生活污水，</w:t>
            </w:r>
            <w:r>
              <w:rPr>
                <w:rFonts w:hint="eastAsia" w:ascii="Times New Roman" w:hAnsi="Times New Roman" w:eastAsia="宋体" w:cs="Times New Roman"/>
                <w:color w:val="auto"/>
                <w:sz w:val="24"/>
                <w:szCs w:val="24"/>
                <w:highlight w:val="none"/>
                <w:lang w:val="en-US" w:eastAsia="zh-CN"/>
              </w:rPr>
              <w:t>生活污水依托现有项目化粪池</w:t>
            </w:r>
            <w:r>
              <w:rPr>
                <w:rFonts w:hint="eastAsia" w:cs="Times New Roman"/>
                <w:color w:val="auto"/>
                <w:sz w:val="24"/>
                <w:szCs w:val="24"/>
                <w:highlight w:val="none"/>
                <w:lang w:val="en-US" w:eastAsia="zh-CN"/>
              </w:rPr>
              <w:t>收集</w:t>
            </w:r>
            <w:r>
              <w:rPr>
                <w:rFonts w:hint="eastAsia" w:ascii="Times New Roman" w:hAnsi="Times New Roman" w:eastAsia="宋体" w:cs="Times New Roman"/>
                <w:color w:val="auto"/>
                <w:sz w:val="24"/>
                <w:szCs w:val="24"/>
                <w:highlight w:val="none"/>
                <w:lang w:val="en-US" w:eastAsia="zh-CN"/>
              </w:rPr>
              <w:t>后排入园区污水管网。项目纳管废水满足《污水综合排放标准》（GB 8978-1996）表4中三级标准及新河镇污水处理厂接管</w:t>
            </w:r>
            <w:r>
              <w:rPr>
                <w:rFonts w:hint="eastAsia" w:cs="Times New Roman"/>
                <w:color w:val="auto"/>
                <w:sz w:val="24"/>
                <w:szCs w:val="24"/>
                <w:highlight w:val="none"/>
                <w:lang w:val="en-US" w:eastAsia="zh-CN"/>
              </w:rPr>
              <w:t>限值</w:t>
            </w:r>
            <w:r>
              <w:rPr>
                <w:rFonts w:hint="eastAsia" w:ascii="Times New Roman" w:hAnsi="Times New Roman" w:eastAsia="宋体" w:cs="Times New Roman"/>
                <w:color w:val="auto"/>
                <w:sz w:val="24"/>
                <w:szCs w:val="24"/>
                <w:highlight w:val="none"/>
                <w:lang w:val="en-US" w:eastAsia="zh-CN"/>
              </w:rPr>
              <w:t>；废水经新河镇污水处理厂处理</w:t>
            </w:r>
            <w:r>
              <w:rPr>
                <w:rFonts w:hint="eastAsia" w:cs="Times New Roman"/>
                <w:color w:val="auto"/>
                <w:sz w:val="24"/>
                <w:szCs w:val="24"/>
                <w:highlight w:val="none"/>
                <w:lang w:val="en-US" w:eastAsia="zh-CN"/>
              </w:rPr>
              <w:t>达到</w:t>
            </w:r>
            <w:r>
              <w:rPr>
                <w:rFonts w:hint="eastAsia" w:ascii="Times New Roman" w:hAnsi="Times New Roman" w:eastAsia="宋体" w:cs="Times New Roman"/>
                <w:color w:val="auto"/>
                <w:sz w:val="24"/>
                <w:szCs w:val="24"/>
                <w:highlight w:val="none"/>
                <w:lang w:val="en-US" w:eastAsia="zh-CN"/>
              </w:rPr>
              <w:t>《城镇污水处理厂污染物排放标准》（GB 18918-2002）一级A</w:t>
            </w:r>
            <w:r>
              <w:rPr>
                <w:rFonts w:hint="eastAsia" w:cs="Times New Roman"/>
                <w:color w:val="auto"/>
                <w:sz w:val="24"/>
                <w:szCs w:val="24"/>
                <w:highlight w:val="none"/>
                <w:lang w:val="en-US" w:eastAsia="zh-CN"/>
              </w:rPr>
              <w:t>标准</w:t>
            </w:r>
            <w:r>
              <w:rPr>
                <w:rFonts w:hint="eastAsia" w:ascii="Times New Roman" w:hAnsi="Times New Roman" w:eastAsia="宋体" w:cs="Times New Roman"/>
                <w:color w:val="auto"/>
                <w:sz w:val="24"/>
                <w:szCs w:val="24"/>
                <w:highlight w:val="none"/>
                <w:lang w:val="en-US" w:eastAsia="zh-CN"/>
              </w:rPr>
              <w:t>后排入东山河。</w:t>
            </w:r>
          </w:p>
          <w:p w14:paraId="4D7383F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表3-4  项目废水排放执行标准值</w:t>
            </w:r>
          </w:p>
          <w:tbl>
            <w:tblPr>
              <w:tblStyle w:val="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905"/>
              <w:gridCol w:w="976"/>
              <w:gridCol w:w="929"/>
              <w:gridCol w:w="1409"/>
              <w:gridCol w:w="1021"/>
              <w:gridCol w:w="1758"/>
              <w:gridCol w:w="779"/>
            </w:tblGrid>
            <w:tr w14:paraId="40E4E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pct"/>
                  <w:noWrap w:val="0"/>
                  <w:vAlign w:val="center"/>
                </w:tcPr>
                <w:p w14:paraId="756D0B0F">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污染物</w:t>
                  </w:r>
                </w:p>
              </w:tc>
              <w:tc>
                <w:tcPr>
                  <w:tcW w:w="523" w:type="pct"/>
                  <w:noWrap w:val="0"/>
                  <w:vAlign w:val="center"/>
                </w:tcPr>
                <w:p w14:paraId="4B33E316">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单位</w:t>
                  </w:r>
                </w:p>
              </w:tc>
              <w:tc>
                <w:tcPr>
                  <w:tcW w:w="564" w:type="pct"/>
                  <w:noWrap w:val="0"/>
                  <w:vAlign w:val="center"/>
                </w:tcPr>
                <w:p w14:paraId="6A5F001F">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接管</w:t>
                  </w:r>
                  <w:r>
                    <w:rPr>
                      <w:rFonts w:hint="eastAsia" w:cs="Times New Roman"/>
                      <w:b/>
                      <w:bCs w:val="0"/>
                      <w:color w:val="auto"/>
                      <w:sz w:val="21"/>
                      <w:szCs w:val="21"/>
                      <w:highlight w:val="none"/>
                      <w:vertAlign w:val="baseline"/>
                      <w:lang w:val="en-US" w:eastAsia="zh-CN"/>
                    </w:rPr>
                    <w:t>限值</w:t>
                  </w:r>
                </w:p>
              </w:tc>
              <w:tc>
                <w:tcPr>
                  <w:tcW w:w="537" w:type="pct"/>
                  <w:noWrap w:val="0"/>
                  <w:vAlign w:val="center"/>
                </w:tcPr>
                <w:p w14:paraId="554B8FAC">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浓度限值</w:t>
                  </w:r>
                </w:p>
              </w:tc>
              <w:tc>
                <w:tcPr>
                  <w:tcW w:w="814" w:type="pct"/>
                  <w:noWrap w:val="0"/>
                  <w:vAlign w:val="center"/>
                </w:tcPr>
                <w:p w14:paraId="77454038">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排放标准</w:t>
                  </w:r>
                </w:p>
              </w:tc>
              <w:tc>
                <w:tcPr>
                  <w:tcW w:w="590" w:type="pct"/>
                  <w:noWrap w:val="0"/>
                  <w:vAlign w:val="center"/>
                </w:tcPr>
                <w:p w14:paraId="721994E0">
                  <w:pPr>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浓度限值</w:t>
                  </w:r>
                </w:p>
              </w:tc>
              <w:tc>
                <w:tcPr>
                  <w:tcW w:w="1016" w:type="pct"/>
                  <w:noWrap w:val="0"/>
                  <w:vAlign w:val="center"/>
                </w:tcPr>
                <w:p w14:paraId="2E5581EB">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排放标准</w:t>
                  </w:r>
                </w:p>
              </w:tc>
              <w:tc>
                <w:tcPr>
                  <w:tcW w:w="450" w:type="pct"/>
                  <w:noWrap w:val="0"/>
                  <w:vAlign w:val="center"/>
                </w:tcPr>
                <w:p w14:paraId="4E22EF48">
                  <w:pPr>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浓度限值</w:t>
                  </w:r>
                </w:p>
              </w:tc>
            </w:tr>
            <w:tr w14:paraId="01CA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2" w:type="pct"/>
                  <w:noWrap w:val="0"/>
                  <w:vAlign w:val="center"/>
                </w:tcPr>
                <w:p w14:paraId="5098ADB1">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pH</w:t>
                  </w:r>
                </w:p>
              </w:tc>
              <w:tc>
                <w:tcPr>
                  <w:tcW w:w="523" w:type="pct"/>
                  <w:noWrap w:val="0"/>
                  <w:vAlign w:val="center"/>
                </w:tcPr>
                <w:p w14:paraId="69ECCC2A">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无量纲</w:t>
                  </w:r>
                </w:p>
              </w:tc>
              <w:tc>
                <w:tcPr>
                  <w:tcW w:w="564" w:type="pct"/>
                  <w:vMerge w:val="restart"/>
                  <w:noWrap w:val="0"/>
                  <w:vAlign w:val="center"/>
                </w:tcPr>
                <w:p w14:paraId="2A115B8F">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新河镇污水处理厂接管</w:t>
                  </w:r>
                  <w:r>
                    <w:rPr>
                      <w:rFonts w:hint="eastAsia" w:cs="Times New Roman"/>
                      <w:bCs/>
                      <w:color w:val="auto"/>
                      <w:sz w:val="21"/>
                      <w:szCs w:val="21"/>
                      <w:highlight w:val="none"/>
                      <w:vertAlign w:val="baseline"/>
                      <w:lang w:val="en-US" w:eastAsia="zh-CN"/>
                    </w:rPr>
                    <w:t>限值</w:t>
                  </w:r>
                </w:p>
              </w:tc>
              <w:tc>
                <w:tcPr>
                  <w:tcW w:w="537" w:type="pct"/>
                  <w:noWrap w:val="0"/>
                  <w:vAlign w:val="center"/>
                </w:tcPr>
                <w:p w14:paraId="2B0A29D2">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6-9</w:t>
                  </w:r>
                </w:p>
              </w:tc>
              <w:tc>
                <w:tcPr>
                  <w:tcW w:w="814" w:type="pct"/>
                  <w:vMerge w:val="restart"/>
                  <w:noWrap w:val="0"/>
                  <w:vAlign w:val="center"/>
                </w:tcPr>
                <w:p w14:paraId="5FD1C8BA">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《污水综合排放标准》表4中三级标准</w:t>
                  </w:r>
                </w:p>
              </w:tc>
              <w:tc>
                <w:tcPr>
                  <w:tcW w:w="590" w:type="pct"/>
                  <w:noWrap w:val="0"/>
                  <w:vAlign w:val="center"/>
                </w:tcPr>
                <w:p w14:paraId="13E13FCE">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6-9</w:t>
                  </w:r>
                </w:p>
              </w:tc>
              <w:tc>
                <w:tcPr>
                  <w:tcW w:w="1016" w:type="pct"/>
                  <w:vMerge w:val="restart"/>
                  <w:noWrap w:val="0"/>
                  <w:vAlign w:val="center"/>
                </w:tcPr>
                <w:p w14:paraId="1D29B34D">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《城镇污水处理厂污染物排放标准》一级A标准</w:t>
                  </w:r>
                </w:p>
              </w:tc>
              <w:tc>
                <w:tcPr>
                  <w:tcW w:w="450" w:type="pct"/>
                  <w:noWrap w:val="0"/>
                  <w:vAlign w:val="center"/>
                </w:tcPr>
                <w:p w14:paraId="1CAFEF15">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6-9</w:t>
                  </w:r>
                </w:p>
              </w:tc>
            </w:tr>
            <w:tr w14:paraId="2CC3C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pct"/>
                  <w:noWrap w:val="0"/>
                  <w:vAlign w:val="center"/>
                </w:tcPr>
                <w:p w14:paraId="0A25188E">
                  <w:pPr>
                    <w:spacing w:line="240" w:lineRule="auto"/>
                    <w:jc w:val="center"/>
                    <w:rPr>
                      <w:rFonts w:hint="default" w:ascii="Times New Roman" w:hAnsi="Times New Roman" w:eastAsia="宋体" w:cs="Times New Roman"/>
                      <w:b/>
                      <w:bCs w:val="0"/>
                      <w:color w:val="auto"/>
                      <w:sz w:val="21"/>
                      <w:szCs w:val="21"/>
                      <w:highlight w:val="none"/>
                      <w:vertAlign w:val="subscript"/>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COD</w:t>
                  </w:r>
                  <w:r>
                    <w:rPr>
                      <w:rFonts w:hint="eastAsia" w:ascii="Times New Roman" w:hAnsi="Times New Roman" w:eastAsia="宋体" w:cs="Times New Roman"/>
                      <w:b/>
                      <w:bCs w:val="0"/>
                      <w:color w:val="auto"/>
                      <w:sz w:val="21"/>
                      <w:szCs w:val="21"/>
                      <w:highlight w:val="none"/>
                      <w:vertAlign w:val="subscript"/>
                      <w:lang w:val="en-US" w:eastAsia="zh-CN"/>
                    </w:rPr>
                    <w:t>Cr</w:t>
                  </w:r>
                </w:p>
              </w:tc>
              <w:tc>
                <w:tcPr>
                  <w:tcW w:w="523" w:type="pct"/>
                  <w:noWrap w:val="0"/>
                  <w:vAlign w:val="center"/>
                </w:tcPr>
                <w:p w14:paraId="2BA253DB">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mg/L</w:t>
                  </w:r>
                </w:p>
              </w:tc>
              <w:tc>
                <w:tcPr>
                  <w:tcW w:w="564" w:type="pct"/>
                  <w:vMerge w:val="continue"/>
                  <w:noWrap w:val="0"/>
                  <w:vAlign w:val="center"/>
                </w:tcPr>
                <w:p w14:paraId="5225B669">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7" w:type="pct"/>
                  <w:noWrap w:val="0"/>
                  <w:vAlign w:val="center"/>
                </w:tcPr>
                <w:p w14:paraId="0F65B6A6">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300</w:t>
                  </w:r>
                </w:p>
              </w:tc>
              <w:tc>
                <w:tcPr>
                  <w:tcW w:w="814" w:type="pct"/>
                  <w:vMerge w:val="continue"/>
                  <w:noWrap w:val="0"/>
                  <w:vAlign w:val="center"/>
                </w:tcPr>
                <w:p w14:paraId="65A28F50">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90" w:type="pct"/>
                  <w:noWrap w:val="0"/>
                  <w:vAlign w:val="center"/>
                </w:tcPr>
                <w:p w14:paraId="15297588">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500</w:t>
                  </w:r>
                </w:p>
              </w:tc>
              <w:tc>
                <w:tcPr>
                  <w:tcW w:w="1016" w:type="pct"/>
                  <w:vMerge w:val="continue"/>
                  <w:noWrap w:val="0"/>
                  <w:vAlign w:val="center"/>
                </w:tcPr>
                <w:p w14:paraId="3EF7B678">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450" w:type="pct"/>
                  <w:noWrap w:val="0"/>
                  <w:vAlign w:val="center"/>
                </w:tcPr>
                <w:p w14:paraId="64B443A2">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50</w:t>
                  </w:r>
                </w:p>
              </w:tc>
            </w:tr>
            <w:tr w14:paraId="0A84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pct"/>
                  <w:noWrap w:val="0"/>
                  <w:vAlign w:val="center"/>
                </w:tcPr>
                <w:p w14:paraId="5DD5B438">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SS</w:t>
                  </w:r>
                </w:p>
              </w:tc>
              <w:tc>
                <w:tcPr>
                  <w:tcW w:w="523" w:type="pct"/>
                  <w:noWrap w:val="0"/>
                  <w:vAlign w:val="center"/>
                </w:tcPr>
                <w:p w14:paraId="01430686">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mg/L</w:t>
                  </w:r>
                </w:p>
              </w:tc>
              <w:tc>
                <w:tcPr>
                  <w:tcW w:w="564" w:type="pct"/>
                  <w:vMerge w:val="continue"/>
                  <w:noWrap w:val="0"/>
                  <w:vAlign w:val="center"/>
                </w:tcPr>
                <w:p w14:paraId="7761EE0C">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7" w:type="pct"/>
                  <w:noWrap w:val="0"/>
                  <w:vAlign w:val="center"/>
                </w:tcPr>
                <w:p w14:paraId="2EA29472">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200</w:t>
                  </w:r>
                </w:p>
              </w:tc>
              <w:tc>
                <w:tcPr>
                  <w:tcW w:w="814" w:type="pct"/>
                  <w:vMerge w:val="continue"/>
                  <w:noWrap w:val="0"/>
                  <w:vAlign w:val="center"/>
                </w:tcPr>
                <w:p w14:paraId="3792234B">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90" w:type="pct"/>
                  <w:noWrap w:val="0"/>
                  <w:vAlign w:val="center"/>
                </w:tcPr>
                <w:p w14:paraId="6D0DC6B4">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400</w:t>
                  </w:r>
                </w:p>
              </w:tc>
              <w:tc>
                <w:tcPr>
                  <w:tcW w:w="1016" w:type="pct"/>
                  <w:vMerge w:val="continue"/>
                  <w:noWrap w:val="0"/>
                  <w:vAlign w:val="center"/>
                </w:tcPr>
                <w:p w14:paraId="6A836E63">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450" w:type="pct"/>
                  <w:noWrap w:val="0"/>
                  <w:vAlign w:val="center"/>
                </w:tcPr>
                <w:p w14:paraId="7EDF36DD">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10</w:t>
                  </w:r>
                </w:p>
              </w:tc>
            </w:tr>
            <w:tr w14:paraId="4CC79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pct"/>
                  <w:noWrap w:val="0"/>
                  <w:vAlign w:val="center"/>
                </w:tcPr>
                <w:p w14:paraId="283187B0">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NH</w:t>
                  </w:r>
                  <w:r>
                    <w:rPr>
                      <w:rFonts w:hint="eastAsia" w:ascii="Times New Roman" w:hAnsi="Times New Roman" w:eastAsia="宋体" w:cs="Times New Roman"/>
                      <w:b/>
                      <w:bCs w:val="0"/>
                      <w:color w:val="auto"/>
                      <w:sz w:val="21"/>
                      <w:szCs w:val="21"/>
                      <w:highlight w:val="none"/>
                      <w:vertAlign w:val="subscript"/>
                      <w:lang w:val="en-US" w:eastAsia="zh-CN"/>
                    </w:rPr>
                    <w:t>3</w:t>
                  </w:r>
                  <w:r>
                    <w:rPr>
                      <w:rFonts w:hint="eastAsia" w:ascii="Times New Roman" w:hAnsi="Times New Roman" w:eastAsia="宋体" w:cs="Times New Roman"/>
                      <w:b/>
                      <w:bCs w:val="0"/>
                      <w:color w:val="auto"/>
                      <w:sz w:val="21"/>
                      <w:szCs w:val="21"/>
                      <w:highlight w:val="none"/>
                      <w:vertAlign w:val="baseline"/>
                      <w:lang w:val="en-US" w:eastAsia="zh-CN"/>
                    </w:rPr>
                    <w:t>-N</w:t>
                  </w:r>
                </w:p>
              </w:tc>
              <w:tc>
                <w:tcPr>
                  <w:tcW w:w="523" w:type="pct"/>
                  <w:noWrap w:val="0"/>
                  <w:vAlign w:val="center"/>
                </w:tcPr>
                <w:p w14:paraId="034EE49B">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mg/L</w:t>
                  </w:r>
                </w:p>
              </w:tc>
              <w:tc>
                <w:tcPr>
                  <w:tcW w:w="564" w:type="pct"/>
                  <w:vMerge w:val="continue"/>
                  <w:noWrap w:val="0"/>
                  <w:vAlign w:val="center"/>
                </w:tcPr>
                <w:p w14:paraId="7071142D">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7" w:type="pct"/>
                  <w:noWrap w:val="0"/>
                  <w:vAlign w:val="center"/>
                </w:tcPr>
                <w:p w14:paraId="3749B68F">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30</w:t>
                  </w:r>
                </w:p>
              </w:tc>
              <w:tc>
                <w:tcPr>
                  <w:tcW w:w="814" w:type="pct"/>
                  <w:vMerge w:val="continue"/>
                  <w:noWrap w:val="0"/>
                  <w:vAlign w:val="center"/>
                </w:tcPr>
                <w:p w14:paraId="42ECFF0B">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90" w:type="pct"/>
                  <w:noWrap w:val="0"/>
                  <w:vAlign w:val="center"/>
                </w:tcPr>
                <w:p w14:paraId="0ADA6783">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w:t>
                  </w:r>
                </w:p>
              </w:tc>
              <w:tc>
                <w:tcPr>
                  <w:tcW w:w="1016" w:type="pct"/>
                  <w:vMerge w:val="continue"/>
                  <w:noWrap w:val="0"/>
                  <w:vAlign w:val="center"/>
                </w:tcPr>
                <w:p w14:paraId="04A4BE16">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450" w:type="pct"/>
                  <w:noWrap w:val="0"/>
                  <w:vAlign w:val="center"/>
                </w:tcPr>
                <w:p w14:paraId="5B82F032">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5</w:t>
                  </w:r>
                  <w:r>
                    <w:rPr>
                      <w:rFonts w:hint="eastAsia" w:cs="Times New Roman"/>
                      <w:bCs/>
                      <w:color w:val="auto"/>
                      <w:sz w:val="21"/>
                      <w:szCs w:val="21"/>
                      <w:highlight w:val="none"/>
                      <w:vertAlign w:val="baseline"/>
                      <w:lang w:val="en-US" w:eastAsia="zh-CN"/>
                    </w:rPr>
                    <w:t>(</w:t>
                  </w:r>
                  <w:r>
                    <w:rPr>
                      <w:rFonts w:hint="eastAsia" w:ascii="Times New Roman" w:hAnsi="Times New Roman" w:eastAsia="宋体" w:cs="Times New Roman"/>
                      <w:bCs/>
                      <w:color w:val="auto"/>
                      <w:sz w:val="21"/>
                      <w:szCs w:val="21"/>
                      <w:highlight w:val="none"/>
                      <w:vertAlign w:val="baseline"/>
                      <w:lang w:val="en-US" w:eastAsia="zh-CN"/>
                    </w:rPr>
                    <w:t>8</w:t>
                  </w:r>
                  <w:r>
                    <w:rPr>
                      <w:rFonts w:hint="eastAsia" w:cs="Times New Roman"/>
                      <w:bCs/>
                      <w:color w:val="auto"/>
                      <w:sz w:val="21"/>
                      <w:szCs w:val="21"/>
                      <w:highlight w:val="none"/>
                      <w:vertAlign w:val="baseline"/>
                      <w:lang w:val="en-US" w:eastAsia="zh-CN"/>
                    </w:rPr>
                    <w:t>)</w:t>
                  </w:r>
                </w:p>
              </w:tc>
            </w:tr>
            <w:tr w14:paraId="6177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pct"/>
                  <w:noWrap w:val="0"/>
                  <w:vAlign w:val="center"/>
                </w:tcPr>
                <w:p w14:paraId="373EC93D">
                  <w:pPr>
                    <w:spacing w:line="240" w:lineRule="auto"/>
                    <w:jc w:val="center"/>
                    <w:rPr>
                      <w:rFonts w:hint="default" w:ascii="Times New Roman" w:hAnsi="Times New Roman" w:eastAsia="宋体" w:cs="Times New Roman"/>
                      <w:b/>
                      <w:bCs w:val="0"/>
                      <w:color w:val="auto"/>
                      <w:sz w:val="21"/>
                      <w:szCs w:val="21"/>
                      <w:highlight w:val="none"/>
                      <w:vertAlign w:val="subscript"/>
                      <w:lang w:val="en-US" w:eastAsia="zh-CN"/>
                    </w:rPr>
                  </w:pPr>
                  <w:r>
                    <w:rPr>
                      <w:rFonts w:hint="eastAsia" w:ascii="Times New Roman" w:hAnsi="Times New Roman" w:eastAsia="宋体" w:cs="Times New Roman"/>
                      <w:b/>
                      <w:bCs w:val="0"/>
                      <w:color w:val="auto"/>
                      <w:sz w:val="21"/>
                      <w:szCs w:val="21"/>
                      <w:highlight w:val="none"/>
                      <w:vertAlign w:val="baseline"/>
                      <w:lang w:val="en-US" w:eastAsia="zh-CN"/>
                    </w:rPr>
                    <w:t>BOD</w:t>
                  </w:r>
                  <w:r>
                    <w:rPr>
                      <w:rFonts w:hint="eastAsia" w:ascii="Times New Roman" w:hAnsi="Times New Roman" w:eastAsia="宋体" w:cs="Times New Roman"/>
                      <w:b/>
                      <w:bCs w:val="0"/>
                      <w:color w:val="auto"/>
                      <w:sz w:val="21"/>
                      <w:szCs w:val="21"/>
                      <w:highlight w:val="none"/>
                      <w:vertAlign w:val="subscript"/>
                      <w:lang w:val="en-US" w:eastAsia="zh-CN"/>
                    </w:rPr>
                    <w:t>5</w:t>
                  </w:r>
                </w:p>
              </w:tc>
              <w:tc>
                <w:tcPr>
                  <w:tcW w:w="523" w:type="pct"/>
                  <w:noWrap w:val="0"/>
                  <w:vAlign w:val="center"/>
                </w:tcPr>
                <w:p w14:paraId="43E718C5">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mg/L</w:t>
                  </w:r>
                </w:p>
              </w:tc>
              <w:tc>
                <w:tcPr>
                  <w:tcW w:w="564" w:type="pct"/>
                  <w:vMerge w:val="continue"/>
                  <w:noWrap w:val="0"/>
                  <w:vAlign w:val="center"/>
                </w:tcPr>
                <w:p w14:paraId="1CA10242">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7" w:type="pct"/>
                  <w:noWrap w:val="0"/>
                  <w:vAlign w:val="center"/>
                </w:tcPr>
                <w:p w14:paraId="0A2B8CD1">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150</w:t>
                  </w:r>
                </w:p>
              </w:tc>
              <w:tc>
                <w:tcPr>
                  <w:tcW w:w="814" w:type="pct"/>
                  <w:vMerge w:val="continue"/>
                  <w:noWrap w:val="0"/>
                  <w:vAlign w:val="center"/>
                </w:tcPr>
                <w:p w14:paraId="295E2C0F">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90" w:type="pct"/>
                  <w:noWrap w:val="0"/>
                  <w:vAlign w:val="center"/>
                </w:tcPr>
                <w:p w14:paraId="0552CBE9">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300</w:t>
                  </w:r>
                </w:p>
              </w:tc>
              <w:tc>
                <w:tcPr>
                  <w:tcW w:w="1016" w:type="pct"/>
                  <w:vMerge w:val="continue"/>
                  <w:noWrap w:val="0"/>
                  <w:vAlign w:val="center"/>
                </w:tcPr>
                <w:p w14:paraId="6426E311">
                  <w:pPr>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450" w:type="pct"/>
                  <w:noWrap w:val="0"/>
                  <w:vAlign w:val="center"/>
                </w:tcPr>
                <w:p w14:paraId="1D469FE7">
                  <w:pPr>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ascii="Times New Roman" w:hAnsi="Times New Roman" w:eastAsia="宋体" w:cs="Times New Roman"/>
                      <w:bCs/>
                      <w:color w:val="auto"/>
                      <w:sz w:val="21"/>
                      <w:szCs w:val="21"/>
                      <w:highlight w:val="none"/>
                      <w:vertAlign w:val="baseline"/>
                      <w:lang w:val="en-US" w:eastAsia="zh-CN"/>
                    </w:rPr>
                    <w:t>10</w:t>
                  </w:r>
                </w:p>
              </w:tc>
            </w:tr>
          </w:tbl>
          <w:p w14:paraId="0FA4E7DD">
            <w:pPr>
              <w:widowControl/>
              <w:adjustRightInd w:val="0"/>
              <w:snapToGrid w:val="0"/>
              <w:spacing w:line="240" w:lineRule="auto"/>
              <w:jc w:val="left"/>
              <w:rPr>
                <w:rFonts w:hint="eastAsia"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bCs/>
                <w:color w:val="auto"/>
                <w:kern w:val="0"/>
                <w:sz w:val="18"/>
                <w:szCs w:val="18"/>
                <w:highlight w:val="none"/>
                <w:lang w:val="en-US" w:eastAsia="zh-CN"/>
              </w:rPr>
              <w:t>注：</w:t>
            </w:r>
            <w:r>
              <w:rPr>
                <w:rFonts w:hint="eastAsia" w:ascii="Times New Roman" w:hAnsi="Times New Roman" w:eastAsia="宋体" w:cs="Times New Roman"/>
                <w:b w:val="0"/>
                <w:bCs w:val="0"/>
                <w:color w:val="auto"/>
                <w:kern w:val="0"/>
                <w:sz w:val="18"/>
                <w:szCs w:val="18"/>
                <w:highlight w:val="none"/>
                <w:lang w:val="en-US" w:eastAsia="zh-CN"/>
              </w:rPr>
              <w:t>括号外数值为水温&gt;12℃的控制指标，括号内数值为水温</w:t>
            </w:r>
            <w:r>
              <w:rPr>
                <w:rFonts w:hint="default" w:ascii="Times New Roman" w:hAnsi="Times New Roman" w:eastAsia="宋体" w:cs="Times New Roman"/>
                <w:b w:val="0"/>
                <w:bCs w:val="0"/>
                <w:color w:val="auto"/>
                <w:kern w:val="0"/>
                <w:sz w:val="18"/>
                <w:szCs w:val="18"/>
                <w:highlight w:val="none"/>
                <w:lang w:val="en-US" w:eastAsia="zh-CN"/>
              </w:rPr>
              <w:t>≤</w:t>
            </w:r>
            <w:r>
              <w:rPr>
                <w:rFonts w:hint="eastAsia" w:ascii="Times New Roman" w:hAnsi="Times New Roman" w:eastAsia="宋体" w:cs="Times New Roman"/>
                <w:b w:val="0"/>
                <w:bCs w:val="0"/>
                <w:color w:val="auto"/>
                <w:kern w:val="0"/>
                <w:sz w:val="18"/>
                <w:szCs w:val="18"/>
                <w:highlight w:val="none"/>
                <w:lang w:val="en-US" w:eastAsia="zh-CN"/>
              </w:rPr>
              <w:t>12℃时的控制指标。</w:t>
            </w:r>
          </w:p>
          <w:p w14:paraId="16C9A297">
            <w:pPr>
              <w:widowControl/>
              <w:adjustRightInd w:val="0"/>
              <w:snapToGrid w:val="0"/>
              <w:spacing w:line="240" w:lineRule="auto"/>
              <w:jc w:val="left"/>
              <w:rPr>
                <w:rFonts w:hint="eastAsia" w:ascii="Times New Roman" w:hAnsi="Times New Roman" w:eastAsia="宋体" w:cs="Times New Roman"/>
                <w:b w:val="0"/>
                <w:bCs w:val="0"/>
                <w:color w:val="auto"/>
                <w:kern w:val="0"/>
                <w:sz w:val="18"/>
                <w:szCs w:val="18"/>
                <w:highlight w:val="none"/>
                <w:lang w:val="en-US" w:eastAsia="zh-CN"/>
              </w:rPr>
            </w:pPr>
          </w:p>
          <w:p w14:paraId="76B0562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default" w:ascii="Times New Roman" w:hAnsi="Times New Roman" w:eastAsia="宋体" w:cs="Times New Roman"/>
                <w:b/>
                <w:bCs/>
                <w:color w:val="auto"/>
                <w:kern w:val="2"/>
                <w:sz w:val="24"/>
                <w:szCs w:val="24"/>
                <w:lang w:val="en-US" w:eastAsia="zh-CN"/>
              </w:rPr>
              <w:t>大气污染物排放标准</w:t>
            </w:r>
          </w:p>
          <w:p w14:paraId="341D09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项目</w:t>
            </w:r>
            <w:r>
              <w:rPr>
                <w:rFonts w:hint="default" w:ascii="Times New Roman" w:hAnsi="Times New Roman" w:eastAsia="宋体" w:cs="Times New Roman"/>
                <w:bCs/>
                <w:color w:val="auto"/>
                <w:sz w:val="24"/>
                <w:highlight w:val="none"/>
                <w:lang w:eastAsia="zh-CN"/>
              </w:rPr>
              <w:t>金属熔化、</w:t>
            </w:r>
            <w:r>
              <w:rPr>
                <w:rFonts w:hint="eastAsia" w:ascii="Times New Roman" w:hAnsi="Times New Roman" w:eastAsia="宋体" w:cs="Times New Roman"/>
                <w:bCs/>
                <w:color w:val="auto"/>
                <w:sz w:val="24"/>
                <w:highlight w:val="none"/>
                <w:lang w:eastAsia="zh-CN"/>
              </w:rPr>
              <w:t>射芯</w:t>
            </w:r>
            <w:r>
              <w:rPr>
                <w:rFonts w:hint="default" w:ascii="Times New Roman" w:hAnsi="Times New Roman" w:eastAsia="宋体" w:cs="Times New Roman"/>
                <w:bCs/>
                <w:color w:val="auto"/>
                <w:sz w:val="24"/>
                <w:highlight w:val="none"/>
              </w:rPr>
              <w:t>、</w:t>
            </w:r>
            <w:r>
              <w:rPr>
                <w:rFonts w:hint="eastAsia" w:cs="Times New Roman"/>
                <w:bCs/>
                <w:color w:val="auto"/>
                <w:sz w:val="24"/>
                <w:highlight w:val="none"/>
                <w:lang w:val="en-US" w:eastAsia="zh-CN"/>
              </w:rPr>
              <w:t>造型/</w:t>
            </w:r>
            <w:r>
              <w:rPr>
                <w:rFonts w:hint="default" w:ascii="Times New Roman" w:hAnsi="Times New Roman" w:eastAsia="宋体" w:cs="Times New Roman"/>
                <w:bCs/>
                <w:color w:val="auto"/>
                <w:sz w:val="24"/>
                <w:highlight w:val="none"/>
                <w:lang w:eastAsia="zh-CN"/>
              </w:rPr>
              <w:t>浇铸</w:t>
            </w:r>
            <w:r>
              <w:rPr>
                <w:rFonts w:hint="default" w:ascii="Times New Roman" w:hAnsi="Times New Roman" w:eastAsia="宋体" w:cs="Times New Roman"/>
                <w:bCs/>
                <w:color w:val="auto"/>
                <w:sz w:val="24"/>
                <w:highlight w:val="none"/>
              </w:rPr>
              <w:t>、</w:t>
            </w:r>
            <w:r>
              <w:rPr>
                <w:rFonts w:hint="default" w:ascii="Times New Roman" w:hAnsi="Times New Roman" w:eastAsia="宋体" w:cs="Times New Roman"/>
                <w:bCs/>
                <w:color w:val="auto"/>
                <w:sz w:val="24"/>
                <w:highlight w:val="none"/>
                <w:lang w:eastAsia="zh-CN"/>
              </w:rPr>
              <w:t>砂处理及抛丸</w:t>
            </w:r>
            <w:r>
              <w:rPr>
                <w:rFonts w:hint="default" w:ascii="Times New Roman" w:hAnsi="Times New Roman" w:eastAsia="宋体" w:cs="Times New Roman"/>
                <w:bCs/>
                <w:color w:val="auto"/>
                <w:sz w:val="24"/>
                <w:highlight w:val="none"/>
              </w:rPr>
              <w:t>等生产过程中产生的颗粒物</w:t>
            </w:r>
            <w:r>
              <w:rPr>
                <w:rFonts w:hint="default" w:ascii="Times New Roman" w:hAnsi="Times New Roman" w:eastAsia="宋体" w:cs="Times New Roman"/>
                <w:bCs/>
                <w:color w:val="auto"/>
                <w:sz w:val="24"/>
                <w:highlight w:val="none"/>
                <w:lang w:eastAsia="zh-CN"/>
              </w:rPr>
              <w:t>有组织排放</w:t>
            </w:r>
            <w:r>
              <w:rPr>
                <w:rFonts w:hint="default" w:ascii="Times New Roman" w:hAnsi="Times New Roman" w:eastAsia="宋体" w:cs="Times New Roman"/>
                <w:bCs/>
                <w:color w:val="auto"/>
                <w:sz w:val="24"/>
                <w:highlight w:val="none"/>
              </w:rPr>
              <w:t>执行《铸造</w:t>
            </w:r>
            <w:r>
              <w:rPr>
                <w:rFonts w:hint="default" w:ascii="Times New Roman" w:hAnsi="Times New Roman" w:eastAsia="宋体" w:cs="Times New Roman"/>
                <w:bCs/>
                <w:color w:val="auto"/>
                <w:sz w:val="24"/>
                <w:highlight w:val="none"/>
                <w:lang w:eastAsia="zh-CN"/>
              </w:rPr>
              <w:t>工业</w:t>
            </w:r>
            <w:r>
              <w:rPr>
                <w:rFonts w:hint="default" w:ascii="Times New Roman" w:hAnsi="Times New Roman" w:eastAsia="宋体" w:cs="Times New Roman"/>
                <w:bCs/>
                <w:color w:val="auto"/>
                <w:sz w:val="24"/>
                <w:highlight w:val="none"/>
              </w:rPr>
              <w:t>大气污染物排放</w:t>
            </w:r>
            <w:r>
              <w:rPr>
                <w:rFonts w:hint="default" w:ascii="Times New Roman" w:hAnsi="Times New Roman" w:eastAsia="宋体" w:cs="Times New Roman"/>
                <w:bCs/>
                <w:color w:val="auto"/>
                <w:sz w:val="24"/>
                <w:highlight w:val="none"/>
                <w:lang w:eastAsia="zh-CN"/>
              </w:rPr>
              <w:t>标准</w:t>
            </w:r>
            <w:r>
              <w:rPr>
                <w:rFonts w:hint="default" w:ascii="Times New Roman" w:hAnsi="Times New Roman" w:eastAsia="宋体" w:cs="Times New Roman"/>
                <w:bCs/>
                <w:color w:val="auto"/>
                <w:sz w:val="24"/>
                <w:highlight w:val="none"/>
              </w:rPr>
              <w:t>》</w:t>
            </w:r>
            <w:r>
              <w:rPr>
                <w:rFonts w:hint="eastAsia" w:ascii="Times New Roman" w:hAnsi="Times New Roman" w:eastAsia="宋体" w:cs="Times New Roman"/>
                <w:bCs/>
                <w:color w:val="auto"/>
                <w:sz w:val="24"/>
                <w:highlight w:val="none"/>
                <w:lang w:eastAsia="zh-CN"/>
              </w:rPr>
              <w:t>（</w:t>
            </w:r>
            <w:r>
              <w:rPr>
                <w:rFonts w:hint="default" w:ascii="Times New Roman" w:hAnsi="Times New Roman" w:eastAsia="宋体" w:cs="Times New Roman"/>
                <w:bCs/>
                <w:color w:val="auto"/>
                <w:sz w:val="24"/>
                <w:highlight w:val="none"/>
                <w:lang w:val="en-US" w:eastAsia="zh-CN"/>
              </w:rPr>
              <w:t>GB</w:t>
            </w:r>
            <w:r>
              <w:rPr>
                <w:rFonts w:hint="eastAsia" w:ascii="Times New Roman" w:hAnsi="Times New Roman" w:eastAsia="宋体" w:cs="Times New Roman"/>
                <w:bCs/>
                <w:color w:val="auto"/>
                <w:sz w:val="24"/>
                <w:highlight w:val="none"/>
                <w:lang w:val="en-US" w:eastAsia="zh-CN"/>
              </w:rPr>
              <w:t xml:space="preserve"> </w:t>
            </w:r>
            <w:r>
              <w:rPr>
                <w:rFonts w:hint="default" w:ascii="Times New Roman" w:hAnsi="Times New Roman" w:eastAsia="宋体" w:cs="Times New Roman"/>
                <w:bCs/>
                <w:color w:val="auto"/>
                <w:sz w:val="24"/>
                <w:highlight w:val="none"/>
                <w:lang w:val="en-US" w:eastAsia="zh-CN"/>
              </w:rPr>
              <w:t>39726-2020</w:t>
            </w:r>
            <w:r>
              <w:rPr>
                <w:rFonts w:hint="default" w:ascii="Times New Roman" w:hAnsi="Times New Roman" w:eastAsia="宋体" w:cs="Times New Roman"/>
                <w:bCs/>
                <w:color w:val="auto"/>
                <w:sz w:val="24"/>
                <w:highlight w:val="none"/>
              </w:rPr>
              <w:t>）</w:t>
            </w:r>
            <w:r>
              <w:rPr>
                <w:rFonts w:hint="default" w:ascii="Times New Roman" w:hAnsi="Times New Roman" w:eastAsia="宋体" w:cs="Times New Roman"/>
                <w:color w:val="auto"/>
                <w:sz w:val="24"/>
                <w:highlight w:val="none"/>
              </w:rPr>
              <w:t>表1</w:t>
            </w:r>
            <w:r>
              <w:rPr>
                <w:rFonts w:hint="default" w:ascii="Times New Roman" w:hAnsi="Times New Roman" w:eastAsia="宋体" w:cs="Times New Roman"/>
                <w:color w:val="auto"/>
                <w:sz w:val="24"/>
                <w:highlight w:val="none"/>
                <w:lang w:eastAsia="zh-CN"/>
              </w:rPr>
              <w:t>大气污染物排放限值，</w:t>
            </w:r>
            <w:r>
              <w:rPr>
                <w:rFonts w:hint="eastAsia" w:eastAsia="宋体"/>
                <w:color w:val="auto"/>
                <w:sz w:val="24"/>
                <w:szCs w:val="24"/>
                <w:highlight w:val="none"/>
                <w:lang w:eastAsia="zh-CN"/>
              </w:rPr>
              <w:t>射芯</w:t>
            </w:r>
            <w:r>
              <w:rPr>
                <w:rFonts w:hint="eastAsia"/>
                <w:color w:val="auto"/>
                <w:sz w:val="24"/>
                <w:szCs w:val="24"/>
                <w:highlight w:val="none"/>
                <w:lang w:eastAsia="zh-CN"/>
              </w:rPr>
              <w:t>、</w:t>
            </w:r>
            <w:r>
              <w:rPr>
                <w:rFonts w:hint="default"/>
                <w:color w:val="auto"/>
                <w:sz w:val="24"/>
                <w:szCs w:val="24"/>
                <w:highlight w:val="none"/>
                <w:lang w:eastAsia="zh-CN"/>
              </w:rPr>
              <w:t>浇铸</w:t>
            </w:r>
            <w:r>
              <w:rPr>
                <w:rFonts w:hint="eastAsia"/>
                <w:color w:val="auto"/>
                <w:sz w:val="24"/>
                <w:szCs w:val="24"/>
                <w:highlight w:val="none"/>
                <w:lang w:val="en-US" w:eastAsia="zh-CN"/>
              </w:rPr>
              <w:t>过程</w:t>
            </w:r>
            <w:r>
              <w:rPr>
                <w:rFonts w:hint="default" w:ascii="Times New Roman" w:hAnsi="Times New Roman" w:eastAsia="宋体" w:cs="Times New Roman"/>
                <w:color w:val="auto"/>
                <w:sz w:val="24"/>
                <w:highlight w:val="none"/>
                <w:lang w:eastAsia="zh-CN"/>
              </w:rPr>
              <w:t>排放的</w:t>
            </w:r>
            <w:r>
              <w:rPr>
                <w:rFonts w:hint="eastAsia"/>
                <w:color w:val="auto"/>
                <w:sz w:val="24"/>
                <w:szCs w:val="24"/>
                <w:highlight w:val="none"/>
                <w:lang w:val="en-US" w:eastAsia="zh-CN"/>
              </w:rPr>
              <w:t>挥发性有机物</w:t>
            </w:r>
            <w:r>
              <w:rPr>
                <w:rFonts w:hint="default"/>
                <w:color w:val="auto"/>
                <w:sz w:val="24"/>
                <w:szCs w:val="24"/>
                <w:highlight w:val="none"/>
                <w:lang w:val="en-US" w:eastAsia="zh-CN"/>
              </w:rPr>
              <w:t>（以非甲烷总烃计）有组织排放</w:t>
            </w:r>
            <w:r>
              <w:rPr>
                <w:rFonts w:hint="eastAsia"/>
                <w:color w:val="auto"/>
                <w:sz w:val="24"/>
                <w:szCs w:val="24"/>
                <w:highlight w:val="none"/>
                <w:lang w:val="en-US" w:eastAsia="zh-CN"/>
              </w:rPr>
              <w:t>执行</w:t>
            </w:r>
            <w:r>
              <w:rPr>
                <w:rFonts w:hint="default" w:ascii="Times New Roman" w:hAnsi="Times New Roman" w:eastAsia="宋体" w:cs="Times New Roman"/>
                <w:color w:val="auto"/>
                <w:sz w:val="24"/>
                <w:szCs w:val="24"/>
                <w:highlight w:val="none"/>
                <w:lang w:eastAsia="zh-CN"/>
              </w:rPr>
              <w:t>《大气污染物综合排放标准》（</w:t>
            </w:r>
            <w:r>
              <w:rPr>
                <w:rFonts w:hint="eastAsia" w:ascii="Times New Roman" w:hAnsi="Times New Roman" w:eastAsia="宋体" w:cs="Times New Roman"/>
                <w:color w:val="auto"/>
                <w:sz w:val="24"/>
                <w:szCs w:val="24"/>
                <w:highlight w:val="none"/>
                <w:lang w:val="en-US" w:eastAsia="zh-CN"/>
              </w:rPr>
              <w:t>GB 16297-1</w:t>
            </w:r>
            <w:r>
              <w:rPr>
                <w:rFonts w:hint="eastAsia"/>
                <w:color w:val="auto"/>
                <w:sz w:val="24"/>
                <w:szCs w:val="24"/>
                <w:highlight w:val="none"/>
                <w:lang w:val="en-US" w:eastAsia="zh-CN"/>
              </w:rPr>
              <w:t>996</w:t>
            </w:r>
            <w:r>
              <w:rPr>
                <w:rFonts w:hint="default"/>
                <w:color w:val="auto"/>
                <w:sz w:val="24"/>
                <w:szCs w:val="24"/>
                <w:highlight w:val="none"/>
              </w:rPr>
              <w:t>）</w:t>
            </w:r>
            <w:r>
              <w:rPr>
                <w:rFonts w:hint="eastAsia"/>
                <w:color w:val="auto"/>
                <w:sz w:val="24"/>
                <w:szCs w:val="24"/>
                <w:highlight w:val="none"/>
                <w:lang w:val="en-US" w:eastAsia="zh-CN"/>
              </w:rPr>
              <w:t>表2中限值。</w:t>
            </w:r>
            <w:r>
              <w:rPr>
                <w:rFonts w:hint="default"/>
                <w:color w:val="auto"/>
                <w:sz w:val="24"/>
                <w:szCs w:val="24"/>
                <w:highlight w:val="none"/>
                <w:lang w:eastAsia="zh-CN"/>
              </w:rPr>
              <w:t>企业厂区内颗粒物</w:t>
            </w:r>
            <w:r>
              <w:rPr>
                <w:rFonts w:hint="default"/>
                <w:color w:val="auto"/>
                <w:sz w:val="24"/>
                <w:szCs w:val="24"/>
                <w:highlight w:val="none"/>
              </w:rPr>
              <w:t>无组织排放监控点浓度</w:t>
            </w:r>
            <w:r>
              <w:rPr>
                <w:rFonts w:hint="eastAsia"/>
                <w:color w:val="auto"/>
                <w:sz w:val="24"/>
                <w:szCs w:val="24"/>
                <w:highlight w:val="none"/>
                <w:lang w:val="en-US" w:eastAsia="zh-CN"/>
              </w:rPr>
              <w:t>执行</w:t>
            </w:r>
            <w:r>
              <w:rPr>
                <w:rFonts w:hint="default"/>
                <w:color w:val="auto"/>
                <w:sz w:val="24"/>
                <w:szCs w:val="24"/>
                <w:highlight w:val="none"/>
              </w:rPr>
              <w:t>《</w:t>
            </w:r>
            <w:r>
              <w:rPr>
                <w:rFonts w:hint="default" w:ascii="Times New Roman" w:hAnsi="Times New Roman" w:eastAsia="宋体" w:cs="Times New Roman"/>
                <w:color w:val="auto"/>
                <w:sz w:val="24"/>
                <w:szCs w:val="24"/>
                <w:highlight w:val="none"/>
                <w:lang w:eastAsia="zh-CN"/>
              </w:rPr>
              <w:t>铸造工业大气污染物排放标准》</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GB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39726-2020</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附录A</w:t>
            </w:r>
            <w:r>
              <w:rPr>
                <w:rFonts w:hint="default" w:ascii="Times New Roman" w:hAnsi="Times New Roman" w:eastAsia="宋体" w:cs="Times New Roman"/>
                <w:color w:val="auto"/>
                <w:sz w:val="24"/>
                <w:szCs w:val="24"/>
                <w:highlight w:val="none"/>
                <w:lang w:eastAsia="zh-CN"/>
              </w:rPr>
              <w:t>表A.1规定的限值</w:t>
            </w:r>
            <w:r>
              <w:rPr>
                <w:rFonts w:hint="eastAsia" w:ascii="Times New Roman" w:hAnsi="Times New Roman" w:eastAsia="宋体" w:cs="Times New Roman"/>
                <w:color w:val="auto"/>
                <w:sz w:val="24"/>
                <w:szCs w:val="24"/>
                <w:highlight w:val="none"/>
                <w:lang w:val="en-US" w:eastAsia="zh-CN"/>
              </w:rPr>
              <w:t>要求。厂区</w:t>
            </w:r>
            <w:r>
              <w:rPr>
                <w:rFonts w:hint="default" w:ascii="Times New Roman" w:hAnsi="Times New Roman" w:eastAsia="宋体" w:cs="Times New Roman"/>
                <w:color w:val="auto"/>
                <w:sz w:val="24"/>
                <w:szCs w:val="24"/>
                <w:highlight w:val="none"/>
                <w:lang w:eastAsia="zh-CN"/>
              </w:rPr>
              <w:t>内的非甲烷总烃</w:t>
            </w:r>
            <w:r>
              <w:rPr>
                <w:rFonts w:hint="eastAsia" w:ascii="Times New Roman" w:hAnsi="Times New Roman" w:eastAsia="宋体" w:cs="Times New Roman"/>
                <w:color w:val="auto"/>
                <w:sz w:val="24"/>
                <w:szCs w:val="24"/>
                <w:highlight w:val="none"/>
                <w:lang w:val="en-US" w:eastAsia="zh-CN"/>
              </w:rPr>
              <w:t>计</w:t>
            </w:r>
            <w:r>
              <w:rPr>
                <w:rFonts w:hint="default" w:ascii="Times New Roman" w:hAnsi="Times New Roman" w:eastAsia="宋体" w:cs="Times New Roman"/>
                <w:color w:val="auto"/>
                <w:sz w:val="24"/>
                <w:szCs w:val="24"/>
                <w:highlight w:val="none"/>
                <w:lang w:eastAsia="zh-CN"/>
              </w:rPr>
              <w:t>执行《挥发性有机物无组织排放控制标准》（GB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37822-2019）厂区内特别排放限值</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企业厂</w:t>
            </w:r>
            <w:r>
              <w:rPr>
                <w:rFonts w:hint="eastAsia" w:ascii="Times New Roman" w:hAnsi="Times New Roman" w:eastAsia="宋体" w:cs="Times New Roman"/>
                <w:color w:val="auto"/>
                <w:sz w:val="24"/>
                <w:szCs w:val="24"/>
                <w:highlight w:val="none"/>
                <w:lang w:val="en-US" w:eastAsia="zh-CN"/>
              </w:rPr>
              <w:t>界</w:t>
            </w:r>
            <w:r>
              <w:rPr>
                <w:rFonts w:hint="default" w:ascii="Times New Roman" w:hAnsi="Times New Roman" w:eastAsia="宋体" w:cs="Times New Roman"/>
                <w:color w:val="auto"/>
                <w:sz w:val="24"/>
                <w:szCs w:val="24"/>
                <w:highlight w:val="none"/>
                <w:lang w:eastAsia="zh-CN"/>
              </w:rPr>
              <w:t>无组织颗粒物</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非甲烷总烃</w:t>
            </w:r>
            <w:r>
              <w:rPr>
                <w:rFonts w:hint="default" w:ascii="Times New Roman" w:hAnsi="Times New Roman" w:eastAsia="宋体" w:cs="Times New Roman"/>
                <w:color w:val="auto"/>
                <w:sz w:val="24"/>
                <w:szCs w:val="24"/>
                <w:highlight w:val="none"/>
                <w:lang w:val="en-US" w:eastAsia="zh-CN"/>
              </w:rPr>
              <w:t>执行</w:t>
            </w:r>
            <w:r>
              <w:rPr>
                <w:rFonts w:hint="default" w:ascii="Times New Roman" w:hAnsi="Times New Roman" w:eastAsia="宋体" w:cs="Times New Roman"/>
                <w:color w:val="auto"/>
                <w:sz w:val="24"/>
                <w:szCs w:val="24"/>
                <w:highlight w:val="none"/>
                <w:lang w:eastAsia="zh-CN"/>
              </w:rPr>
              <w:t>《大气污染物综合排放标准》（</w:t>
            </w:r>
            <w:r>
              <w:rPr>
                <w:rFonts w:hint="eastAsia" w:ascii="Times New Roman" w:hAnsi="Times New Roman" w:eastAsia="宋体" w:cs="Times New Roman"/>
                <w:color w:val="auto"/>
                <w:sz w:val="24"/>
                <w:szCs w:val="24"/>
                <w:highlight w:val="none"/>
                <w:lang w:val="en-US" w:eastAsia="zh-CN"/>
              </w:rPr>
              <w:t>GB 16297-1</w:t>
            </w:r>
            <w:r>
              <w:rPr>
                <w:rFonts w:hint="eastAsia"/>
                <w:color w:val="auto"/>
                <w:sz w:val="24"/>
                <w:szCs w:val="24"/>
                <w:highlight w:val="none"/>
                <w:lang w:val="en-US" w:eastAsia="zh-CN"/>
              </w:rPr>
              <w:t>996</w:t>
            </w:r>
            <w:r>
              <w:rPr>
                <w:rFonts w:hint="default"/>
                <w:color w:val="auto"/>
                <w:sz w:val="24"/>
                <w:szCs w:val="24"/>
                <w:highlight w:val="none"/>
              </w:rPr>
              <w:t>）</w:t>
            </w:r>
            <w:r>
              <w:rPr>
                <w:rFonts w:hint="eastAsia"/>
                <w:color w:val="auto"/>
                <w:sz w:val="24"/>
                <w:szCs w:val="24"/>
                <w:highlight w:val="none"/>
                <w:lang w:val="en-US" w:eastAsia="zh-CN"/>
              </w:rPr>
              <w:t>表2中限值</w:t>
            </w:r>
            <w:r>
              <w:rPr>
                <w:rFonts w:hint="eastAsia" w:ascii="Times New Roman" w:hAnsi="Times New Roman" w:cs="Times New Roman"/>
                <w:color w:val="auto"/>
                <w:sz w:val="24"/>
                <w:highlight w:val="none"/>
                <w:lang w:val="en-US" w:eastAsia="zh-CN"/>
              </w:rPr>
              <w:t>，具体标准值见下表</w:t>
            </w:r>
            <w:r>
              <w:rPr>
                <w:rFonts w:hint="default" w:ascii="Times New Roman" w:hAnsi="Times New Roman" w:cs="Times New Roman"/>
                <w:color w:val="auto"/>
                <w:sz w:val="24"/>
                <w:highlight w:val="none"/>
                <w:lang w:val="en-US" w:eastAsia="zh-CN"/>
              </w:rPr>
              <w:t>。</w:t>
            </w:r>
          </w:p>
          <w:p w14:paraId="22085DA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2"/>
                <w:szCs w:val="22"/>
                <w:lang w:val="en-US" w:eastAsia="zh-CN"/>
              </w:rPr>
            </w:pPr>
            <w:r>
              <w:rPr>
                <w:rFonts w:hint="default" w:ascii="Times New Roman" w:hAnsi="Times New Roman" w:eastAsia="宋体" w:cs="Times New Roman"/>
                <w:b/>
                <w:bCs/>
                <w:color w:val="auto"/>
                <w:kern w:val="2"/>
                <w:sz w:val="22"/>
                <w:szCs w:val="22"/>
                <w:lang w:val="en-US" w:eastAsia="zh-CN"/>
              </w:rPr>
              <w:t xml:space="preserve">表3-5  </w:t>
            </w:r>
            <w:r>
              <w:rPr>
                <w:rFonts w:hint="default" w:ascii="Times New Roman" w:hAnsi="Times New Roman" w:eastAsia="宋体" w:cs="Times New Roman"/>
                <w:b/>
                <w:bCs/>
                <w:color w:val="auto"/>
                <w:kern w:val="2"/>
                <w:sz w:val="22"/>
                <w:szCs w:val="22"/>
                <w:lang w:val="zh-CN" w:eastAsia="zh-CN"/>
              </w:rPr>
              <w:t>铸造工业大气污染物排放标准</w:t>
            </w:r>
            <w:r>
              <w:rPr>
                <w:rFonts w:hint="eastAsia" w:ascii="Times New Roman" w:hAnsi="Times New Roman" w:eastAsia="宋体" w:cs="Times New Roman"/>
                <w:b/>
                <w:bCs/>
                <w:color w:val="auto"/>
                <w:kern w:val="2"/>
                <w:sz w:val="22"/>
                <w:szCs w:val="22"/>
                <w:lang w:val="en-US" w:eastAsia="zh-CN"/>
              </w:rPr>
              <w:t xml:space="preserve">      </w:t>
            </w:r>
            <w:r>
              <w:rPr>
                <w:rFonts w:hint="default" w:ascii="Times New Roman" w:hAnsi="Times New Roman" w:eastAsia="宋体" w:cs="Times New Roman"/>
                <w:b/>
                <w:bCs/>
                <w:color w:val="auto"/>
                <w:kern w:val="2"/>
                <w:sz w:val="22"/>
                <w:szCs w:val="22"/>
                <w:lang w:val="en-US" w:eastAsia="zh-CN"/>
              </w:rPr>
              <w:t>单位：mg/m</w:t>
            </w:r>
            <w:r>
              <w:rPr>
                <w:rFonts w:hint="default" w:ascii="Times New Roman" w:hAnsi="Times New Roman" w:eastAsia="宋体" w:cs="Times New Roman"/>
                <w:b/>
                <w:bCs/>
                <w:color w:val="auto"/>
                <w:kern w:val="2"/>
                <w:sz w:val="22"/>
                <w:szCs w:val="22"/>
                <w:vertAlign w:val="superscript"/>
                <w:lang w:val="en-US" w:eastAsia="zh-CN"/>
              </w:rPr>
              <w:t>3</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4"/>
              <w:gridCol w:w="3379"/>
              <w:gridCol w:w="1001"/>
              <w:gridCol w:w="2416"/>
            </w:tblGrid>
            <w:tr w14:paraId="2633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33" w:type="dxa"/>
                  <w:gridSpan w:val="2"/>
                  <w:tcBorders>
                    <w:tl2br w:val="nil"/>
                    <w:tr2bl w:val="nil"/>
                  </w:tcBorders>
                  <w:noWrap w:val="0"/>
                  <w:vAlign w:val="center"/>
                </w:tcPr>
                <w:p w14:paraId="661D71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生产过程</w:t>
                  </w:r>
                </w:p>
              </w:tc>
              <w:tc>
                <w:tcPr>
                  <w:tcW w:w="1001" w:type="dxa"/>
                  <w:tcBorders>
                    <w:tl2br w:val="nil"/>
                    <w:tr2bl w:val="nil"/>
                  </w:tcBorders>
                  <w:noWrap w:val="0"/>
                  <w:vAlign w:val="center"/>
                </w:tcPr>
                <w:p w14:paraId="7A7E03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颗粒物</w:t>
                  </w:r>
                </w:p>
              </w:tc>
              <w:tc>
                <w:tcPr>
                  <w:tcW w:w="2416" w:type="dxa"/>
                  <w:tcBorders>
                    <w:tl2br w:val="nil"/>
                    <w:tr2bl w:val="nil"/>
                  </w:tcBorders>
                  <w:noWrap w:val="0"/>
                  <w:vAlign w:val="center"/>
                </w:tcPr>
                <w:p w14:paraId="56E703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污染物排放监控位置</w:t>
                  </w:r>
                </w:p>
              </w:tc>
            </w:tr>
            <w:tr w14:paraId="4993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4" w:type="dxa"/>
                  <w:tcBorders>
                    <w:tl2br w:val="nil"/>
                    <w:tr2bl w:val="nil"/>
                  </w:tcBorders>
                  <w:noWrap w:val="0"/>
                  <w:vAlign w:val="center"/>
                </w:tcPr>
                <w:p w14:paraId="45CCA7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金属熔炼（化）</w:t>
                  </w:r>
                </w:p>
              </w:tc>
              <w:tc>
                <w:tcPr>
                  <w:tcW w:w="3379" w:type="dxa"/>
                  <w:tcBorders>
                    <w:tl2br w:val="nil"/>
                    <w:tr2bl w:val="nil"/>
                  </w:tcBorders>
                  <w:noWrap w:val="0"/>
                  <w:vAlign w:val="center"/>
                </w:tcPr>
                <w:p w14:paraId="237A98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感应电炉</w:t>
                  </w:r>
                </w:p>
              </w:tc>
              <w:tc>
                <w:tcPr>
                  <w:tcW w:w="1001" w:type="dxa"/>
                  <w:tcBorders>
                    <w:tl2br w:val="nil"/>
                    <w:tr2bl w:val="nil"/>
                  </w:tcBorders>
                  <w:noWrap w:val="0"/>
                  <w:vAlign w:val="center"/>
                </w:tcPr>
                <w:p w14:paraId="0EA608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2416" w:type="dxa"/>
                  <w:vMerge w:val="restart"/>
                  <w:tcBorders>
                    <w:tl2br w:val="nil"/>
                    <w:tr2bl w:val="nil"/>
                  </w:tcBorders>
                  <w:noWrap w:val="0"/>
                  <w:vAlign w:val="center"/>
                </w:tcPr>
                <w:p w14:paraId="735125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车间或生产设施排气筒</w:t>
                  </w:r>
                </w:p>
              </w:tc>
            </w:tr>
            <w:tr w14:paraId="1411A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4" w:type="dxa"/>
                  <w:tcBorders>
                    <w:tl2br w:val="nil"/>
                    <w:tr2bl w:val="nil"/>
                  </w:tcBorders>
                  <w:noWrap w:val="0"/>
                  <w:vAlign w:val="center"/>
                </w:tcPr>
                <w:p w14:paraId="0E0C4E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造型</w:t>
                  </w:r>
                </w:p>
              </w:tc>
              <w:tc>
                <w:tcPr>
                  <w:tcW w:w="3379" w:type="dxa"/>
                  <w:tcBorders>
                    <w:tl2br w:val="nil"/>
                    <w:tr2bl w:val="nil"/>
                  </w:tcBorders>
                  <w:noWrap w:val="0"/>
                  <w:vAlign w:val="center"/>
                </w:tcPr>
                <w:p w14:paraId="1BB94A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自硬砂及干砂等造型设备</w:t>
                  </w:r>
                </w:p>
              </w:tc>
              <w:tc>
                <w:tcPr>
                  <w:tcW w:w="1001" w:type="dxa"/>
                  <w:tcBorders>
                    <w:tl2br w:val="nil"/>
                    <w:tr2bl w:val="nil"/>
                  </w:tcBorders>
                  <w:noWrap w:val="0"/>
                  <w:vAlign w:val="center"/>
                </w:tcPr>
                <w:p w14:paraId="660106D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2416" w:type="dxa"/>
                  <w:vMerge w:val="continue"/>
                  <w:tcBorders>
                    <w:tl2br w:val="nil"/>
                    <w:tr2bl w:val="nil"/>
                  </w:tcBorders>
                  <w:noWrap w:val="0"/>
                  <w:vAlign w:val="center"/>
                </w:tcPr>
                <w:p w14:paraId="71E17C3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p>
              </w:tc>
            </w:tr>
            <w:tr w14:paraId="5380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4" w:type="dxa"/>
                  <w:tcBorders>
                    <w:tl2br w:val="nil"/>
                    <w:tr2bl w:val="nil"/>
                  </w:tcBorders>
                  <w:noWrap w:val="0"/>
                  <w:vAlign w:val="center"/>
                </w:tcPr>
                <w:p w14:paraId="4AF100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落砂、清理</w:t>
                  </w:r>
                </w:p>
              </w:tc>
              <w:tc>
                <w:tcPr>
                  <w:tcW w:w="3379" w:type="dxa"/>
                  <w:tcBorders>
                    <w:tl2br w:val="nil"/>
                    <w:tr2bl w:val="nil"/>
                  </w:tcBorders>
                  <w:noWrap w:val="0"/>
                  <w:vAlign w:val="center"/>
                </w:tcPr>
                <w:p w14:paraId="3C598C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落砂机、抛（喷）丸机等清理设备</w:t>
                  </w:r>
                </w:p>
              </w:tc>
              <w:tc>
                <w:tcPr>
                  <w:tcW w:w="1001" w:type="dxa"/>
                  <w:tcBorders>
                    <w:tl2br w:val="nil"/>
                    <w:tr2bl w:val="nil"/>
                  </w:tcBorders>
                  <w:noWrap w:val="0"/>
                  <w:vAlign w:val="center"/>
                </w:tcPr>
                <w:p w14:paraId="44EE3C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2416" w:type="dxa"/>
                  <w:vMerge w:val="continue"/>
                  <w:tcBorders>
                    <w:tl2br w:val="nil"/>
                    <w:tr2bl w:val="nil"/>
                  </w:tcBorders>
                  <w:noWrap w:val="0"/>
                  <w:vAlign w:val="center"/>
                </w:tcPr>
                <w:p w14:paraId="6AFA383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p>
              </w:tc>
            </w:tr>
            <w:tr w14:paraId="26EC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4" w:type="dxa"/>
                  <w:tcBorders>
                    <w:tl2br w:val="nil"/>
                    <w:tr2bl w:val="nil"/>
                  </w:tcBorders>
                  <w:noWrap w:val="0"/>
                  <w:vAlign w:val="center"/>
                </w:tcPr>
                <w:p w14:paraId="1EFF65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砂处理、废砂再生</w:t>
                  </w:r>
                </w:p>
              </w:tc>
              <w:tc>
                <w:tcPr>
                  <w:tcW w:w="3379" w:type="dxa"/>
                  <w:tcBorders>
                    <w:tl2br w:val="nil"/>
                    <w:tr2bl w:val="nil"/>
                  </w:tcBorders>
                  <w:noWrap w:val="0"/>
                  <w:vAlign w:val="center"/>
                </w:tcPr>
                <w:p w14:paraId="32C68D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砂处理及废砂再生设备</w:t>
                  </w:r>
                </w:p>
              </w:tc>
              <w:tc>
                <w:tcPr>
                  <w:tcW w:w="1001" w:type="dxa"/>
                  <w:tcBorders>
                    <w:tl2br w:val="nil"/>
                    <w:tr2bl w:val="nil"/>
                  </w:tcBorders>
                  <w:noWrap w:val="0"/>
                  <w:vAlign w:val="center"/>
                </w:tcPr>
                <w:p w14:paraId="35A5E2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2416" w:type="dxa"/>
                  <w:vMerge w:val="continue"/>
                  <w:tcBorders>
                    <w:tl2br w:val="nil"/>
                    <w:tr2bl w:val="nil"/>
                  </w:tcBorders>
                  <w:noWrap w:val="0"/>
                  <w:vAlign w:val="center"/>
                </w:tcPr>
                <w:p w14:paraId="51C6C0D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p>
              </w:tc>
            </w:tr>
            <w:tr w14:paraId="0866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4" w:type="dxa"/>
                  <w:tcBorders>
                    <w:tl2br w:val="nil"/>
                    <w:tr2bl w:val="nil"/>
                  </w:tcBorders>
                  <w:noWrap w:val="0"/>
                  <w:vAlign w:val="center"/>
                </w:tcPr>
                <w:p w14:paraId="6C212A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制芯</w:t>
                  </w:r>
                </w:p>
              </w:tc>
              <w:tc>
                <w:tcPr>
                  <w:tcW w:w="3379" w:type="dxa"/>
                  <w:tcBorders>
                    <w:tl2br w:val="nil"/>
                    <w:tr2bl w:val="nil"/>
                  </w:tcBorders>
                  <w:noWrap w:val="0"/>
                  <w:vAlign w:val="center"/>
                </w:tcPr>
                <w:p w14:paraId="784082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加砂、制芯设备</w:t>
                  </w:r>
                </w:p>
              </w:tc>
              <w:tc>
                <w:tcPr>
                  <w:tcW w:w="1001" w:type="dxa"/>
                  <w:tcBorders>
                    <w:tl2br w:val="nil"/>
                    <w:tr2bl w:val="nil"/>
                  </w:tcBorders>
                  <w:noWrap w:val="0"/>
                  <w:vAlign w:val="center"/>
                </w:tcPr>
                <w:p w14:paraId="6A6CE2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2416" w:type="dxa"/>
                  <w:vMerge w:val="continue"/>
                  <w:tcBorders>
                    <w:tl2br w:val="nil"/>
                    <w:tr2bl w:val="nil"/>
                  </w:tcBorders>
                  <w:noWrap w:val="0"/>
                  <w:vAlign w:val="center"/>
                </w:tcPr>
                <w:p w14:paraId="61CE5B37">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p>
              </w:tc>
            </w:tr>
            <w:tr w14:paraId="3485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4" w:type="dxa"/>
                  <w:tcBorders>
                    <w:tl2br w:val="nil"/>
                    <w:tr2bl w:val="nil"/>
                  </w:tcBorders>
                  <w:noWrap w:val="0"/>
                  <w:vAlign w:val="center"/>
                </w:tcPr>
                <w:p w14:paraId="5EB070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浇铸</w:t>
                  </w:r>
                </w:p>
              </w:tc>
              <w:tc>
                <w:tcPr>
                  <w:tcW w:w="3379" w:type="dxa"/>
                  <w:tcBorders>
                    <w:tl2br w:val="nil"/>
                    <w:tr2bl w:val="nil"/>
                  </w:tcBorders>
                  <w:noWrap w:val="0"/>
                  <w:vAlign w:val="center"/>
                </w:tcPr>
                <w:p w14:paraId="32F3F5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浇铸区</w:t>
                  </w:r>
                </w:p>
              </w:tc>
              <w:tc>
                <w:tcPr>
                  <w:tcW w:w="1001" w:type="dxa"/>
                  <w:tcBorders>
                    <w:tl2br w:val="nil"/>
                    <w:tr2bl w:val="nil"/>
                  </w:tcBorders>
                  <w:noWrap w:val="0"/>
                  <w:vAlign w:val="center"/>
                </w:tcPr>
                <w:p w14:paraId="695656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w:t>
                  </w:r>
                </w:p>
              </w:tc>
              <w:tc>
                <w:tcPr>
                  <w:tcW w:w="2416" w:type="dxa"/>
                  <w:vMerge w:val="continue"/>
                  <w:tcBorders>
                    <w:tl2br w:val="nil"/>
                    <w:tr2bl w:val="nil"/>
                  </w:tcBorders>
                  <w:noWrap w:val="0"/>
                  <w:vAlign w:val="center"/>
                </w:tcPr>
                <w:p w14:paraId="77806BAC">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vertAlign w:val="baseline"/>
                      <w:lang w:val="en-US" w:eastAsia="zh-CN"/>
                    </w:rPr>
                  </w:pPr>
                </w:p>
              </w:tc>
            </w:tr>
          </w:tbl>
          <w:p w14:paraId="1DAF230D">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p>
          <w:p w14:paraId="0E9B124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2"/>
                <w:szCs w:val="22"/>
                <w:lang w:val="en-US" w:eastAsia="zh-CN"/>
              </w:rPr>
            </w:pPr>
            <w:r>
              <w:rPr>
                <w:rFonts w:hint="default" w:ascii="Times New Roman" w:hAnsi="Times New Roman" w:eastAsia="宋体" w:cs="Times New Roman"/>
                <w:b/>
                <w:bCs/>
                <w:color w:val="auto"/>
                <w:kern w:val="2"/>
                <w:sz w:val="22"/>
                <w:szCs w:val="22"/>
                <w:lang w:val="en-US" w:eastAsia="zh-CN"/>
              </w:rPr>
              <w:t>表</w:t>
            </w:r>
            <w:r>
              <w:rPr>
                <w:rFonts w:hint="eastAsia" w:ascii="Times New Roman" w:hAnsi="Times New Roman" w:eastAsia="宋体" w:cs="Times New Roman"/>
                <w:b/>
                <w:bCs/>
                <w:color w:val="auto"/>
                <w:kern w:val="2"/>
                <w:sz w:val="22"/>
                <w:szCs w:val="22"/>
                <w:lang w:val="en-US" w:eastAsia="zh-CN"/>
              </w:rPr>
              <w:t>3-6</w:t>
            </w:r>
            <w:r>
              <w:rPr>
                <w:rFonts w:hint="default" w:ascii="Times New Roman" w:hAnsi="Times New Roman" w:eastAsia="宋体" w:cs="Times New Roman"/>
                <w:b/>
                <w:bCs/>
                <w:color w:val="auto"/>
                <w:kern w:val="2"/>
                <w:sz w:val="22"/>
                <w:szCs w:val="22"/>
                <w:lang w:val="en-US" w:eastAsia="zh-CN"/>
              </w:rPr>
              <w:t xml:space="preserve">  大气污染物综合排放标准</w:t>
            </w:r>
            <w:r>
              <w:rPr>
                <w:rFonts w:hint="eastAsia" w:ascii="Times New Roman" w:hAnsi="Times New Roman" w:eastAsia="宋体" w:cs="Times New Roman"/>
                <w:b/>
                <w:bCs/>
                <w:color w:val="auto"/>
                <w:kern w:val="2"/>
                <w:sz w:val="22"/>
                <w:szCs w:val="22"/>
                <w:lang w:val="en-US" w:eastAsia="zh-CN"/>
              </w:rPr>
              <w:t xml:space="preserve">      </w:t>
            </w:r>
            <w:r>
              <w:rPr>
                <w:rFonts w:hint="default" w:ascii="Times New Roman" w:hAnsi="Times New Roman" w:eastAsia="宋体" w:cs="Times New Roman"/>
                <w:b/>
                <w:bCs/>
                <w:color w:val="auto"/>
                <w:kern w:val="2"/>
                <w:sz w:val="22"/>
                <w:szCs w:val="22"/>
                <w:lang w:val="en-US" w:eastAsia="zh-CN"/>
              </w:rPr>
              <w:t>单位：mg/m</w:t>
            </w:r>
            <w:r>
              <w:rPr>
                <w:rFonts w:hint="default" w:ascii="Times New Roman" w:hAnsi="Times New Roman" w:eastAsia="宋体" w:cs="Times New Roman"/>
                <w:b/>
                <w:bCs/>
                <w:color w:val="auto"/>
                <w:kern w:val="2"/>
                <w:sz w:val="22"/>
                <w:szCs w:val="22"/>
                <w:vertAlign w:val="superscript"/>
                <w:lang w:val="en-US" w:eastAsia="zh-CN"/>
              </w:rPr>
              <w:t>3</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3"/>
              <w:gridCol w:w="1007"/>
              <w:gridCol w:w="1407"/>
              <w:gridCol w:w="1599"/>
              <w:gridCol w:w="800"/>
              <w:gridCol w:w="2624"/>
            </w:tblGrid>
            <w:tr w14:paraId="710A9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701" w:type="pct"/>
                  <w:vMerge w:val="restart"/>
                  <w:tcBorders>
                    <w:tl2br w:val="nil"/>
                    <w:tr2bl w:val="nil"/>
                  </w:tcBorders>
                  <w:noWrap w:val="0"/>
                  <w:vAlign w:val="center"/>
                </w:tcPr>
                <w:p w14:paraId="11995B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r>
                    <w:rPr>
                      <w:rFonts w:hint="default"/>
                      <w:b/>
                      <w:bCs/>
                      <w:color w:val="auto"/>
                      <w:sz w:val="21"/>
                      <w:szCs w:val="21"/>
                      <w:highlight w:val="none"/>
                    </w:rPr>
                    <w:t>污染物名称</w:t>
                  </w:r>
                </w:p>
              </w:tc>
              <w:tc>
                <w:tcPr>
                  <w:tcW w:w="1395" w:type="pct"/>
                  <w:gridSpan w:val="2"/>
                  <w:tcBorders>
                    <w:tl2br w:val="nil"/>
                    <w:tr2bl w:val="nil"/>
                  </w:tcBorders>
                  <w:noWrap w:val="0"/>
                  <w:vAlign w:val="center"/>
                </w:tcPr>
                <w:p w14:paraId="749C13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r>
                    <w:rPr>
                      <w:rFonts w:hint="eastAsia"/>
                      <w:b/>
                      <w:bCs/>
                      <w:color w:val="auto"/>
                      <w:sz w:val="21"/>
                      <w:szCs w:val="21"/>
                      <w:highlight w:val="none"/>
                      <w:lang w:val="en-US" w:eastAsia="zh-CN"/>
                    </w:rPr>
                    <w:t>有</w:t>
                  </w:r>
                  <w:r>
                    <w:rPr>
                      <w:rFonts w:hint="default"/>
                      <w:b/>
                      <w:bCs/>
                      <w:color w:val="auto"/>
                      <w:sz w:val="21"/>
                      <w:szCs w:val="21"/>
                      <w:highlight w:val="none"/>
                    </w:rPr>
                    <w:t>组织排放监控浓度值</w:t>
                  </w:r>
                </w:p>
              </w:tc>
              <w:tc>
                <w:tcPr>
                  <w:tcW w:w="1386" w:type="pct"/>
                  <w:gridSpan w:val="2"/>
                  <w:tcBorders>
                    <w:tl2br w:val="nil"/>
                    <w:tr2bl w:val="nil"/>
                  </w:tcBorders>
                  <w:noWrap w:val="0"/>
                  <w:vAlign w:val="center"/>
                </w:tcPr>
                <w:p w14:paraId="71F9B3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r>
                    <w:rPr>
                      <w:rFonts w:hint="default"/>
                      <w:b/>
                      <w:bCs/>
                      <w:color w:val="auto"/>
                      <w:sz w:val="21"/>
                      <w:szCs w:val="21"/>
                      <w:highlight w:val="none"/>
                    </w:rPr>
                    <w:t>无组织排放监控浓度值</w:t>
                  </w:r>
                </w:p>
              </w:tc>
              <w:tc>
                <w:tcPr>
                  <w:tcW w:w="1516" w:type="pct"/>
                  <w:vMerge w:val="restart"/>
                  <w:tcBorders>
                    <w:tl2br w:val="nil"/>
                    <w:tr2bl w:val="nil"/>
                  </w:tcBorders>
                  <w:noWrap w:val="0"/>
                  <w:vAlign w:val="center"/>
                </w:tcPr>
                <w:p w14:paraId="03C17B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r>
                    <w:rPr>
                      <w:rFonts w:hint="default"/>
                      <w:b/>
                      <w:bCs/>
                      <w:color w:val="auto"/>
                      <w:sz w:val="21"/>
                      <w:szCs w:val="21"/>
                      <w:highlight w:val="none"/>
                    </w:rPr>
                    <w:t>标准来源</w:t>
                  </w:r>
                </w:p>
              </w:tc>
            </w:tr>
            <w:tr w14:paraId="144C9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701" w:type="pct"/>
                  <w:vMerge w:val="continue"/>
                  <w:tcBorders>
                    <w:tl2br w:val="nil"/>
                    <w:tr2bl w:val="nil"/>
                  </w:tcBorders>
                  <w:noWrap w:val="0"/>
                  <w:vAlign w:val="center"/>
                </w:tcPr>
                <w:p w14:paraId="19957E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p>
              </w:tc>
              <w:tc>
                <w:tcPr>
                  <w:tcW w:w="582" w:type="pct"/>
                  <w:tcBorders>
                    <w:tl2br w:val="nil"/>
                    <w:tr2bl w:val="nil"/>
                  </w:tcBorders>
                  <w:noWrap w:val="0"/>
                  <w:vAlign w:val="center"/>
                </w:tcPr>
                <w:p w14:paraId="3EE204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排放浓度</w:t>
                  </w:r>
                </w:p>
              </w:tc>
              <w:tc>
                <w:tcPr>
                  <w:tcW w:w="813" w:type="pct"/>
                  <w:tcBorders>
                    <w:tl2br w:val="nil"/>
                    <w:tr2bl w:val="nil"/>
                  </w:tcBorders>
                  <w:noWrap w:val="0"/>
                  <w:vAlign w:val="center"/>
                </w:tcPr>
                <w:p w14:paraId="45A801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排放速率kg/h</w:t>
                  </w:r>
                </w:p>
              </w:tc>
              <w:tc>
                <w:tcPr>
                  <w:tcW w:w="924" w:type="pct"/>
                  <w:tcBorders>
                    <w:tl2br w:val="nil"/>
                    <w:tr2bl w:val="nil"/>
                  </w:tcBorders>
                  <w:noWrap w:val="0"/>
                  <w:vAlign w:val="center"/>
                </w:tcPr>
                <w:p w14:paraId="5216DF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r>
                    <w:rPr>
                      <w:rFonts w:hint="default"/>
                      <w:b/>
                      <w:bCs/>
                      <w:color w:val="auto"/>
                      <w:sz w:val="21"/>
                      <w:szCs w:val="21"/>
                      <w:highlight w:val="none"/>
                    </w:rPr>
                    <w:t>监控点</w:t>
                  </w:r>
                </w:p>
              </w:tc>
              <w:tc>
                <w:tcPr>
                  <w:tcW w:w="462" w:type="pct"/>
                  <w:tcBorders>
                    <w:tl2br w:val="nil"/>
                    <w:tr2bl w:val="nil"/>
                  </w:tcBorders>
                  <w:noWrap w:val="0"/>
                  <w:vAlign w:val="center"/>
                </w:tcPr>
                <w:p w14:paraId="53479D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b/>
                      <w:bCs/>
                      <w:color w:val="auto"/>
                      <w:sz w:val="21"/>
                      <w:szCs w:val="21"/>
                      <w:highlight w:val="none"/>
                    </w:rPr>
                  </w:pPr>
                  <w:r>
                    <w:rPr>
                      <w:rFonts w:hint="default"/>
                      <w:b/>
                      <w:bCs/>
                      <w:color w:val="auto"/>
                      <w:sz w:val="21"/>
                      <w:szCs w:val="21"/>
                      <w:highlight w:val="none"/>
                    </w:rPr>
                    <w:t>浓度</w:t>
                  </w:r>
                </w:p>
              </w:tc>
              <w:tc>
                <w:tcPr>
                  <w:tcW w:w="1516" w:type="pct"/>
                  <w:vMerge w:val="continue"/>
                  <w:tcBorders>
                    <w:tl2br w:val="nil"/>
                    <w:tr2bl w:val="nil"/>
                  </w:tcBorders>
                  <w:noWrap w:val="0"/>
                  <w:vAlign w:val="center"/>
                </w:tcPr>
                <w:p w14:paraId="75177B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rPr>
                  </w:pPr>
                </w:p>
              </w:tc>
            </w:tr>
            <w:tr w14:paraId="4840E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701" w:type="pct"/>
                  <w:tcBorders>
                    <w:tl2br w:val="nil"/>
                    <w:tr2bl w:val="nil"/>
                  </w:tcBorders>
                  <w:noWrap w:val="0"/>
                  <w:vAlign w:val="center"/>
                </w:tcPr>
                <w:p w14:paraId="32F9BC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颗粒物</w:t>
                  </w:r>
                </w:p>
              </w:tc>
              <w:tc>
                <w:tcPr>
                  <w:tcW w:w="582" w:type="pct"/>
                  <w:tcBorders>
                    <w:tl2br w:val="nil"/>
                    <w:tr2bl w:val="nil"/>
                  </w:tcBorders>
                  <w:noWrap w:val="0"/>
                  <w:vAlign w:val="center"/>
                </w:tcPr>
                <w:p w14:paraId="4168E3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w:t>
                  </w:r>
                </w:p>
              </w:tc>
              <w:tc>
                <w:tcPr>
                  <w:tcW w:w="813" w:type="pct"/>
                  <w:tcBorders>
                    <w:tl2br w:val="nil"/>
                    <w:tr2bl w:val="nil"/>
                  </w:tcBorders>
                  <w:noWrap w:val="0"/>
                  <w:vAlign w:val="center"/>
                </w:tcPr>
                <w:p w14:paraId="14860A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w:t>
                  </w:r>
                </w:p>
              </w:tc>
              <w:tc>
                <w:tcPr>
                  <w:tcW w:w="924" w:type="pct"/>
                  <w:vMerge w:val="restart"/>
                  <w:tcBorders>
                    <w:tl2br w:val="nil"/>
                    <w:tr2bl w:val="nil"/>
                  </w:tcBorders>
                  <w:noWrap w:val="0"/>
                  <w:vAlign w:val="center"/>
                </w:tcPr>
                <w:p w14:paraId="36956C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周界外浓度最高点</w:t>
                  </w:r>
                </w:p>
              </w:tc>
              <w:tc>
                <w:tcPr>
                  <w:tcW w:w="462" w:type="pct"/>
                  <w:tcBorders>
                    <w:tl2br w:val="nil"/>
                    <w:tr2bl w:val="nil"/>
                  </w:tcBorders>
                  <w:noWrap w:val="0"/>
                  <w:vAlign w:val="center"/>
                </w:tcPr>
                <w:p w14:paraId="1FDE76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1516" w:type="pct"/>
                  <w:vMerge w:val="restart"/>
                  <w:tcBorders>
                    <w:tl2br w:val="nil"/>
                    <w:tr2bl w:val="nil"/>
                  </w:tcBorders>
                  <w:noWrap w:val="0"/>
                  <w:vAlign w:val="center"/>
                </w:tcPr>
                <w:p w14:paraId="693D86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rPr>
                  </w:pPr>
                  <w:r>
                    <w:rPr>
                      <w:rFonts w:hint="default"/>
                      <w:color w:val="auto"/>
                      <w:sz w:val="21"/>
                      <w:szCs w:val="21"/>
                      <w:highlight w:val="none"/>
                    </w:rPr>
                    <w:t>《大气污染物综合排放标准》（</w:t>
                  </w:r>
                  <w:r>
                    <w:rPr>
                      <w:rFonts w:hint="eastAsia"/>
                      <w:color w:val="auto"/>
                      <w:sz w:val="21"/>
                      <w:szCs w:val="21"/>
                      <w:highlight w:val="none"/>
                      <w:lang w:val="en-US" w:eastAsia="zh-CN"/>
                    </w:rPr>
                    <w:t>GB 16297-1996</w:t>
                  </w:r>
                  <w:r>
                    <w:rPr>
                      <w:rFonts w:hint="default"/>
                      <w:color w:val="auto"/>
                      <w:sz w:val="21"/>
                      <w:szCs w:val="21"/>
                      <w:highlight w:val="none"/>
                    </w:rPr>
                    <w:t>）</w:t>
                  </w:r>
                  <w:r>
                    <w:rPr>
                      <w:rFonts w:hint="eastAsia"/>
                      <w:color w:val="auto"/>
                      <w:sz w:val="21"/>
                      <w:szCs w:val="21"/>
                      <w:highlight w:val="none"/>
                      <w:lang w:val="en-US" w:eastAsia="zh-CN"/>
                    </w:rPr>
                    <w:t>表2</w:t>
                  </w:r>
                </w:p>
              </w:tc>
            </w:tr>
            <w:tr w14:paraId="7167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701" w:type="pct"/>
                  <w:tcBorders>
                    <w:tl2br w:val="nil"/>
                    <w:tr2bl w:val="nil"/>
                  </w:tcBorders>
                  <w:noWrap w:val="0"/>
                  <w:vAlign w:val="center"/>
                </w:tcPr>
                <w:p w14:paraId="128986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eastAsia="zh-CN"/>
                    </w:rPr>
                  </w:pPr>
                  <w:r>
                    <w:rPr>
                      <w:rFonts w:hint="default"/>
                      <w:color w:val="auto"/>
                      <w:sz w:val="21"/>
                      <w:szCs w:val="21"/>
                      <w:highlight w:val="none"/>
                      <w:lang w:val="en-US" w:eastAsia="zh-CN"/>
                    </w:rPr>
                    <w:t>非甲烷总烃</w:t>
                  </w:r>
                </w:p>
              </w:tc>
              <w:tc>
                <w:tcPr>
                  <w:tcW w:w="582" w:type="pct"/>
                  <w:tcBorders>
                    <w:tl2br w:val="nil"/>
                    <w:tr2bl w:val="nil"/>
                  </w:tcBorders>
                  <w:noWrap w:val="0"/>
                  <w:vAlign w:val="center"/>
                </w:tcPr>
                <w:p w14:paraId="2910B2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120</w:t>
                  </w:r>
                </w:p>
              </w:tc>
              <w:tc>
                <w:tcPr>
                  <w:tcW w:w="813" w:type="pct"/>
                  <w:tcBorders>
                    <w:tl2br w:val="nil"/>
                    <w:tr2bl w:val="nil"/>
                  </w:tcBorders>
                  <w:noWrap w:val="0"/>
                  <w:vAlign w:val="center"/>
                </w:tcPr>
                <w:p w14:paraId="7B251F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924" w:type="pct"/>
                  <w:vMerge w:val="continue"/>
                  <w:tcBorders>
                    <w:tl2br w:val="nil"/>
                    <w:tr2bl w:val="nil"/>
                  </w:tcBorders>
                  <w:noWrap w:val="0"/>
                  <w:vAlign w:val="center"/>
                </w:tcPr>
                <w:p w14:paraId="3A9B5C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rPr>
                  </w:pPr>
                </w:p>
              </w:tc>
              <w:tc>
                <w:tcPr>
                  <w:tcW w:w="462" w:type="pct"/>
                  <w:tcBorders>
                    <w:tl2br w:val="nil"/>
                    <w:tr2bl w:val="nil"/>
                  </w:tcBorders>
                  <w:noWrap w:val="0"/>
                  <w:vAlign w:val="center"/>
                </w:tcPr>
                <w:p w14:paraId="19C595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4.0</w:t>
                  </w:r>
                </w:p>
              </w:tc>
              <w:tc>
                <w:tcPr>
                  <w:tcW w:w="1516" w:type="pct"/>
                  <w:vMerge w:val="continue"/>
                  <w:tcBorders>
                    <w:tl2br w:val="nil"/>
                    <w:tr2bl w:val="nil"/>
                  </w:tcBorders>
                  <w:noWrap w:val="0"/>
                  <w:vAlign w:val="center"/>
                </w:tcPr>
                <w:p w14:paraId="6A9998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olor w:val="auto"/>
                      <w:sz w:val="21"/>
                      <w:szCs w:val="21"/>
                      <w:highlight w:val="none"/>
                    </w:rPr>
                  </w:pPr>
                </w:p>
              </w:tc>
            </w:tr>
          </w:tbl>
          <w:p w14:paraId="249AB9B9">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p>
          <w:p w14:paraId="0FE50CD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kern w:val="2"/>
                <w:sz w:val="22"/>
                <w:szCs w:val="22"/>
                <w:lang w:val="en-US" w:eastAsia="zh-CN"/>
              </w:rPr>
              <w:t>表</w:t>
            </w:r>
            <w:r>
              <w:rPr>
                <w:rFonts w:hint="eastAsia" w:ascii="Times New Roman" w:hAnsi="Times New Roman" w:eastAsia="宋体" w:cs="Times New Roman"/>
                <w:b/>
                <w:bCs/>
                <w:color w:val="auto"/>
                <w:kern w:val="2"/>
                <w:sz w:val="22"/>
                <w:szCs w:val="22"/>
                <w:lang w:val="en-US" w:eastAsia="zh-CN"/>
              </w:rPr>
              <w:t>3-7</w:t>
            </w:r>
            <w:r>
              <w:rPr>
                <w:rFonts w:hint="default" w:ascii="Times New Roman" w:hAnsi="Times New Roman" w:eastAsia="宋体" w:cs="Times New Roman"/>
                <w:b/>
                <w:bCs/>
                <w:color w:val="auto"/>
                <w:kern w:val="2"/>
                <w:sz w:val="22"/>
                <w:szCs w:val="22"/>
                <w:lang w:val="en-US" w:eastAsia="zh-CN"/>
              </w:rPr>
              <w:t xml:space="preserve">  厂区内颗粒物、VOCs 无组织排放限值</w:t>
            </w:r>
            <w:r>
              <w:rPr>
                <w:rFonts w:hint="eastAsia" w:cs="Times New Roman"/>
                <w:b/>
                <w:bCs/>
                <w:color w:val="auto"/>
                <w:kern w:val="2"/>
                <w:sz w:val="22"/>
                <w:szCs w:val="22"/>
                <w:lang w:val="en-US" w:eastAsia="zh-CN"/>
              </w:rPr>
              <w:t xml:space="preserve">           </w:t>
            </w:r>
            <w:r>
              <w:rPr>
                <w:rFonts w:hint="default" w:ascii="Times New Roman" w:hAnsi="Times New Roman" w:eastAsia="宋体" w:cs="Times New Roman"/>
                <w:b/>
                <w:bCs/>
                <w:color w:val="auto"/>
                <w:sz w:val="21"/>
                <w:szCs w:val="21"/>
                <w:highlight w:val="none"/>
                <w:vertAlign w:val="baseline"/>
                <w:lang w:val="en-US" w:eastAsia="zh-CN"/>
              </w:rPr>
              <w:t>单位：mg/m</w:t>
            </w:r>
            <w:r>
              <w:rPr>
                <w:rFonts w:hint="default" w:ascii="Times New Roman" w:hAnsi="Times New Roman" w:eastAsia="宋体" w:cs="Times New Roman"/>
                <w:b/>
                <w:bCs/>
                <w:color w:val="auto"/>
                <w:sz w:val="21"/>
                <w:szCs w:val="21"/>
                <w:highlight w:val="none"/>
                <w:vertAlign w:val="superscript"/>
                <w:lang w:val="en-US" w:eastAsia="zh-CN"/>
              </w:rPr>
              <w:t>3</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1"/>
              <w:gridCol w:w="1336"/>
              <w:gridCol w:w="3034"/>
              <w:gridCol w:w="2476"/>
            </w:tblGrid>
            <w:tr w14:paraId="3733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41" w:type="pct"/>
                  <w:tcBorders>
                    <w:tl2br w:val="nil"/>
                    <w:tr2bl w:val="nil"/>
                  </w:tcBorders>
                  <w:noWrap w:val="0"/>
                  <w:vAlign w:val="center"/>
                </w:tcPr>
                <w:p w14:paraId="1570DB39">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污染物项目</w:t>
                  </w:r>
                </w:p>
              </w:tc>
              <w:tc>
                <w:tcPr>
                  <w:tcW w:w="772" w:type="pct"/>
                  <w:tcBorders>
                    <w:tl2br w:val="nil"/>
                    <w:tr2bl w:val="nil"/>
                  </w:tcBorders>
                  <w:noWrap w:val="0"/>
                  <w:vAlign w:val="center"/>
                </w:tcPr>
                <w:p w14:paraId="144C5EB7">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排放限值</w:t>
                  </w:r>
                </w:p>
              </w:tc>
              <w:tc>
                <w:tcPr>
                  <w:tcW w:w="1754" w:type="pct"/>
                  <w:tcBorders>
                    <w:tl2br w:val="nil"/>
                    <w:tr2bl w:val="nil"/>
                  </w:tcBorders>
                  <w:noWrap w:val="0"/>
                  <w:vAlign w:val="center"/>
                </w:tcPr>
                <w:p w14:paraId="3BCA34D7">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限值含义</w:t>
                  </w:r>
                </w:p>
              </w:tc>
              <w:tc>
                <w:tcPr>
                  <w:tcW w:w="1431" w:type="pct"/>
                  <w:tcBorders>
                    <w:tl2br w:val="nil"/>
                    <w:tr2bl w:val="nil"/>
                  </w:tcBorders>
                  <w:noWrap w:val="0"/>
                  <w:vAlign w:val="center"/>
                </w:tcPr>
                <w:p w14:paraId="6F08EE60">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无组织排放监控位置</w:t>
                  </w:r>
                </w:p>
              </w:tc>
            </w:tr>
            <w:tr w14:paraId="3204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41" w:type="pct"/>
                  <w:tcBorders>
                    <w:tl2br w:val="nil"/>
                    <w:tr2bl w:val="nil"/>
                  </w:tcBorders>
                  <w:noWrap w:val="0"/>
                  <w:vAlign w:val="center"/>
                </w:tcPr>
                <w:p w14:paraId="2340FDFD">
                  <w:pPr>
                    <w:pStyle w:val="99"/>
                    <w:keepNext w:val="0"/>
                    <w:keepLines w:val="0"/>
                    <w:suppressLineNumbers w:val="0"/>
                    <w:adjustRightInd w:val="0"/>
                    <w:snapToGrid w:val="0"/>
                    <w:spacing w:before="0" w:beforeAutospacing="0" w:after="0" w:afterAutospacing="0" w:line="240" w:lineRule="auto"/>
                    <w:ind w:left="0" w:right="0"/>
                    <w:textAlignment w:val="auto"/>
                    <w:rPr>
                      <w:rFonts w:hint="eastAsia" w:ascii="Times New Roman" w:hAnsi="Times New Roman" w:eastAsia="宋体" w:cs="Times New Roman"/>
                      <w:color w:val="auto"/>
                      <w:highlight w:val="none"/>
                      <w:lang w:eastAsia="zh-CN"/>
                    </w:rPr>
                  </w:pPr>
                  <w:r>
                    <w:rPr>
                      <w:rFonts w:hint="eastAsia" w:cs="Times New Roman"/>
                      <w:color w:val="auto"/>
                      <w:highlight w:val="none"/>
                      <w:lang w:eastAsia="zh-CN"/>
                    </w:rPr>
                    <w:t>颗粒物</w:t>
                  </w:r>
                </w:p>
              </w:tc>
              <w:tc>
                <w:tcPr>
                  <w:tcW w:w="772" w:type="pct"/>
                  <w:tcBorders>
                    <w:tl2br w:val="nil"/>
                    <w:tr2bl w:val="nil"/>
                  </w:tcBorders>
                  <w:noWrap w:val="0"/>
                  <w:vAlign w:val="center"/>
                </w:tcPr>
                <w:p w14:paraId="19017997">
                  <w:pPr>
                    <w:pStyle w:val="99"/>
                    <w:keepNext w:val="0"/>
                    <w:keepLines w:val="0"/>
                    <w:suppressLineNumbers w:val="0"/>
                    <w:adjustRightInd w:val="0"/>
                    <w:snapToGrid w:val="0"/>
                    <w:spacing w:before="0" w:beforeAutospacing="0" w:after="0" w:afterAutospacing="0" w:line="240" w:lineRule="auto"/>
                    <w:ind w:left="0" w:right="0"/>
                    <w:textAlignment w:val="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5</w:t>
                  </w:r>
                </w:p>
              </w:tc>
              <w:tc>
                <w:tcPr>
                  <w:tcW w:w="1754" w:type="pct"/>
                  <w:tcBorders>
                    <w:tl2br w:val="nil"/>
                    <w:tr2bl w:val="nil"/>
                  </w:tcBorders>
                  <w:noWrap w:val="0"/>
                  <w:vAlign w:val="center"/>
                </w:tcPr>
                <w:p w14:paraId="03B5C99F">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监控点处1h平均浓度值</w:t>
                  </w:r>
                </w:p>
              </w:tc>
              <w:tc>
                <w:tcPr>
                  <w:tcW w:w="1431" w:type="pct"/>
                  <w:vMerge w:val="restart"/>
                  <w:tcBorders>
                    <w:tl2br w:val="nil"/>
                    <w:tr2bl w:val="nil"/>
                  </w:tcBorders>
                  <w:noWrap w:val="0"/>
                  <w:vAlign w:val="center"/>
                </w:tcPr>
                <w:p w14:paraId="6B56B51C">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在厂房外设置监控点</w:t>
                  </w:r>
                </w:p>
              </w:tc>
            </w:tr>
            <w:tr w14:paraId="6601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41" w:type="pct"/>
                  <w:vMerge w:val="restart"/>
                  <w:tcBorders>
                    <w:tl2br w:val="nil"/>
                    <w:tr2bl w:val="nil"/>
                  </w:tcBorders>
                  <w:noWrap w:val="0"/>
                  <w:vAlign w:val="center"/>
                </w:tcPr>
                <w:p w14:paraId="626DFC75">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NMHC</w:t>
                  </w:r>
                </w:p>
              </w:tc>
              <w:tc>
                <w:tcPr>
                  <w:tcW w:w="1181" w:type="dxa"/>
                  <w:tcBorders>
                    <w:tl2br w:val="nil"/>
                    <w:tr2bl w:val="nil"/>
                  </w:tcBorders>
                  <w:noWrap w:val="0"/>
                  <w:vAlign w:val="center"/>
                </w:tcPr>
                <w:p w14:paraId="63188E79">
                  <w:pPr>
                    <w:snapToGrid w:val="0"/>
                    <w:spacing w:before="60"/>
                    <w:jc w:val="center"/>
                    <w:rPr>
                      <w:rFonts w:hint="default" w:ascii="Times New Roman" w:hAnsi="Times New Roman" w:cs="Times New Roman"/>
                      <w:color w:val="auto"/>
                      <w:highlight w:val="none"/>
                    </w:rPr>
                  </w:pPr>
                  <w:r>
                    <w:rPr>
                      <w:rFonts w:ascii="Times New Roman" w:hAnsi="Times New Roman"/>
                      <w:color w:val="auto"/>
                      <w:szCs w:val="21"/>
                      <w:highlight w:val="none"/>
                    </w:rPr>
                    <w:t>6</w:t>
                  </w:r>
                </w:p>
              </w:tc>
              <w:tc>
                <w:tcPr>
                  <w:tcW w:w="1754" w:type="pct"/>
                  <w:tcBorders>
                    <w:tl2br w:val="nil"/>
                    <w:tr2bl w:val="nil"/>
                  </w:tcBorders>
                  <w:noWrap w:val="0"/>
                  <w:vAlign w:val="center"/>
                </w:tcPr>
                <w:p w14:paraId="4B58FF03">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监控点处1h平均浓度值</w:t>
                  </w:r>
                </w:p>
              </w:tc>
              <w:tc>
                <w:tcPr>
                  <w:tcW w:w="1431" w:type="pct"/>
                  <w:vMerge w:val="continue"/>
                  <w:tcBorders>
                    <w:tl2br w:val="nil"/>
                    <w:tr2bl w:val="nil"/>
                  </w:tcBorders>
                  <w:noWrap w:val="0"/>
                  <w:vAlign w:val="center"/>
                </w:tcPr>
                <w:p w14:paraId="0397E938">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p>
              </w:tc>
            </w:tr>
            <w:tr w14:paraId="5385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41" w:type="pct"/>
                  <w:vMerge w:val="continue"/>
                  <w:tcBorders>
                    <w:tl2br w:val="nil"/>
                    <w:tr2bl w:val="nil"/>
                  </w:tcBorders>
                  <w:noWrap w:val="0"/>
                  <w:vAlign w:val="center"/>
                </w:tcPr>
                <w:p w14:paraId="28770932">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p>
              </w:tc>
              <w:tc>
                <w:tcPr>
                  <w:tcW w:w="1181" w:type="dxa"/>
                  <w:tcBorders>
                    <w:tl2br w:val="nil"/>
                    <w:tr2bl w:val="nil"/>
                  </w:tcBorders>
                  <w:noWrap w:val="0"/>
                  <w:vAlign w:val="center"/>
                </w:tcPr>
                <w:p w14:paraId="6610C56B">
                  <w:pPr>
                    <w:snapToGrid w:val="0"/>
                    <w:spacing w:before="60"/>
                    <w:jc w:val="center"/>
                    <w:rPr>
                      <w:rFonts w:hint="default" w:ascii="Times New Roman" w:hAnsi="Times New Roman" w:cs="Times New Roman"/>
                      <w:color w:val="auto"/>
                      <w:highlight w:val="none"/>
                    </w:rPr>
                  </w:pPr>
                  <w:r>
                    <w:rPr>
                      <w:rFonts w:ascii="Times New Roman" w:hAnsi="Times New Roman"/>
                      <w:color w:val="auto"/>
                      <w:szCs w:val="21"/>
                      <w:highlight w:val="none"/>
                    </w:rPr>
                    <w:t>20</w:t>
                  </w:r>
                </w:p>
              </w:tc>
              <w:tc>
                <w:tcPr>
                  <w:tcW w:w="1754" w:type="pct"/>
                  <w:tcBorders>
                    <w:tl2br w:val="nil"/>
                    <w:tr2bl w:val="nil"/>
                  </w:tcBorders>
                  <w:noWrap w:val="0"/>
                  <w:vAlign w:val="center"/>
                </w:tcPr>
                <w:p w14:paraId="7FB30A88">
                  <w:pPr>
                    <w:pStyle w:val="99"/>
                    <w:keepNext w:val="0"/>
                    <w:keepLines w:val="0"/>
                    <w:suppressLineNumbers w:val="0"/>
                    <w:adjustRightInd w:val="0"/>
                    <w:snapToGrid w:val="0"/>
                    <w:spacing w:before="0" w:beforeAutospacing="0" w:after="0" w:afterAutospacing="0" w:line="240" w:lineRule="auto"/>
                    <w:ind w:left="0" w:right="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监控点处任意一次浓度值</w:t>
                  </w:r>
                </w:p>
              </w:tc>
              <w:tc>
                <w:tcPr>
                  <w:tcW w:w="1431" w:type="pct"/>
                  <w:vMerge w:val="continue"/>
                  <w:tcBorders>
                    <w:tl2br w:val="nil"/>
                    <w:tr2bl w:val="nil"/>
                  </w:tcBorders>
                  <w:noWrap w:val="0"/>
                  <w:vAlign w:val="center"/>
                </w:tcPr>
                <w:p w14:paraId="12349593">
                  <w:pPr>
                    <w:keepNext w:val="0"/>
                    <w:keepLines w:val="0"/>
                    <w:suppressLineNumbers w:val="0"/>
                    <w:adjustRightInd w:val="0"/>
                    <w:spacing w:before="0" w:beforeAutospacing="0" w:after="0" w:afterAutospacing="0" w:line="440" w:lineRule="exact"/>
                    <w:ind w:left="0" w:right="0"/>
                    <w:textAlignment w:val="baseline"/>
                    <w:rPr>
                      <w:rFonts w:hint="default" w:ascii="Times New Roman" w:hAnsi="Times New Roman"/>
                      <w:color w:val="auto"/>
                      <w:szCs w:val="21"/>
                      <w:highlight w:val="none"/>
                    </w:rPr>
                  </w:pPr>
                </w:p>
              </w:tc>
            </w:tr>
          </w:tbl>
          <w:p w14:paraId="52910267">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p>
          <w:p w14:paraId="5C13324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3.</w:t>
            </w:r>
            <w:r>
              <w:rPr>
                <w:rFonts w:hint="default" w:ascii="Times New Roman" w:hAnsi="Times New Roman" w:eastAsia="宋体" w:cs="Times New Roman"/>
                <w:b/>
                <w:bCs/>
                <w:color w:val="auto"/>
                <w:kern w:val="2"/>
                <w:sz w:val="24"/>
                <w:szCs w:val="24"/>
                <w:lang w:val="en-US" w:eastAsia="zh-CN"/>
              </w:rPr>
              <w:t>噪声排放标准</w:t>
            </w:r>
          </w:p>
          <w:p w14:paraId="7042F1F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本项目运营期噪声排放执行《工业企业厂界环境噪声排放标准》（GB</w:t>
            </w:r>
            <w:r>
              <w:rPr>
                <w:rFonts w:hint="eastAsia"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12348-2008）3类标准。</w:t>
            </w:r>
          </w:p>
          <w:p w14:paraId="05A3DE2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2"/>
                <w:szCs w:val="22"/>
                <w:lang w:val="en-US" w:eastAsia="zh-CN"/>
              </w:rPr>
            </w:pPr>
            <w:r>
              <w:rPr>
                <w:rFonts w:hint="default" w:ascii="Times New Roman" w:hAnsi="Times New Roman" w:eastAsia="宋体" w:cs="Times New Roman"/>
                <w:b/>
                <w:bCs/>
                <w:color w:val="auto"/>
                <w:kern w:val="2"/>
                <w:sz w:val="22"/>
                <w:szCs w:val="22"/>
                <w:lang w:val="en-US" w:eastAsia="zh-CN"/>
              </w:rPr>
              <w:t>表3-</w:t>
            </w:r>
            <w:r>
              <w:rPr>
                <w:rFonts w:hint="eastAsia" w:ascii="Times New Roman" w:hAnsi="Times New Roman" w:eastAsia="宋体" w:cs="Times New Roman"/>
                <w:b/>
                <w:bCs/>
                <w:color w:val="auto"/>
                <w:kern w:val="2"/>
                <w:sz w:val="22"/>
                <w:szCs w:val="22"/>
                <w:lang w:val="en-US" w:eastAsia="zh-CN"/>
              </w:rPr>
              <w:t>8</w:t>
            </w:r>
            <w:r>
              <w:rPr>
                <w:rFonts w:hint="default" w:ascii="Times New Roman" w:hAnsi="Times New Roman" w:eastAsia="宋体" w:cs="Times New Roman"/>
                <w:b/>
                <w:bCs/>
                <w:color w:val="auto"/>
                <w:kern w:val="2"/>
                <w:sz w:val="22"/>
                <w:szCs w:val="22"/>
                <w:lang w:val="en-US" w:eastAsia="zh-CN"/>
              </w:rPr>
              <w:t xml:space="preserve">  运营期噪声排放标准</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2080"/>
              <w:gridCol w:w="1935"/>
              <w:gridCol w:w="2894"/>
            </w:tblGrid>
            <w:tr w14:paraId="7E46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597" w:type="dxa"/>
                  <w:noWrap w:val="0"/>
                  <w:vAlign w:val="center"/>
                </w:tcPr>
                <w:p w14:paraId="54DA7979">
                  <w:pPr>
                    <w:widowControl/>
                    <w:adjustRightInd w:val="0"/>
                    <w:snapToGrid w:val="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类别</w:t>
                  </w:r>
                </w:p>
              </w:tc>
              <w:tc>
                <w:tcPr>
                  <w:tcW w:w="1907" w:type="dxa"/>
                  <w:noWrap w:val="0"/>
                  <w:vAlign w:val="center"/>
                </w:tcPr>
                <w:p w14:paraId="6BE0021E">
                  <w:pPr>
                    <w:widowControl/>
                    <w:adjustRightInd w:val="0"/>
                    <w:snapToGrid w:val="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昼间</w:t>
                  </w:r>
                </w:p>
              </w:tc>
              <w:tc>
                <w:tcPr>
                  <w:tcW w:w="1774" w:type="dxa"/>
                  <w:noWrap w:val="0"/>
                  <w:vAlign w:val="center"/>
                </w:tcPr>
                <w:p w14:paraId="0583F3A1">
                  <w:pPr>
                    <w:widowControl/>
                    <w:adjustRightInd w:val="0"/>
                    <w:snapToGrid w:val="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夜间</w:t>
                  </w:r>
                </w:p>
              </w:tc>
              <w:tc>
                <w:tcPr>
                  <w:tcW w:w="2654" w:type="dxa"/>
                  <w:noWrap w:val="0"/>
                  <w:vAlign w:val="center"/>
                </w:tcPr>
                <w:p w14:paraId="0525B19A">
                  <w:pPr>
                    <w:widowControl/>
                    <w:adjustRightInd w:val="0"/>
                    <w:snapToGrid w:val="0"/>
                    <w:ind w:firstLine="527" w:firstLineChars="25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备注</w:t>
                  </w:r>
                </w:p>
              </w:tc>
            </w:tr>
            <w:tr w14:paraId="3DAD4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597" w:type="dxa"/>
                  <w:noWrap w:val="0"/>
                  <w:vAlign w:val="center"/>
                </w:tcPr>
                <w:p w14:paraId="3D0D2BE3">
                  <w:pPr>
                    <w:widowControl/>
                    <w:adjustRightInd w:val="0"/>
                    <w:snapToGrid w:val="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3类</w:t>
                  </w:r>
                </w:p>
              </w:tc>
              <w:tc>
                <w:tcPr>
                  <w:tcW w:w="1907" w:type="dxa"/>
                  <w:noWrap w:val="0"/>
                  <w:vAlign w:val="center"/>
                </w:tcPr>
                <w:p w14:paraId="1EC6AC26">
                  <w:pPr>
                    <w:widowControl/>
                    <w:adjustRightInd w:val="0"/>
                    <w:snapToGrid w:val="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65dB</w:t>
                  </w:r>
                  <w:r>
                    <w:rPr>
                      <w:rFonts w:hint="eastAsia"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A</w:t>
                  </w:r>
                  <w:r>
                    <w:rPr>
                      <w:rFonts w:hint="eastAsia" w:cs="Times New Roman"/>
                      <w:color w:val="auto"/>
                      <w:kern w:val="0"/>
                      <w:sz w:val="21"/>
                      <w:szCs w:val="21"/>
                      <w:highlight w:val="none"/>
                      <w:lang w:eastAsia="zh-CN"/>
                    </w:rPr>
                    <w:t>)</w:t>
                  </w:r>
                </w:p>
              </w:tc>
              <w:tc>
                <w:tcPr>
                  <w:tcW w:w="1774" w:type="dxa"/>
                  <w:noWrap w:val="0"/>
                  <w:vAlign w:val="center"/>
                </w:tcPr>
                <w:p w14:paraId="4C12EAF3">
                  <w:pPr>
                    <w:widowControl/>
                    <w:adjustRightInd w:val="0"/>
                    <w:snapToGrid w:val="0"/>
                    <w:ind w:firstLine="210" w:firstLineChars="10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55dB</w:t>
                  </w:r>
                  <w:r>
                    <w:rPr>
                      <w:rFonts w:hint="eastAsia"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A</w:t>
                  </w:r>
                  <w:r>
                    <w:rPr>
                      <w:rFonts w:hint="eastAsia" w:cs="Times New Roman"/>
                      <w:color w:val="auto"/>
                      <w:kern w:val="0"/>
                      <w:sz w:val="21"/>
                      <w:szCs w:val="21"/>
                      <w:highlight w:val="none"/>
                      <w:lang w:eastAsia="zh-CN"/>
                    </w:rPr>
                    <w:t>)</w:t>
                  </w:r>
                </w:p>
              </w:tc>
              <w:tc>
                <w:tcPr>
                  <w:tcW w:w="2654" w:type="dxa"/>
                  <w:noWrap w:val="0"/>
                  <w:vAlign w:val="center"/>
                </w:tcPr>
                <w:p w14:paraId="604AE4D4">
                  <w:pPr>
                    <w:widowControl/>
                    <w:adjustRightInd w:val="0"/>
                    <w:snapToGrid w:val="0"/>
                    <w:ind w:firstLine="525" w:firstLineChars="25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各边界</w:t>
                  </w:r>
                </w:p>
              </w:tc>
            </w:tr>
          </w:tbl>
          <w:p w14:paraId="49AD5528">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p>
          <w:p w14:paraId="2D5949F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default" w:ascii="Times New Roman" w:hAnsi="Times New Roman" w:eastAsia="宋体" w:cs="Times New Roman"/>
                <w:b/>
                <w:bCs/>
                <w:color w:val="auto"/>
                <w:kern w:val="2"/>
                <w:sz w:val="24"/>
                <w:szCs w:val="24"/>
                <w:lang w:val="en-US" w:eastAsia="zh-CN"/>
              </w:rPr>
              <w:t>固体废物</w:t>
            </w:r>
          </w:p>
          <w:p w14:paraId="119E5EA9">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
                <w:color w:val="FF0000"/>
                <w:sz w:val="24"/>
                <w:highlight w:val="none"/>
              </w:rPr>
            </w:pPr>
            <w:r>
              <w:rPr>
                <w:rFonts w:hint="eastAsia" w:ascii="Times New Roman" w:hAnsi="Times New Roman" w:eastAsia="宋体" w:cs="Times New Roman"/>
                <w:color w:val="auto"/>
                <w:sz w:val="24"/>
                <w:szCs w:val="24"/>
                <w:highlight w:val="none"/>
                <w:lang w:eastAsia="zh-CN"/>
              </w:rPr>
              <w:t>本项目固体废物主要是危险废物和一般工业固废，其中一般工业固体废物</w:t>
            </w:r>
            <w:r>
              <w:rPr>
                <w:rFonts w:hint="eastAsia" w:cs="Times New Roman"/>
                <w:color w:val="auto"/>
                <w:sz w:val="24"/>
                <w:szCs w:val="24"/>
                <w:highlight w:val="none"/>
                <w:lang w:val="en-US" w:eastAsia="zh-CN"/>
              </w:rPr>
              <w:t>参照</w:t>
            </w:r>
            <w:r>
              <w:rPr>
                <w:rFonts w:hint="eastAsia" w:ascii="Times New Roman" w:hAnsi="Times New Roman" w:eastAsia="宋体" w:cs="Times New Roman"/>
                <w:color w:val="auto"/>
                <w:sz w:val="24"/>
                <w:szCs w:val="24"/>
                <w:highlight w:val="none"/>
                <w:lang w:eastAsia="zh-CN"/>
              </w:rPr>
              <w:t>《一般工业固体废物贮存和填埋污染控制标准》（GB18599-2020）的有关规定</w:t>
            </w:r>
            <w:r>
              <w:rPr>
                <w:rFonts w:hint="eastAsia" w:ascii="Times New Roman" w:hAnsi="Times New Roman" w:eastAsia="宋体" w:cs="Times New Roman"/>
                <w:color w:val="auto"/>
                <w:sz w:val="24"/>
                <w:szCs w:val="24"/>
                <w:highlight w:val="none"/>
                <w:lang w:eastAsia="zh-CN"/>
              </w:rPr>
              <w:t>执行</w:t>
            </w:r>
            <w:r>
              <w:rPr>
                <w:rFonts w:hint="eastAsia" w:ascii="Times New Roman" w:hAnsi="Times New Roman" w:eastAsia="宋体" w:cs="Times New Roman"/>
                <w:color w:val="auto"/>
                <w:sz w:val="24"/>
                <w:szCs w:val="24"/>
                <w:highlight w:val="none"/>
                <w:lang w:eastAsia="zh-CN"/>
              </w:rPr>
              <w:t>；危险固废贮存执行《危险废物贮存污染控制标准》（GB18597-2023）有关规定</w:t>
            </w:r>
            <w:r>
              <w:rPr>
                <w:rFonts w:hint="default" w:ascii="Times New Roman" w:hAnsi="Times New Roman" w:cs="Times New Roman"/>
                <w:color w:val="auto"/>
                <w:kern w:val="0"/>
                <w:sz w:val="24"/>
                <w:highlight w:val="none"/>
              </w:rPr>
              <w:t>。</w:t>
            </w:r>
          </w:p>
        </w:tc>
      </w:tr>
      <w:tr w14:paraId="3F3266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13" w:type="dxa"/>
            <w:noWrap w:val="0"/>
            <w:vAlign w:val="center"/>
          </w:tcPr>
          <w:p w14:paraId="3B421224">
            <w:pPr>
              <w:adjustRightInd w:val="0"/>
              <w:snapToGrid w:val="0"/>
              <w:jc w:val="center"/>
              <w:rPr>
                <w:rFonts w:hint="default" w:ascii="Times New Roman" w:hAnsi="Times New Roman" w:cs="Times New Roman"/>
                <w:b/>
                <w:bCs/>
                <w:color w:val="FF0000"/>
                <w:kern w:val="0"/>
                <w:sz w:val="24"/>
                <w:szCs w:val="24"/>
                <w:highlight w:val="none"/>
              </w:rPr>
            </w:pPr>
            <w:r>
              <w:rPr>
                <w:rFonts w:hint="default" w:ascii="Times New Roman" w:hAnsi="Times New Roman" w:cs="Times New Roman"/>
                <w:b/>
                <w:bCs/>
                <w:color w:val="auto"/>
                <w:kern w:val="0"/>
                <w:sz w:val="24"/>
                <w:szCs w:val="24"/>
                <w:highlight w:val="none"/>
              </w:rPr>
              <w:t>总量</w:t>
            </w:r>
          </w:p>
          <w:p w14:paraId="0B81EEEC">
            <w:pPr>
              <w:adjustRightInd w:val="0"/>
              <w:snapToGrid w:val="0"/>
              <w:jc w:val="center"/>
              <w:rPr>
                <w:rFonts w:hint="default" w:ascii="Times New Roman" w:hAnsi="Times New Roman" w:cs="Times New Roman"/>
                <w:b/>
                <w:bCs/>
                <w:color w:val="FF0000"/>
                <w:kern w:val="0"/>
                <w:sz w:val="24"/>
                <w:szCs w:val="24"/>
                <w:highlight w:val="none"/>
              </w:rPr>
            </w:pPr>
            <w:r>
              <w:rPr>
                <w:rFonts w:hint="default" w:ascii="Times New Roman" w:hAnsi="Times New Roman" w:cs="Times New Roman"/>
                <w:b/>
                <w:bCs/>
                <w:color w:val="auto"/>
                <w:kern w:val="0"/>
                <w:sz w:val="24"/>
                <w:szCs w:val="24"/>
                <w:highlight w:val="none"/>
              </w:rPr>
              <w:t>控制</w:t>
            </w:r>
          </w:p>
          <w:p w14:paraId="6C68A2A1">
            <w:pPr>
              <w:adjustRightInd w:val="0"/>
              <w:snapToGrid w:val="0"/>
              <w:jc w:val="center"/>
              <w:rPr>
                <w:rFonts w:hint="default" w:ascii="Times New Roman" w:hAnsi="Times New Roman" w:cs="Times New Roman"/>
                <w:b/>
                <w:bCs/>
                <w:color w:val="FF0000"/>
                <w:kern w:val="0"/>
                <w:sz w:val="24"/>
                <w:szCs w:val="24"/>
                <w:highlight w:val="none"/>
              </w:rPr>
            </w:pPr>
            <w:r>
              <w:rPr>
                <w:rFonts w:hint="default" w:ascii="Times New Roman" w:hAnsi="Times New Roman" w:cs="Times New Roman"/>
                <w:b/>
                <w:bCs/>
                <w:color w:val="auto"/>
                <w:kern w:val="0"/>
                <w:sz w:val="24"/>
                <w:szCs w:val="24"/>
                <w:highlight w:val="none"/>
              </w:rPr>
              <w:t>指标</w:t>
            </w:r>
          </w:p>
        </w:tc>
        <w:tc>
          <w:tcPr>
            <w:tcW w:w="8876" w:type="dxa"/>
            <w:noWrap w:val="0"/>
            <w:vAlign w:val="center"/>
          </w:tcPr>
          <w:p w14:paraId="2FFD208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lang w:val="en-US" w:eastAsia="zh-CN"/>
              </w:rPr>
              <w:t>“以新带老”分析</w:t>
            </w:r>
          </w:p>
          <w:p w14:paraId="6D5B1D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本次技改项目将现有浇铸</w:t>
            </w:r>
            <w:r>
              <w:rPr>
                <w:rFonts w:hint="eastAsia" w:cs="Times New Roman"/>
                <w:color w:val="auto"/>
                <w:spacing w:val="0"/>
                <w:sz w:val="24"/>
                <w:szCs w:val="24"/>
                <w:highlight w:val="none"/>
                <w:lang w:val="en-US" w:eastAsia="zh-CN"/>
              </w:rPr>
              <w:t>/造型区</w:t>
            </w:r>
            <w:r>
              <w:rPr>
                <w:rFonts w:hint="eastAsia" w:ascii="Times New Roman" w:hAnsi="Times New Roman" w:eastAsia="宋体" w:cs="Times New Roman"/>
                <w:color w:val="auto"/>
                <w:spacing w:val="0"/>
                <w:sz w:val="24"/>
                <w:szCs w:val="24"/>
                <w:highlight w:val="none"/>
                <w:lang w:val="en-US" w:eastAsia="zh-CN"/>
              </w:rPr>
              <w:t>新建一套</w:t>
            </w:r>
            <w:r>
              <w:rPr>
                <w:rFonts w:hint="eastAsia" w:cs="Times New Roman"/>
                <w:color w:val="auto"/>
                <w:spacing w:val="0"/>
                <w:sz w:val="24"/>
                <w:szCs w:val="24"/>
                <w:highlight w:val="none"/>
                <w:lang w:val="en-US" w:eastAsia="zh-CN"/>
              </w:rPr>
              <w:t>侧吸</w:t>
            </w:r>
            <w:r>
              <w:rPr>
                <w:rFonts w:hint="eastAsia" w:ascii="Times New Roman" w:hAnsi="Times New Roman" w:eastAsia="宋体" w:cs="Times New Roman"/>
                <w:color w:val="auto"/>
                <w:spacing w:val="0"/>
                <w:sz w:val="24"/>
                <w:szCs w:val="24"/>
                <w:highlight w:val="none"/>
                <w:lang w:val="en-US" w:eastAsia="zh-CN"/>
              </w:rPr>
              <w:t>废气收集系统，将项目</w:t>
            </w:r>
            <w:r>
              <w:rPr>
                <w:rFonts w:hint="eastAsia" w:cs="Times New Roman"/>
                <w:color w:val="auto"/>
                <w:spacing w:val="0"/>
                <w:sz w:val="24"/>
                <w:szCs w:val="24"/>
                <w:highlight w:val="none"/>
                <w:lang w:val="en-US" w:eastAsia="zh-CN"/>
              </w:rPr>
              <w:t>造型/</w:t>
            </w:r>
            <w:r>
              <w:rPr>
                <w:rFonts w:hint="eastAsia" w:ascii="Times New Roman" w:hAnsi="Times New Roman" w:eastAsia="宋体" w:cs="Times New Roman"/>
                <w:color w:val="auto"/>
                <w:spacing w:val="0"/>
                <w:sz w:val="24"/>
                <w:szCs w:val="24"/>
                <w:highlight w:val="none"/>
                <w:lang w:val="en-US" w:eastAsia="zh-CN"/>
              </w:rPr>
              <w:t>浇铸废气进行收集，并</w:t>
            </w:r>
            <w:r>
              <w:rPr>
                <w:rFonts w:hint="eastAsia" w:cs="Times New Roman"/>
                <w:color w:val="auto"/>
                <w:spacing w:val="0"/>
                <w:sz w:val="24"/>
                <w:szCs w:val="24"/>
                <w:highlight w:val="none"/>
                <w:lang w:val="en-US" w:eastAsia="zh-CN"/>
              </w:rPr>
              <w:t>通过</w:t>
            </w:r>
            <w:r>
              <w:rPr>
                <w:rFonts w:hint="eastAsia" w:ascii="Times New Roman" w:hAnsi="Times New Roman" w:eastAsia="宋体" w:cs="Times New Roman"/>
                <w:color w:val="auto"/>
                <w:spacing w:val="0"/>
                <w:sz w:val="24"/>
                <w:szCs w:val="24"/>
                <w:highlight w:val="none"/>
                <w:lang w:val="en-US" w:eastAsia="zh-CN"/>
              </w:rPr>
              <w:t>“布袋除尘+二级活性炭吸附”装置（TA00</w:t>
            </w:r>
            <w:r>
              <w:rPr>
                <w:rFonts w:hint="eastAsia" w:cs="Times New Roman"/>
                <w:color w:val="auto"/>
                <w:spacing w:val="0"/>
                <w:sz w:val="24"/>
                <w:szCs w:val="24"/>
                <w:highlight w:val="none"/>
                <w:lang w:val="en-US" w:eastAsia="zh-CN"/>
              </w:rPr>
              <w:t>4</w:t>
            </w:r>
            <w:r>
              <w:rPr>
                <w:rFonts w:hint="eastAsia" w:ascii="Times New Roman" w:hAnsi="Times New Roman" w:eastAsia="宋体" w:cs="Times New Roman"/>
                <w:color w:val="auto"/>
                <w:spacing w:val="0"/>
                <w:sz w:val="24"/>
                <w:szCs w:val="24"/>
                <w:highlight w:val="none"/>
                <w:lang w:val="en-US" w:eastAsia="zh-CN"/>
              </w:rPr>
              <w:t>-</w:t>
            </w:r>
            <w:r>
              <w:rPr>
                <w:rFonts w:hint="eastAsia" w:cs="Times New Roman"/>
                <w:color w:val="auto"/>
                <w:spacing w:val="0"/>
                <w:sz w:val="24"/>
                <w:szCs w:val="24"/>
                <w:highlight w:val="none"/>
                <w:lang w:val="en-US" w:eastAsia="zh-CN"/>
              </w:rPr>
              <w:t>2</w:t>
            </w:r>
            <w:r>
              <w:rPr>
                <w:rFonts w:hint="eastAsia" w:ascii="Times New Roman" w:hAnsi="Times New Roman" w:eastAsia="宋体" w:cs="Times New Roman"/>
                <w:color w:val="auto"/>
                <w:spacing w:val="0"/>
                <w:sz w:val="24"/>
                <w:szCs w:val="24"/>
                <w:highlight w:val="none"/>
                <w:lang w:val="en-US" w:eastAsia="zh-CN"/>
              </w:rPr>
              <w:t>）处理后通过15m高排气筒（DA00</w:t>
            </w:r>
            <w:r>
              <w:rPr>
                <w:rFonts w:hint="eastAsia" w:cs="Times New Roman"/>
                <w:color w:val="auto"/>
                <w:spacing w:val="0"/>
                <w:sz w:val="24"/>
                <w:szCs w:val="24"/>
                <w:highlight w:val="none"/>
                <w:lang w:val="en-US" w:eastAsia="zh-CN"/>
              </w:rPr>
              <w:t>4</w:t>
            </w:r>
            <w:r>
              <w:rPr>
                <w:rFonts w:hint="eastAsia" w:ascii="Times New Roman" w:hAnsi="Times New Roman" w:eastAsia="宋体" w:cs="Times New Roman"/>
                <w:color w:val="auto"/>
                <w:spacing w:val="0"/>
                <w:sz w:val="24"/>
                <w:szCs w:val="24"/>
                <w:highlight w:val="none"/>
                <w:lang w:val="en-US" w:eastAsia="zh-CN"/>
              </w:rPr>
              <w:t>）排放。</w:t>
            </w:r>
          </w:p>
          <w:p w14:paraId="75F032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同时，本次技改项目通过对现有所有布袋除尘器进行改造和更换高效纤维布袋后，使布袋除尘器的除尘效率从99%提升至99.5%。具体废气收集处理措施变化情况见本报告表4-1、表4-2、表4-3相关内容。</w:t>
            </w:r>
          </w:p>
          <w:p w14:paraId="3A58C7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结合现有</w:t>
            </w:r>
            <w:r>
              <w:rPr>
                <w:rFonts w:hint="eastAsia" w:ascii="Times New Roman" w:hAnsi="Times New Roman" w:eastAsia="宋体" w:cs="Times New Roman"/>
                <w:color w:val="auto"/>
                <w:sz w:val="24"/>
                <w:highlight w:val="none"/>
                <w:lang w:val="en-US" w:eastAsia="zh-CN"/>
              </w:rPr>
              <w:t>《池州市锋达金属铸造有限公司</w:t>
            </w:r>
            <w:r>
              <w:rPr>
                <w:rFonts w:hint="eastAsia" w:cs="Times New Roman"/>
                <w:color w:val="auto"/>
                <w:sz w:val="24"/>
                <w:highlight w:val="none"/>
                <w:lang w:val="en-US" w:eastAsia="zh-CN"/>
              </w:rPr>
              <w:t>年产1万吨</w:t>
            </w:r>
            <w:r>
              <w:rPr>
                <w:rFonts w:hint="eastAsia" w:ascii="Times New Roman" w:hAnsi="Times New Roman" w:eastAsia="宋体" w:cs="Times New Roman"/>
                <w:color w:val="auto"/>
                <w:kern w:val="2"/>
                <w:sz w:val="24"/>
                <w:szCs w:val="24"/>
                <w:highlight w:val="none"/>
                <w:lang w:val="en-US" w:eastAsia="zh-CN"/>
              </w:rPr>
              <w:t>铸铁配件</w:t>
            </w:r>
            <w:r>
              <w:rPr>
                <w:rFonts w:hint="eastAsia" w:ascii="Times New Roman" w:hAnsi="Times New Roman" w:eastAsia="宋体" w:cs="Times New Roman"/>
                <w:color w:val="auto"/>
                <w:sz w:val="24"/>
                <w:highlight w:val="none"/>
                <w:lang w:val="en-US" w:eastAsia="zh-CN"/>
              </w:rPr>
              <w:t>项目</w:t>
            </w:r>
            <w:r>
              <w:rPr>
                <w:rFonts w:hint="default" w:ascii="Times New Roman" w:hAnsi="Times New Roman" w:eastAsia="宋体" w:cs="Times New Roman"/>
                <w:color w:val="auto"/>
                <w:sz w:val="24"/>
                <w:highlight w:val="none"/>
                <w:lang w:val="en-US" w:eastAsia="zh-CN"/>
              </w:rPr>
              <w:t>环境影响评价报告表</w:t>
            </w:r>
            <w:r>
              <w:rPr>
                <w:rFonts w:hint="eastAsia" w:ascii="Times New Roman" w:hAnsi="Times New Roman" w:eastAsia="宋体" w:cs="Times New Roman"/>
                <w:color w:val="auto"/>
                <w:sz w:val="24"/>
                <w:highlight w:val="none"/>
                <w:lang w:val="en-US" w:eastAsia="zh-CN"/>
              </w:rPr>
              <w:t>》</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池州市锋达金属铸造有限公司</w:t>
            </w:r>
            <w:r>
              <w:rPr>
                <w:rFonts w:hint="eastAsia" w:cs="Times New Roman"/>
                <w:color w:val="auto"/>
                <w:sz w:val="24"/>
                <w:highlight w:val="none"/>
                <w:lang w:val="en-US" w:eastAsia="zh-CN"/>
              </w:rPr>
              <w:t>年产1万吨</w:t>
            </w:r>
            <w:r>
              <w:rPr>
                <w:rFonts w:hint="eastAsia" w:ascii="Times New Roman" w:hAnsi="Times New Roman" w:eastAsia="宋体" w:cs="Times New Roman"/>
                <w:color w:val="auto"/>
                <w:kern w:val="2"/>
                <w:sz w:val="24"/>
                <w:szCs w:val="24"/>
                <w:highlight w:val="none"/>
                <w:lang w:val="en-US" w:eastAsia="zh-CN"/>
              </w:rPr>
              <w:t>铸铁配件</w:t>
            </w:r>
            <w:r>
              <w:rPr>
                <w:rFonts w:hint="eastAsia" w:ascii="Times New Roman" w:hAnsi="Times New Roman" w:eastAsia="宋体" w:cs="Times New Roman"/>
                <w:color w:val="auto"/>
                <w:sz w:val="24"/>
                <w:highlight w:val="none"/>
                <w:lang w:val="en-US" w:eastAsia="zh-CN"/>
              </w:rPr>
              <w:t>项目</w:t>
            </w:r>
            <w:r>
              <w:rPr>
                <w:rFonts w:hint="eastAsia" w:cs="Times New Roman"/>
                <w:color w:val="auto"/>
                <w:sz w:val="24"/>
                <w:szCs w:val="24"/>
                <w:highlight w:val="none"/>
                <w:lang w:val="en-US" w:eastAsia="zh-CN"/>
              </w:rPr>
              <w:t>竣工环境保护验收监测报告</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池州市锋达金属铸造有限公司排污许可证年度执行报告（2024）</w:t>
            </w:r>
            <w:r>
              <w:rPr>
                <w:rFonts w:hint="eastAsia" w:cs="Times New Roman"/>
                <w:color w:val="auto"/>
                <w:sz w:val="24"/>
                <w:highlight w:val="none"/>
                <w:lang w:val="en-US" w:eastAsia="zh-CN"/>
              </w:rPr>
              <w:t>》</w:t>
            </w:r>
            <w:r>
              <w:rPr>
                <w:rFonts w:hint="eastAsia" w:cs="Times New Roman"/>
                <w:color w:val="auto"/>
                <w:sz w:val="24"/>
                <w:szCs w:val="24"/>
                <w:highlight w:val="none"/>
                <w:lang w:val="en-US" w:eastAsia="zh-CN"/>
              </w:rPr>
              <w:t>以及本项目工程分析相关内容，本次技改项目前后企业“以新带老”污染物产排变化情况如下</w:t>
            </w:r>
            <w:r>
              <w:rPr>
                <w:rFonts w:hint="eastAsia" w:ascii="Times New Roman" w:hAnsi="Times New Roman" w:eastAsia="宋体" w:cs="Times New Roman"/>
                <w:color w:val="auto"/>
                <w:spacing w:val="0"/>
                <w:sz w:val="24"/>
                <w:szCs w:val="24"/>
                <w:highlight w:val="none"/>
                <w:lang w:val="en-US" w:eastAsia="zh-CN"/>
              </w:rPr>
              <w:t>：</w:t>
            </w:r>
          </w:p>
          <w:p w14:paraId="5B72F0B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2"/>
                <w:szCs w:val="22"/>
                <w:lang w:val="en-US" w:eastAsia="zh-CN"/>
              </w:rPr>
            </w:pPr>
            <w:r>
              <w:rPr>
                <w:rFonts w:hint="default" w:ascii="Times New Roman" w:hAnsi="Times New Roman" w:eastAsia="宋体" w:cs="Times New Roman"/>
                <w:b/>
                <w:bCs/>
                <w:color w:val="auto"/>
                <w:kern w:val="2"/>
                <w:sz w:val="22"/>
                <w:szCs w:val="22"/>
                <w:lang w:val="en-US" w:eastAsia="zh-CN"/>
              </w:rPr>
              <w:t>表</w:t>
            </w:r>
            <w:r>
              <w:rPr>
                <w:rFonts w:hint="eastAsia" w:ascii="Times New Roman" w:hAnsi="Times New Roman" w:eastAsia="宋体" w:cs="Times New Roman"/>
                <w:b/>
                <w:bCs/>
                <w:color w:val="auto"/>
                <w:kern w:val="2"/>
                <w:sz w:val="22"/>
                <w:szCs w:val="22"/>
                <w:lang w:val="en-US" w:eastAsia="zh-CN"/>
              </w:rPr>
              <w:t>3-9</w:t>
            </w:r>
            <w:r>
              <w:rPr>
                <w:rFonts w:hint="default" w:ascii="Times New Roman" w:hAnsi="Times New Roman" w:eastAsia="宋体" w:cs="Times New Roman"/>
                <w:b/>
                <w:bCs/>
                <w:color w:val="auto"/>
                <w:kern w:val="2"/>
                <w:sz w:val="22"/>
                <w:szCs w:val="22"/>
                <w:lang w:val="en-US" w:eastAsia="zh-CN"/>
              </w:rPr>
              <w:t xml:space="preserve"> </w:t>
            </w:r>
            <w:r>
              <w:rPr>
                <w:rFonts w:hint="eastAsia" w:ascii="Times New Roman" w:hAnsi="Times New Roman" w:eastAsia="宋体" w:cs="Times New Roman"/>
                <w:b/>
                <w:bCs/>
                <w:color w:val="auto"/>
                <w:kern w:val="2"/>
                <w:sz w:val="22"/>
                <w:szCs w:val="22"/>
                <w:lang w:val="en-US" w:eastAsia="zh-CN"/>
              </w:rPr>
              <w:t xml:space="preserve"> 本次技改项目前后企业“以新带老”污染物产排变化情况</w:t>
            </w:r>
            <w:r>
              <w:rPr>
                <w:rFonts w:hint="eastAsia" w:cs="Times New Roman"/>
                <w:b/>
                <w:bCs/>
                <w:color w:val="auto"/>
                <w:kern w:val="2"/>
                <w:sz w:val="22"/>
                <w:szCs w:val="22"/>
                <w:lang w:val="en-US" w:eastAsia="zh-CN"/>
              </w:rPr>
              <w:t xml:space="preserve">    t/a</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1400"/>
              <w:gridCol w:w="1483"/>
              <w:gridCol w:w="1467"/>
              <w:gridCol w:w="1483"/>
              <w:gridCol w:w="1417"/>
            </w:tblGrid>
            <w:tr w14:paraId="7E216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18" w:type="pct"/>
                  <w:gridSpan w:val="2"/>
                  <w:vMerge w:val="restart"/>
                  <w:noWrap w:val="0"/>
                  <w:vAlign w:val="center"/>
                </w:tcPr>
                <w:p w14:paraId="7B2402EB">
                  <w:pPr>
                    <w:keepNext w:val="0"/>
                    <w:keepLines w:val="0"/>
                    <w:pageBreakBefore w:val="0"/>
                    <w:widowControl/>
                    <w:suppressLineNumbers w:val="0"/>
                    <w:kinsoku/>
                    <w:wordWrap/>
                    <w:overflowPunct/>
                    <w:topLinePunct w:val="0"/>
                    <w:autoSpaceDE/>
                    <w:autoSpaceDN/>
                    <w:bidi w:val="0"/>
                    <w:jc w:val="center"/>
                    <w:rPr>
                      <w:color w:val="auto"/>
                    </w:rPr>
                  </w:pPr>
                  <w:r>
                    <w:rPr>
                      <w:rFonts w:hint="eastAsia" w:ascii="Times New Roman" w:hAnsi="Times New Roman" w:eastAsia="宋体" w:cs="Times New Roman"/>
                      <w:b/>
                      <w:bCs/>
                      <w:color w:val="auto"/>
                      <w:kern w:val="0"/>
                      <w:sz w:val="21"/>
                      <w:szCs w:val="21"/>
                      <w:highlight w:val="none"/>
                      <w:lang w:val="en-US" w:eastAsia="zh-CN" w:bidi="ar"/>
                    </w:rPr>
                    <w:t>污染物</w:t>
                  </w:r>
                </w:p>
              </w:tc>
              <w:tc>
                <w:tcPr>
                  <w:tcW w:w="1705" w:type="pct"/>
                  <w:gridSpan w:val="2"/>
                  <w:noWrap w:val="0"/>
                  <w:vAlign w:val="center"/>
                </w:tcPr>
                <w:p w14:paraId="1E848A0D">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b/>
                      <w:bCs/>
                      <w:color w:val="auto"/>
                      <w:kern w:val="0"/>
                      <w:sz w:val="21"/>
                      <w:szCs w:val="21"/>
                      <w:highlight w:val="none"/>
                      <w:lang w:val="en-US" w:eastAsia="zh-CN" w:bidi="ar"/>
                    </w:rPr>
                  </w:pPr>
                  <w:r>
                    <w:rPr>
                      <w:rFonts w:hint="eastAsia"/>
                      <w:b/>
                      <w:bCs/>
                      <w:color w:val="auto"/>
                      <w:lang w:val="en-US" w:eastAsia="zh-CN"/>
                    </w:rPr>
                    <w:t>颗粒物</w:t>
                  </w:r>
                </w:p>
              </w:tc>
              <w:tc>
                <w:tcPr>
                  <w:tcW w:w="1676" w:type="pct"/>
                  <w:gridSpan w:val="2"/>
                  <w:noWrap w:val="0"/>
                  <w:vAlign w:val="center"/>
                </w:tcPr>
                <w:p w14:paraId="5584E6E1">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非甲烷总烃*</w:t>
                  </w:r>
                </w:p>
              </w:tc>
            </w:tr>
            <w:tr w14:paraId="6BB0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18" w:type="pct"/>
                  <w:gridSpan w:val="2"/>
                  <w:vMerge w:val="continue"/>
                  <w:noWrap w:val="0"/>
                  <w:vAlign w:val="center"/>
                </w:tcPr>
                <w:p w14:paraId="6C273907">
                  <w:pPr>
                    <w:keepNext w:val="0"/>
                    <w:keepLines w:val="0"/>
                    <w:pageBreakBefore w:val="0"/>
                    <w:widowControl/>
                    <w:suppressLineNumbers w:val="0"/>
                    <w:kinsoku/>
                    <w:wordWrap/>
                    <w:overflowPunct/>
                    <w:topLinePunct w:val="0"/>
                    <w:autoSpaceDE/>
                    <w:autoSpaceDN/>
                    <w:bidi w:val="0"/>
                    <w:jc w:val="center"/>
                    <w:rPr>
                      <w:color w:val="auto"/>
                    </w:rPr>
                  </w:pPr>
                </w:p>
              </w:tc>
              <w:tc>
                <w:tcPr>
                  <w:tcW w:w="857" w:type="pct"/>
                  <w:noWrap w:val="0"/>
                  <w:vAlign w:val="center"/>
                </w:tcPr>
                <w:p w14:paraId="1AB47832">
                  <w:pPr>
                    <w:keepNext w:val="0"/>
                    <w:keepLines w:val="0"/>
                    <w:pageBreakBefore w:val="0"/>
                    <w:widowControl/>
                    <w:suppressLineNumbers w:val="0"/>
                    <w:kinsoku/>
                    <w:wordWrap/>
                    <w:overflowPunct/>
                    <w:topLinePunct w:val="0"/>
                    <w:autoSpaceDE/>
                    <w:autoSpaceDN/>
                    <w:bidi w:val="0"/>
                    <w:jc w:val="center"/>
                    <w:rPr>
                      <w:rFonts w:hint="eastAsia"/>
                      <w:b/>
                      <w:bCs/>
                      <w:color w:val="auto"/>
                      <w:lang w:val="en-US" w:eastAsia="zh-CN"/>
                    </w:rPr>
                  </w:pPr>
                  <w:r>
                    <w:rPr>
                      <w:rFonts w:hint="eastAsia" w:ascii="Times New Roman" w:hAnsi="Times New Roman" w:eastAsia="宋体" w:cs="Times New Roman"/>
                      <w:b/>
                      <w:bCs/>
                      <w:color w:val="auto"/>
                      <w:kern w:val="0"/>
                      <w:sz w:val="21"/>
                      <w:szCs w:val="21"/>
                      <w:highlight w:val="none"/>
                      <w:lang w:val="en-US" w:eastAsia="zh-CN" w:bidi="ar"/>
                    </w:rPr>
                    <w:t>有组织</w:t>
                  </w:r>
                </w:p>
              </w:tc>
              <w:tc>
                <w:tcPr>
                  <w:tcW w:w="847" w:type="pct"/>
                  <w:noWrap w:val="0"/>
                  <w:vAlign w:val="center"/>
                </w:tcPr>
                <w:p w14:paraId="27F12EA3">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b/>
                      <w:bCs/>
                      <w:color w:val="auto"/>
                      <w:kern w:val="0"/>
                      <w:sz w:val="21"/>
                      <w:szCs w:val="21"/>
                      <w:highlight w:val="none"/>
                      <w:lang w:val="en-US" w:eastAsia="zh-CN" w:bidi="ar"/>
                    </w:rPr>
                  </w:pPr>
                  <w:r>
                    <w:rPr>
                      <w:rFonts w:hint="eastAsia"/>
                      <w:b/>
                      <w:bCs/>
                      <w:color w:val="auto"/>
                      <w:lang w:val="en-US" w:eastAsia="zh-CN"/>
                    </w:rPr>
                    <w:t>无组织</w:t>
                  </w:r>
                </w:p>
              </w:tc>
              <w:tc>
                <w:tcPr>
                  <w:tcW w:w="857" w:type="pct"/>
                  <w:noWrap w:val="0"/>
                  <w:vAlign w:val="center"/>
                </w:tcPr>
                <w:p w14:paraId="18F8CBA3">
                  <w:pPr>
                    <w:keepNext w:val="0"/>
                    <w:keepLines w:val="0"/>
                    <w:pageBreakBefore w:val="0"/>
                    <w:widowControl/>
                    <w:suppressLineNumbers w:val="0"/>
                    <w:kinsoku/>
                    <w:wordWrap/>
                    <w:overflowPunct/>
                    <w:topLinePunct w:val="0"/>
                    <w:autoSpaceDE/>
                    <w:autoSpaceDN/>
                    <w:bidi w:val="0"/>
                    <w:jc w:val="center"/>
                    <w:rPr>
                      <w:rFonts w:hint="eastAsia"/>
                      <w:b/>
                      <w:bCs/>
                      <w:color w:val="auto"/>
                      <w:kern w:val="2"/>
                      <w:sz w:val="21"/>
                      <w:szCs w:val="24"/>
                      <w:lang w:val="en-US" w:eastAsia="zh-CN" w:bidi="ar-SA"/>
                    </w:rPr>
                  </w:pPr>
                  <w:r>
                    <w:rPr>
                      <w:rFonts w:hint="eastAsia" w:ascii="Times New Roman" w:hAnsi="Times New Roman" w:eastAsia="宋体" w:cs="Times New Roman"/>
                      <w:b/>
                      <w:bCs/>
                      <w:color w:val="auto"/>
                      <w:kern w:val="0"/>
                      <w:sz w:val="21"/>
                      <w:szCs w:val="21"/>
                      <w:highlight w:val="none"/>
                      <w:lang w:val="en-US" w:eastAsia="zh-CN" w:bidi="ar"/>
                    </w:rPr>
                    <w:t>有组织</w:t>
                  </w:r>
                </w:p>
              </w:tc>
              <w:tc>
                <w:tcPr>
                  <w:tcW w:w="819" w:type="pct"/>
                  <w:noWrap w:val="0"/>
                  <w:vAlign w:val="center"/>
                </w:tcPr>
                <w:p w14:paraId="19788DC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bCs/>
                      <w:color w:val="auto"/>
                      <w:kern w:val="0"/>
                      <w:sz w:val="21"/>
                      <w:szCs w:val="21"/>
                      <w:highlight w:val="none"/>
                      <w:lang w:val="en-US" w:eastAsia="zh-CN" w:bidi="ar"/>
                    </w:rPr>
                  </w:pPr>
                  <w:r>
                    <w:rPr>
                      <w:rFonts w:hint="eastAsia"/>
                      <w:b/>
                      <w:bCs/>
                      <w:color w:val="auto"/>
                      <w:lang w:val="en-US" w:eastAsia="zh-CN"/>
                    </w:rPr>
                    <w:t>无组织</w:t>
                  </w:r>
                </w:p>
              </w:tc>
            </w:tr>
            <w:tr w14:paraId="4E56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18" w:type="pct"/>
                  <w:gridSpan w:val="2"/>
                  <w:noWrap w:val="0"/>
                  <w:vAlign w:val="center"/>
                </w:tcPr>
                <w:p w14:paraId="4F1568F5">
                  <w:pPr>
                    <w:keepNext w:val="0"/>
                    <w:keepLines w:val="0"/>
                    <w:pageBreakBefore w:val="0"/>
                    <w:widowControl/>
                    <w:suppressLineNumbers w:val="0"/>
                    <w:kinsoku/>
                    <w:wordWrap/>
                    <w:overflowPunct/>
                    <w:topLinePunct w:val="0"/>
                    <w:autoSpaceDE/>
                    <w:autoSpaceDN/>
                    <w:bidi w:val="0"/>
                    <w:jc w:val="center"/>
                    <w:rPr>
                      <w:color w:val="auto"/>
                    </w:rPr>
                  </w:pPr>
                  <w:r>
                    <w:rPr>
                      <w:rFonts w:hint="eastAsia" w:ascii="Times New Roman" w:hAnsi="Times New Roman" w:eastAsia="宋体" w:cs="Times New Roman"/>
                      <w:b/>
                      <w:bCs/>
                      <w:color w:val="auto"/>
                      <w:kern w:val="0"/>
                      <w:sz w:val="21"/>
                      <w:szCs w:val="21"/>
                      <w:highlight w:val="none"/>
                      <w:lang w:val="en-US" w:eastAsia="zh-CN" w:bidi="ar"/>
                    </w:rPr>
                    <w:t>现有</w:t>
                  </w:r>
                  <w:r>
                    <w:rPr>
                      <w:rFonts w:hint="eastAsia" w:cs="Times New Roman"/>
                      <w:b/>
                      <w:bCs/>
                      <w:color w:val="auto"/>
                      <w:kern w:val="0"/>
                      <w:sz w:val="21"/>
                      <w:szCs w:val="21"/>
                      <w:highlight w:val="none"/>
                      <w:lang w:val="en-US" w:eastAsia="zh-CN" w:bidi="ar"/>
                    </w:rPr>
                    <w:t>项目</w:t>
                  </w:r>
                  <w:r>
                    <w:rPr>
                      <w:rFonts w:hint="eastAsia" w:ascii="Times New Roman" w:hAnsi="Times New Roman" w:eastAsia="宋体" w:cs="Times New Roman"/>
                      <w:b/>
                      <w:bCs/>
                      <w:color w:val="auto"/>
                      <w:kern w:val="0"/>
                      <w:sz w:val="21"/>
                      <w:szCs w:val="21"/>
                      <w:highlight w:val="none"/>
                      <w:lang w:val="en-US" w:eastAsia="zh-CN" w:bidi="ar"/>
                    </w:rPr>
                    <w:t>排放量</w:t>
                  </w:r>
                </w:p>
              </w:tc>
              <w:tc>
                <w:tcPr>
                  <w:tcW w:w="857" w:type="pct"/>
                  <w:noWrap w:val="0"/>
                  <w:vAlign w:val="center"/>
                </w:tcPr>
                <w:p w14:paraId="40BEBFEB">
                  <w:pPr>
                    <w:keepNext w:val="0"/>
                    <w:keepLines w:val="0"/>
                    <w:pageBreakBefore w:val="0"/>
                    <w:widowControl/>
                    <w:suppressLineNumbers w:val="0"/>
                    <w:kinsoku/>
                    <w:wordWrap/>
                    <w:overflowPunct/>
                    <w:topLinePunct w:val="0"/>
                    <w:autoSpaceDE/>
                    <w:autoSpaceDN/>
                    <w:bidi w:val="0"/>
                    <w:jc w:val="center"/>
                    <w:rPr>
                      <w:rFonts w:hint="default"/>
                      <w:color w:val="auto"/>
                      <w:lang w:val="en-US" w:eastAsia="zh-CN"/>
                    </w:rPr>
                  </w:pPr>
                  <w:r>
                    <w:rPr>
                      <w:rFonts w:hint="eastAsia" w:cs="Times New Roman"/>
                      <w:color w:val="auto"/>
                      <w:kern w:val="0"/>
                      <w:sz w:val="21"/>
                      <w:szCs w:val="21"/>
                      <w:highlight w:val="none"/>
                      <w:lang w:val="en-US" w:eastAsia="zh-CN" w:bidi="ar"/>
                    </w:rPr>
                    <w:t>0.816</w:t>
                  </w:r>
                </w:p>
              </w:tc>
              <w:tc>
                <w:tcPr>
                  <w:tcW w:w="847" w:type="pct"/>
                  <w:noWrap w:val="0"/>
                  <w:vAlign w:val="center"/>
                </w:tcPr>
                <w:p w14:paraId="6A10F84C">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6.7114</w:t>
                  </w:r>
                </w:p>
              </w:tc>
              <w:tc>
                <w:tcPr>
                  <w:tcW w:w="857" w:type="pct"/>
                  <w:noWrap w:val="0"/>
                  <w:vAlign w:val="center"/>
                </w:tcPr>
                <w:p w14:paraId="0E1A1830">
                  <w:pPr>
                    <w:keepNext w:val="0"/>
                    <w:keepLines w:val="0"/>
                    <w:pageBreakBefore w:val="0"/>
                    <w:widowControl/>
                    <w:suppressLineNumbers w:val="0"/>
                    <w:kinsoku/>
                    <w:wordWrap/>
                    <w:overflowPunct/>
                    <w:topLinePunct w:val="0"/>
                    <w:autoSpaceDE/>
                    <w:autoSpaceDN/>
                    <w:bidi w:val="0"/>
                    <w:jc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819" w:type="pct"/>
                  <w:noWrap w:val="0"/>
                  <w:vAlign w:val="center"/>
                </w:tcPr>
                <w:p w14:paraId="3EF7A3B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2.88</w:t>
                  </w:r>
                </w:p>
              </w:tc>
            </w:tr>
            <w:tr w14:paraId="27EB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809" w:type="pct"/>
                  <w:vMerge w:val="restart"/>
                  <w:noWrap w:val="0"/>
                  <w:vAlign w:val="center"/>
                </w:tcPr>
                <w:p w14:paraId="25403E33">
                  <w:pPr>
                    <w:keepNext w:val="0"/>
                    <w:keepLines w:val="0"/>
                    <w:pageBreakBefore w:val="0"/>
                    <w:widowControl/>
                    <w:suppressLineNumbers w:val="0"/>
                    <w:kinsoku/>
                    <w:wordWrap/>
                    <w:overflowPunct/>
                    <w:topLinePunct w:val="0"/>
                    <w:autoSpaceDE/>
                    <w:autoSpaceDN/>
                    <w:bidi w:val="0"/>
                    <w:jc w:val="center"/>
                    <w:rPr>
                      <w:rFonts w:hint="eastAsia" w:eastAsia="宋体"/>
                      <w:b/>
                      <w:bCs/>
                      <w:color w:val="auto"/>
                      <w:lang w:val="en-US" w:eastAsia="zh-CN"/>
                    </w:rPr>
                  </w:pPr>
                  <w:r>
                    <w:rPr>
                      <w:rFonts w:hint="eastAsia" w:cs="Times New Roman"/>
                      <w:b/>
                      <w:bCs/>
                      <w:color w:val="auto"/>
                      <w:kern w:val="0"/>
                      <w:sz w:val="21"/>
                      <w:szCs w:val="21"/>
                      <w:highlight w:val="none"/>
                      <w:lang w:val="en-US" w:eastAsia="zh-CN" w:bidi="ar"/>
                    </w:rPr>
                    <w:t>以新带老</w:t>
                  </w:r>
                </w:p>
              </w:tc>
              <w:tc>
                <w:tcPr>
                  <w:tcW w:w="809" w:type="pct"/>
                  <w:noWrap w:val="0"/>
                  <w:vAlign w:val="center"/>
                </w:tcPr>
                <w:p w14:paraId="16699F2B">
                  <w:pPr>
                    <w:keepNext w:val="0"/>
                    <w:keepLines w:val="0"/>
                    <w:pageBreakBefore w:val="0"/>
                    <w:widowControl/>
                    <w:suppressLineNumbers w:val="0"/>
                    <w:kinsoku/>
                    <w:wordWrap/>
                    <w:overflowPunct/>
                    <w:topLinePunct w:val="0"/>
                    <w:autoSpaceDE/>
                    <w:autoSpaceDN/>
                    <w:bidi w:val="0"/>
                    <w:jc w:val="center"/>
                    <w:rPr>
                      <w:rFonts w:hint="eastAsia"/>
                      <w:b/>
                      <w:bCs/>
                      <w:color w:val="auto"/>
                      <w:kern w:val="2"/>
                      <w:sz w:val="21"/>
                      <w:szCs w:val="24"/>
                      <w:lang w:val="en-US" w:eastAsia="zh-CN" w:bidi="ar-SA"/>
                    </w:rPr>
                  </w:pPr>
                  <w:r>
                    <w:rPr>
                      <w:rFonts w:hint="eastAsia"/>
                      <w:b/>
                      <w:bCs/>
                      <w:color w:val="auto"/>
                      <w:lang w:val="en-US" w:eastAsia="zh-CN"/>
                    </w:rPr>
                    <w:t>产生量</w:t>
                  </w:r>
                </w:p>
              </w:tc>
              <w:tc>
                <w:tcPr>
                  <w:tcW w:w="857" w:type="pct"/>
                  <w:noWrap w:val="0"/>
                  <w:vAlign w:val="center"/>
                </w:tcPr>
                <w:p w14:paraId="46FE9CD4">
                  <w:pPr>
                    <w:keepNext w:val="0"/>
                    <w:keepLines w:val="0"/>
                    <w:pageBreakBefore w:val="0"/>
                    <w:widowControl/>
                    <w:suppressLineNumbers w:val="0"/>
                    <w:kinsoku/>
                    <w:wordWrap/>
                    <w:overflowPunct/>
                    <w:topLinePunct w:val="0"/>
                    <w:autoSpaceDE/>
                    <w:autoSpaceDN/>
                    <w:bidi w:val="0"/>
                    <w:jc w:val="center"/>
                    <w:rPr>
                      <w:rFonts w:hint="default"/>
                      <w:color w:val="FF0000"/>
                      <w:lang w:val="en-US" w:eastAsia="zh-CN"/>
                    </w:rPr>
                  </w:pPr>
                  <w:r>
                    <w:rPr>
                      <w:rFonts w:hint="eastAsia"/>
                      <w:color w:val="auto"/>
                      <w:lang w:val="en-US" w:eastAsia="zh-CN"/>
                    </w:rPr>
                    <w:t>231.957</w:t>
                  </w:r>
                </w:p>
              </w:tc>
              <w:tc>
                <w:tcPr>
                  <w:tcW w:w="847" w:type="pct"/>
                  <w:noWrap w:val="0"/>
                  <w:vAlign w:val="center"/>
                </w:tcPr>
                <w:p w14:paraId="596058D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10.816</w:t>
                  </w:r>
                </w:p>
              </w:tc>
              <w:tc>
                <w:tcPr>
                  <w:tcW w:w="857" w:type="pct"/>
                  <w:noWrap w:val="0"/>
                  <w:vAlign w:val="center"/>
                </w:tcPr>
                <w:p w14:paraId="1D571C27">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2.</w:t>
                  </w:r>
                  <w:r>
                    <w:rPr>
                      <w:rFonts w:hint="eastAsia" w:cs="Times New Roman"/>
                      <w:color w:val="auto"/>
                      <w:kern w:val="0"/>
                      <w:sz w:val="21"/>
                      <w:szCs w:val="21"/>
                      <w:highlight w:val="none"/>
                      <w:lang w:val="en-US" w:eastAsia="zh-CN" w:bidi="ar"/>
                    </w:rPr>
                    <w:t>88</w:t>
                  </w:r>
                </w:p>
              </w:tc>
              <w:tc>
                <w:tcPr>
                  <w:tcW w:w="819" w:type="pct"/>
                  <w:noWrap w:val="0"/>
                  <w:vAlign w:val="center"/>
                </w:tcPr>
                <w:p w14:paraId="0811D5AA">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0.</w:t>
                  </w:r>
                  <w:r>
                    <w:rPr>
                      <w:rFonts w:hint="eastAsia" w:cs="Times New Roman"/>
                      <w:color w:val="auto"/>
                      <w:kern w:val="0"/>
                      <w:sz w:val="21"/>
                      <w:szCs w:val="21"/>
                      <w:highlight w:val="none"/>
                      <w:lang w:val="en-US" w:eastAsia="zh-CN" w:bidi="ar"/>
                    </w:rPr>
                    <w:t>362</w:t>
                  </w:r>
                </w:p>
              </w:tc>
            </w:tr>
            <w:tr w14:paraId="26DA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809" w:type="pct"/>
                  <w:vMerge w:val="continue"/>
                  <w:noWrap w:val="0"/>
                  <w:vAlign w:val="center"/>
                </w:tcPr>
                <w:p w14:paraId="43B3F21F">
                  <w:pPr>
                    <w:keepNext w:val="0"/>
                    <w:keepLines w:val="0"/>
                    <w:pageBreakBefore w:val="0"/>
                    <w:widowControl/>
                    <w:suppressLineNumbers w:val="0"/>
                    <w:kinsoku/>
                    <w:wordWrap/>
                    <w:overflowPunct/>
                    <w:topLinePunct w:val="0"/>
                    <w:autoSpaceDE/>
                    <w:autoSpaceDN/>
                    <w:bidi w:val="0"/>
                    <w:jc w:val="center"/>
                    <w:rPr>
                      <w:rFonts w:hint="eastAsia" w:cs="Times New Roman"/>
                      <w:b/>
                      <w:bCs/>
                      <w:color w:val="auto"/>
                      <w:kern w:val="0"/>
                      <w:sz w:val="21"/>
                      <w:szCs w:val="21"/>
                      <w:highlight w:val="none"/>
                      <w:lang w:val="en-US" w:eastAsia="zh-CN" w:bidi="ar"/>
                    </w:rPr>
                  </w:pPr>
                </w:p>
              </w:tc>
              <w:tc>
                <w:tcPr>
                  <w:tcW w:w="809" w:type="pct"/>
                  <w:noWrap w:val="0"/>
                  <w:vAlign w:val="center"/>
                </w:tcPr>
                <w:p w14:paraId="1B184D1D">
                  <w:pPr>
                    <w:keepNext w:val="0"/>
                    <w:keepLines w:val="0"/>
                    <w:pageBreakBefore w:val="0"/>
                    <w:widowControl/>
                    <w:suppressLineNumbers w:val="0"/>
                    <w:kinsoku/>
                    <w:wordWrap/>
                    <w:overflowPunct/>
                    <w:topLinePunct w:val="0"/>
                    <w:autoSpaceDE/>
                    <w:autoSpaceDN/>
                    <w:bidi w:val="0"/>
                    <w:jc w:val="center"/>
                    <w:rPr>
                      <w:rFonts w:hint="eastAsia"/>
                      <w:b/>
                      <w:bCs/>
                      <w:color w:val="auto"/>
                      <w:kern w:val="2"/>
                      <w:sz w:val="21"/>
                      <w:szCs w:val="24"/>
                      <w:lang w:val="en-US" w:eastAsia="zh-CN" w:bidi="ar-SA"/>
                    </w:rPr>
                  </w:pPr>
                  <w:r>
                    <w:rPr>
                      <w:rFonts w:hint="eastAsia"/>
                      <w:b/>
                      <w:bCs/>
                      <w:color w:val="auto"/>
                      <w:lang w:val="en-US" w:eastAsia="zh-CN"/>
                    </w:rPr>
                    <w:t>削减量</w:t>
                  </w:r>
                </w:p>
              </w:tc>
              <w:tc>
                <w:tcPr>
                  <w:tcW w:w="857" w:type="pct"/>
                  <w:noWrap w:val="0"/>
                  <w:vAlign w:val="center"/>
                </w:tcPr>
                <w:p w14:paraId="26A426CA">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FF0000"/>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228.5054</w:t>
                  </w:r>
                </w:p>
              </w:tc>
              <w:tc>
                <w:tcPr>
                  <w:tcW w:w="847" w:type="pct"/>
                  <w:noWrap w:val="0"/>
                  <w:vAlign w:val="center"/>
                </w:tcPr>
                <w:p w14:paraId="4EBE87A2">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8.112</w:t>
                  </w:r>
                </w:p>
              </w:tc>
              <w:tc>
                <w:tcPr>
                  <w:tcW w:w="857" w:type="pct"/>
                  <w:noWrap w:val="0"/>
                  <w:vAlign w:val="center"/>
                </w:tcPr>
                <w:p w14:paraId="1D519082">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2.6732</w:t>
                  </w:r>
                </w:p>
              </w:tc>
              <w:tc>
                <w:tcPr>
                  <w:tcW w:w="819" w:type="pct"/>
                  <w:noWrap w:val="0"/>
                  <w:vAlign w:val="center"/>
                </w:tcPr>
                <w:p w14:paraId="22E26444">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w:t>
                  </w:r>
                </w:p>
              </w:tc>
            </w:tr>
            <w:tr w14:paraId="1905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809" w:type="pct"/>
                  <w:vMerge w:val="continue"/>
                  <w:noWrap w:val="0"/>
                  <w:vAlign w:val="center"/>
                </w:tcPr>
                <w:p w14:paraId="4E93DAB0">
                  <w:pPr>
                    <w:keepNext w:val="0"/>
                    <w:keepLines w:val="0"/>
                    <w:pageBreakBefore w:val="0"/>
                    <w:widowControl/>
                    <w:suppressLineNumbers w:val="0"/>
                    <w:kinsoku/>
                    <w:wordWrap/>
                    <w:overflowPunct/>
                    <w:topLinePunct w:val="0"/>
                    <w:autoSpaceDE/>
                    <w:autoSpaceDN/>
                    <w:bidi w:val="0"/>
                    <w:jc w:val="center"/>
                    <w:rPr>
                      <w:rFonts w:hint="eastAsia" w:cs="Times New Roman"/>
                      <w:b/>
                      <w:bCs/>
                      <w:color w:val="auto"/>
                      <w:kern w:val="0"/>
                      <w:sz w:val="21"/>
                      <w:szCs w:val="21"/>
                      <w:highlight w:val="none"/>
                      <w:lang w:val="en-US" w:eastAsia="zh-CN" w:bidi="ar"/>
                    </w:rPr>
                  </w:pPr>
                </w:p>
              </w:tc>
              <w:tc>
                <w:tcPr>
                  <w:tcW w:w="809" w:type="pct"/>
                  <w:noWrap w:val="0"/>
                  <w:vAlign w:val="center"/>
                </w:tcPr>
                <w:p w14:paraId="37428375">
                  <w:pPr>
                    <w:keepNext w:val="0"/>
                    <w:keepLines w:val="0"/>
                    <w:pageBreakBefore w:val="0"/>
                    <w:widowControl/>
                    <w:suppressLineNumbers w:val="0"/>
                    <w:kinsoku/>
                    <w:wordWrap/>
                    <w:overflowPunct/>
                    <w:topLinePunct w:val="0"/>
                    <w:autoSpaceDE/>
                    <w:autoSpaceDN/>
                    <w:bidi w:val="0"/>
                    <w:jc w:val="center"/>
                    <w:rPr>
                      <w:rFonts w:hint="eastAsia"/>
                      <w:b/>
                      <w:bCs/>
                      <w:color w:val="auto"/>
                      <w:kern w:val="2"/>
                      <w:sz w:val="21"/>
                      <w:szCs w:val="24"/>
                      <w:lang w:val="en-US" w:eastAsia="zh-CN" w:bidi="ar-SA"/>
                    </w:rPr>
                  </w:pPr>
                  <w:r>
                    <w:rPr>
                      <w:rFonts w:hint="eastAsia"/>
                      <w:b/>
                      <w:bCs/>
                      <w:color w:val="auto"/>
                      <w:lang w:val="en-US" w:eastAsia="zh-CN"/>
                    </w:rPr>
                    <w:t>排放量</w:t>
                  </w:r>
                </w:p>
              </w:tc>
              <w:tc>
                <w:tcPr>
                  <w:tcW w:w="857" w:type="pct"/>
                  <w:noWrap w:val="0"/>
                  <w:vAlign w:val="center"/>
                </w:tcPr>
                <w:p w14:paraId="1D2AC4EF">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FF0000"/>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3.5556</w:t>
                  </w:r>
                </w:p>
              </w:tc>
              <w:tc>
                <w:tcPr>
                  <w:tcW w:w="847" w:type="pct"/>
                  <w:noWrap w:val="0"/>
                  <w:vAlign w:val="center"/>
                </w:tcPr>
                <w:p w14:paraId="68276CF6">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2.704</w:t>
                  </w:r>
                </w:p>
              </w:tc>
              <w:tc>
                <w:tcPr>
                  <w:tcW w:w="857" w:type="pct"/>
                  <w:noWrap w:val="0"/>
                  <w:vAlign w:val="center"/>
                </w:tcPr>
                <w:p w14:paraId="38D975A0">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0.2068</w:t>
                  </w:r>
                </w:p>
              </w:tc>
              <w:tc>
                <w:tcPr>
                  <w:tcW w:w="819" w:type="pct"/>
                  <w:noWrap w:val="0"/>
                  <w:vAlign w:val="center"/>
                </w:tcPr>
                <w:p w14:paraId="012E5A69">
                  <w:pPr>
                    <w:keepNext w:val="0"/>
                    <w:keepLines w:val="0"/>
                    <w:pageBreakBefore w:val="0"/>
                    <w:widowControl/>
                    <w:suppressLineNumbers w:val="0"/>
                    <w:kinsoku/>
                    <w:wordWrap/>
                    <w:overflowPunct/>
                    <w:topLinePunct w:val="0"/>
                    <w:autoSpaceDE/>
                    <w:autoSpaceDN/>
                    <w:bidi w:val="0"/>
                    <w:jc w:val="center"/>
                    <w:rPr>
                      <w:rFonts w:hint="default"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0.362</w:t>
                  </w:r>
                </w:p>
              </w:tc>
            </w:tr>
            <w:tr w14:paraId="4496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18" w:type="pct"/>
                  <w:gridSpan w:val="2"/>
                  <w:noWrap w:val="0"/>
                  <w:vAlign w:val="center"/>
                </w:tcPr>
                <w:p w14:paraId="17F35FB1">
                  <w:pPr>
                    <w:keepNext w:val="0"/>
                    <w:keepLines w:val="0"/>
                    <w:pageBreakBefore w:val="0"/>
                    <w:widowControl/>
                    <w:suppressLineNumbers w:val="0"/>
                    <w:kinsoku/>
                    <w:wordWrap/>
                    <w:overflowPunct/>
                    <w:topLinePunct w:val="0"/>
                    <w:autoSpaceDE/>
                    <w:autoSpaceDN/>
                    <w:bidi w:val="0"/>
                    <w:jc w:val="center"/>
                    <w:rPr>
                      <w:rFonts w:hint="default" w:eastAsia="宋体"/>
                      <w:b/>
                      <w:bCs/>
                      <w:color w:val="auto"/>
                      <w:lang w:val="en-US" w:eastAsia="zh-CN"/>
                    </w:rPr>
                  </w:pPr>
                  <w:r>
                    <w:rPr>
                      <w:rFonts w:hint="eastAsia"/>
                      <w:b/>
                      <w:bCs/>
                      <w:color w:val="auto"/>
                      <w:lang w:val="en-US" w:eastAsia="zh-CN"/>
                    </w:rPr>
                    <w:t>技改后全厂排放量</w:t>
                  </w:r>
                </w:p>
              </w:tc>
              <w:tc>
                <w:tcPr>
                  <w:tcW w:w="857" w:type="pct"/>
                  <w:noWrap w:val="0"/>
                  <w:vAlign w:val="center"/>
                </w:tcPr>
                <w:p w14:paraId="506E7AA2">
                  <w:pPr>
                    <w:keepNext w:val="0"/>
                    <w:keepLines w:val="0"/>
                    <w:pageBreakBefore w:val="0"/>
                    <w:widowControl/>
                    <w:suppressLineNumbers w:val="0"/>
                    <w:kinsoku/>
                    <w:wordWrap/>
                    <w:overflowPunct/>
                    <w:topLinePunct w:val="0"/>
                    <w:autoSpaceDE/>
                    <w:autoSpaceDN/>
                    <w:bidi w:val="0"/>
                    <w:jc w:val="center"/>
                    <w:rPr>
                      <w:rFonts w:hint="default"/>
                      <w:b w:val="0"/>
                      <w:bCs w:val="0"/>
                      <w:color w:val="auto"/>
                      <w:lang w:val="en-US" w:eastAsia="zh-CN"/>
                    </w:rPr>
                  </w:pPr>
                  <w:r>
                    <w:rPr>
                      <w:rFonts w:hint="eastAsia"/>
                      <w:b w:val="0"/>
                      <w:bCs w:val="0"/>
                      <w:color w:val="auto"/>
                      <w:lang w:val="en-US" w:eastAsia="zh-CN"/>
                    </w:rPr>
                    <w:t>3.5556</w:t>
                  </w:r>
                </w:p>
              </w:tc>
              <w:tc>
                <w:tcPr>
                  <w:tcW w:w="847" w:type="pct"/>
                  <w:noWrap w:val="0"/>
                  <w:vAlign w:val="center"/>
                </w:tcPr>
                <w:p w14:paraId="67531215">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2.704</w:t>
                  </w:r>
                </w:p>
              </w:tc>
              <w:tc>
                <w:tcPr>
                  <w:tcW w:w="857" w:type="pct"/>
                  <w:noWrap w:val="0"/>
                  <w:vAlign w:val="center"/>
                </w:tcPr>
                <w:p w14:paraId="1188F892">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
                    </w:rPr>
                    <w:t>0.2</w:t>
                  </w:r>
                  <w:r>
                    <w:rPr>
                      <w:rFonts w:hint="eastAsia" w:cs="Times New Roman"/>
                      <w:b w:val="0"/>
                      <w:bCs w:val="0"/>
                      <w:color w:val="auto"/>
                      <w:kern w:val="0"/>
                      <w:sz w:val="21"/>
                      <w:szCs w:val="21"/>
                      <w:highlight w:val="none"/>
                      <w:lang w:val="en-US" w:eastAsia="zh-CN" w:bidi="ar"/>
                    </w:rPr>
                    <w:t>068</w:t>
                  </w:r>
                </w:p>
              </w:tc>
              <w:tc>
                <w:tcPr>
                  <w:tcW w:w="819" w:type="pct"/>
                  <w:noWrap w:val="0"/>
                  <w:vAlign w:val="center"/>
                </w:tcPr>
                <w:p w14:paraId="74A9CFDD">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
                    </w:rPr>
                    <w:t>0.</w:t>
                  </w:r>
                  <w:r>
                    <w:rPr>
                      <w:rFonts w:hint="eastAsia" w:cs="Times New Roman"/>
                      <w:b w:val="0"/>
                      <w:bCs w:val="0"/>
                      <w:color w:val="auto"/>
                      <w:kern w:val="0"/>
                      <w:sz w:val="21"/>
                      <w:szCs w:val="21"/>
                      <w:highlight w:val="none"/>
                      <w:lang w:val="en-US" w:eastAsia="zh-CN" w:bidi="ar"/>
                    </w:rPr>
                    <w:t>362</w:t>
                  </w:r>
                </w:p>
              </w:tc>
            </w:tr>
            <w:tr w14:paraId="02D8A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618" w:type="pct"/>
                  <w:gridSpan w:val="2"/>
                  <w:noWrap w:val="0"/>
                  <w:vAlign w:val="center"/>
                </w:tcPr>
                <w:p w14:paraId="4FBB9EE6">
                  <w:pPr>
                    <w:keepNext w:val="0"/>
                    <w:keepLines w:val="0"/>
                    <w:pageBreakBefore w:val="0"/>
                    <w:widowControl/>
                    <w:suppressLineNumbers w:val="0"/>
                    <w:kinsoku/>
                    <w:wordWrap/>
                    <w:overflowPunct/>
                    <w:topLinePunct w:val="0"/>
                    <w:autoSpaceDE/>
                    <w:autoSpaceDN/>
                    <w:bidi w:val="0"/>
                    <w:jc w:val="center"/>
                    <w:rPr>
                      <w:rFonts w:hint="default"/>
                      <w:b/>
                      <w:bCs/>
                      <w:color w:val="auto"/>
                      <w:lang w:val="en-US" w:eastAsia="zh-CN"/>
                    </w:rPr>
                  </w:pPr>
                  <w:r>
                    <w:rPr>
                      <w:rFonts w:hint="eastAsia"/>
                      <w:b/>
                      <w:bCs/>
                      <w:color w:val="auto"/>
                      <w:lang w:val="en-US" w:eastAsia="zh-CN"/>
                    </w:rPr>
                    <w:t>排放变化量</w:t>
                  </w:r>
                </w:p>
              </w:tc>
              <w:tc>
                <w:tcPr>
                  <w:tcW w:w="857" w:type="pct"/>
                  <w:noWrap w:val="0"/>
                  <w:vAlign w:val="center"/>
                </w:tcPr>
                <w:p w14:paraId="363BC90A">
                  <w:pPr>
                    <w:keepNext w:val="0"/>
                    <w:keepLines w:val="0"/>
                    <w:pageBreakBefore w:val="0"/>
                    <w:widowControl/>
                    <w:suppressLineNumbers w:val="0"/>
                    <w:kinsoku/>
                    <w:wordWrap/>
                    <w:overflowPunct/>
                    <w:topLinePunct w:val="0"/>
                    <w:autoSpaceDE/>
                    <w:autoSpaceDN/>
                    <w:bidi w:val="0"/>
                    <w:jc w:val="center"/>
                    <w:rPr>
                      <w:rFonts w:hint="default"/>
                      <w:b w:val="0"/>
                      <w:bCs w:val="0"/>
                      <w:color w:val="auto"/>
                      <w:lang w:val="en-US" w:eastAsia="zh-CN"/>
                    </w:rPr>
                  </w:pPr>
                  <w:r>
                    <w:rPr>
                      <w:rFonts w:hint="eastAsia"/>
                      <w:b w:val="0"/>
                      <w:bCs w:val="0"/>
                      <w:color w:val="auto"/>
                      <w:lang w:val="en-US" w:eastAsia="zh-CN"/>
                    </w:rPr>
                    <w:t>+2.7396</w:t>
                  </w:r>
                </w:p>
              </w:tc>
              <w:tc>
                <w:tcPr>
                  <w:tcW w:w="847" w:type="pct"/>
                  <w:noWrap w:val="0"/>
                  <w:vAlign w:val="center"/>
                </w:tcPr>
                <w:p w14:paraId="2B684469">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val="0"/>
                      <w:bCs w:val="0"/>
                      <w:color w:val="FF0000"/>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-4.0074</w:t>
                  </w:r>
                </w:p>
              </w:tc>
              <w:tc>
                <w:tcPr>
                  <w:tcW w:w="857" w:type="pct"/>
                  <w:noWrap w:val="0"/>
                  <w:vAlign w:val="center"/>
                </w:tcPr>
                <w:p w14:paraId="7279549B">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
                    </w:rPr>
                    <w:t>+</w:t>
                  </w:r>
                  <w:r>
                    <w:rPr>
                      <w:rFonts w:hint="eastAsia" w:cs="Times New Roman"/>
                      <w:b w:val="0"/>
                      <w:bCs w:val="0"/>
                      <w:color w:val="auto"/>
                      <w:kern w:val="0"/>
                      <w:sz w:val="21"/>
                      <w:szCs w:val="21"/>
                      <w:highlight w:val="none"/>
                      <w:lang w:val="en-US" w:eastAsia="zh-CN" w:bidi="ar"/>
                    </w:rPr>
                    <w:t>0.2068</w:t>
                  </w:r>
                </w:p>
              </w:tc>
              <w:tc>
                <w:tcPr>
                  <w:tcW w:w="819" w:type="pct"/>
                  <w:noWrap w:val="0"/>
                  <w:vAlign w:val="center"/>
                </w:tcPr>
                <w:p w14:paraId="188F95CF">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b w:val="0"/>
                      <w:bCs w:val="0"/>
                      <w:color w:val="auto"/>
                      <w:kern w:val="0"/>
                      <w:sz w:val="21"/>
                      <w:szCs w:val="21"/>
                      <w:highlight w:val="none"/>
                      <w:lang w:val="en-US" w:eastAsia="zh-CN" w:bidi="ar"/>
                    </w:rPr>
                  </w:pPr>
                  <w:r>
                    <w:rPr>
                      <w:rFonts w:hint="eastAsia" w:cs="Times New Roman"/>
                      <w:b w:val="0"/>
                      <w:bCs w:val="0"/>
                      <w:color w:val="auto"/>
                      <w:kern w:val="0"/>
                      <w:sz w:val="21"/>
                      <w:szCs w:val="21"/>
                      <w:highlight w:val="none"/>
                      <w:lang w:val="en-US" w:eastAsia="zh-CN" w:bidi="ar"/>
                    </w:rPr>
                    <w:t>-2.518</w:t>
                  </w:r>
                </w:p>
              </w:tc>
            </w:tr>
          </w:tbl>
          <w:p w14:paraId="4EEDF30A">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bCs/>
                <w:color w:val="auto"/>
                <w:kern w:val="0"/>
                <w:sz w:val="18"/>
                <w:szCs w:val="18"/>
                <w:highlight w:val="none"/>
                <w:lang w:val="en-US" w:eastAsia="zh-CN"/>
              </w:rPr>
              <w:t>注：</w:t>
            </w:r>
            <w:r>
              <w:rPr>
                <w:rFonts w:hint="eastAsia" w:ascii="Times New Roman" w:hAnsi="Times New Roman" w:eastAsia="宋体" w:cs="Times New Roman"/>
                <w:b w:val="0"/>
                <w:bCs w:val="0"/>
                <w:color w:val="auto"/>
                <w:kern w:val="0"/>
                <w:sz w:val="18"/>
                <w:szCs w:val="18"/>
                <w:highlight w:val="none"/>
                <w:lang w:val="en-US" w:eastAsia="zh-CN"/>
              </w:rPr>
              <w:t>挥发性有机物以非甲烷总烃计。</w:t>
            </w:r>
          </w:p>
          <w:p w14:paraId="52C8A600">
            <w:pPr>
              <w:widowControl/>
              <w:adjustRightInd w:val="0"/>
              <w:snapToGrid w:val="0"/>
              <w:spacing w:line="240" w:lineRule="auto"/>
              <w:jc w:val="left"/>
              <w:rPr>
                <w:rFonts w:hint="eastAsia" w:ascii="Times New Roman" w:hAnsi="Times New Roman" w:eastAsia="宋体" w:cs="Times New Roman"/>
                <w:b w:val="0"/>
                <w:bCs w:val="0"/>
                <w:color w:val="FF0000"/>
                <w:kern w:val="0"/>
                <w:sz w:val="18"/>
                <w:szCs w:val="18"/>
                <w:highlight w:val="none"/>
                <w:lang w:val="en-US" w:eastAsia="zh-CN"/>
              </w:rPr>
            </w:pPr>
          </w:p>
          <w:p w14:paraId="3DDA222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lang w:val="en-US" w:eastAsia="zh-CN"/>
              </w:rPr>
              <w:t>总量控制指标</w:t>
            </w:r>
          </w:p>
          <w:p w14:paraId="03701E3C">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建设单位应根据本项目废气、废水和固体废物等污染物的排放量，向上级主管部门和环保部门申请各项污染物排放总量控制指标。</w:t>
            </w:r>
          </w:p>
          <w:p w14:paraId="3CD680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根据《安徽省</w:t>
            </w:r>
            <w:r>
              <w:rPr>
                <w:rFonts w:hint="eastAsia" w:ascii="宋体" w:hAnsi="宋体" w:eastAsia="宋体" w:cs="宋体"/>
                <w:color w:val="auto"/>
                <w:kern w:val="0"/>
                <w:sz w:val="24"/>
                <w:szCs w:val="24"/>
                <w:highlight w:val="none"/>
              </w:rPr>
              <w:t>“十四五”生</w:t>
            </w:r>
            <w:r>
              <w:rPr>
                <w:rFonts w:hint="default" w:ascii="Times New Roman" w:hAnsi="Times New Roman" w:eastAsia="宋体" w:cs="Times New Roman"/>
                <w:color w:val="auto"/>
                <w:kern w:val="0"/>
                <w:sz w:val="24"/>
                <w:szCs w:val="24"/>
                <w:highlight w:val="none"/>
              </w:rPr>
              <w:t>态环境保护规划》（皖环发</w:t>
            </w:r>
            <w:r>
              <w:rPr>
                <w:rFonts w:hint="eastAsia" w:cs="Times New Roman"/>
                <w:color w:val="auto"/>
                <w:kern w:val="0"/>
                <w:sz w:val="24"/>
                <w:szCs w:val="24"/>
                <w:highlight w:val="none"/>
                <w:lang w:eastAsia="zh-CN"/>
              </w:rPr>
              <w:t>〔2022〕8号</w:t>
            </w:r>
            <w:r>
              <w:rPr>
                <w:rFonts w:hint="default" w:ascii="Times New Roman" w:hAnsi="Times New Roman" w:eastAsia="宋体" w:cs="Times New Roman"/>
                <w:color w:val="auto"/>
                <w:kern w:val="0"/>
                <w:sz w:val="24"/>
                <w:szCs w:val="24"/>
                <w:highlight w:val="none"/>
              </w:rPr>
              <w:t>）文件要求，总量控制指标为</w:t>
            </w:r>
            <w:r>
              <w:rPr>
                <w:rFonts w:hint="default" w:ascii="Times New Roman" w:hAnsi="Times New Roman" w:eastAsia="宋体" w:cs="Times New Roman"/>
                <w:b/>
                <w:bCs/>
                <w:color w:val="auto"/>
                <w:kern w:val="0"/>
                <w:sz w:val="24"/>
                <w:szCs w:val="24"/>
                <w:highlight w:val="none"/>
              </w:rPr>
              <w:t>化学需氧量、氨氮、氮氧化物、挥发性有机物</w:t>
            </w:r>
            <w:r>
              <w:rPr>
                <w:rFonts w:hint="default" w:ascii="Times New Roman" w:hAnsi="Times New Roman" w:eastAsia="宋体" w:cs="Times New Roman"/>
                <w:color w:val="auto"/>
                <w:kern w:val="0"/>
                <w:sz w:val="24"/>
                <w:szCs w:val="24"/>
                <w:highlight w:val="none"/>
              </w:rPr>
              <w:t>。</w:t>
            </w:r>
          </w:p>
          <w:p w14:paraId="04FFA5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根据工程分析</w:t>
            </w:r>
            <w:r>
              <w:rPr>
                <w:rFonts w:hint="eastAsia" w:ascii="Times New Roman" w:hAnsi="Times New Roman" w:eastAsia="宋体" w:cs="Times New Roman"/>
                <w:color w:val="auto"/>
                <w:kern w:val="0"/>
                <w:sz w:val="24"/>
                <w:szCs w:val="24"/>
                <w:highlight w:val="none"/>
                <w:lang w:val="en-US" w:eastAsia="zh-CN"/>
              </w:rPr>
              <w:t>相关内容</w:t>
            </w:r>
            <w:r>
              <w:rPr>
                <w:rFonts w:hint="default" w:ascii="Times New Roman" w:hAnsi="Times New Roman" w:eastAsia="宋体" w:cs="Times New Roman"/>
                <w:color w:val="auto"/>
                <w:kern w:val="0"/>
                <w:sz w:val="24"/>
                <w:szCs w:val="24"/>
                <w:highlight w:val="none"/>
              </w:rPr>
              <w:t>，本项目</w:t>
            </w:r>
            <w:r>
              <w:rPr>
                <w:rFonts w:hint="eastAsia" w:ascii="Times New Roman" w:hAnsi="Times New Roman" w:eastAsia="宋体" w:cs="Times New Roman"/>
                <w:color w:val="auto"/>
                <w:kern w:val="0"/>
                <w:sz w:val="24"/>
                <w:szCs w:val="24"/>
                <w:highlight w:val="none"/>
                <w:lang w:eastAsia="zh-CN"/>
              </w:rPr>
              <w:t>：</w:t>
            </w:r>
          </w:p>
          <w:p w14:paraId="5FEE88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①废水接入市政污水管网，最终进入新河镇污水处理厂处理，总量纳入新河镇污水处理厂</w:t>
            </w:r>
            <w:r>
              <w:rPr>
                <w:rFonts w:hint="default" w:ascii="Times New Roman" w:hAnsi="Times New Roman" w:eastAsia="宋体" w:cs="Times New Roman"/>
                <w:color w:val="auto"/>
                <w:kern w:val="0"/>
                <w:sz w:val="24"/>
                <w:szCs w:val="24"/>
                <w:highlight w:val="none"/>
              </w:rPr>
              <w:t>，无需申请总量；</w:t>
            </w:r>
          </w:p>
          <w:p w14:paraId="06231E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②</w:t>
            </w:r>
            <w:r>
              <w:rPr>
                <w:rFonts w:hint="default" w:ascii="Times New Roman" w:hAnsi="Times New Roman" w:eastAsia="宋体" w:cs="Times New Roman"/>
                <w:color w:val="auto"/>
                <w:kern w:val="0"/>
                <w:sz w:val="24"/>
                <w:szCs w:val="24"/>
                <w:highlight w:val="none"/>
              </w:rPr>
              <w:t>废气排放主要为</w:t>
            </w:r>
            <w:r>
              <w:rPr>
                <w:rFonts w:hint="default" w:ascii="Times New Roman" w:hAnsi="Times New Roman" w:eastAsia="宋体" w:cs="Times New Roman"/>
                <w:b/>
                <w:bCs/>
                <w:color w:val="auto"/>
                <w:kern w:val="0"/>
                <w:sz w:val="24"/>
                <w:szCs w:val="24"/>
                <w:highlight w:val="none"/>
              </w:rPr>
              <w:t>挥发性有机物</w:t>
            </w:r>
            <w:r>
              <w:rPr>
                <w:rFonts w:hint="eastAsia" w:ascii="Times New Roman" w:hAnsi="Times New Roman" w:eastAsia="宋体" w:cs="Times New Roman"/>
                <w:b/>
                <w:bCs/>
                <w:color w:val="auto"/>
                <w:kern w:val="0"/>
                <w:sz w:val="24"/>
                <w:szCs w:val="24"/>
                <w:highlight w:val="none"/>
                <w:lang w:eastAsia="zh-CN"/>
              </w:rPr>
              <w:t>、</w:t>
            </w:r>
            <w:r>
              <w:rPr>
                <w:rFonts w:hint="eastAsia" w:cs="Times New Roman"/>
                <w:b/>
                <w:bCs/>
                <w:color w:val="auto"/>
                <w:kern w:val="0"/>
                <w:sz w:val="24"/>
                <w:szCs w:val="24"/>
                <w:highlight w:val="none"/>
                <w:lang w:val="en-US" w:eastAsia="zh-CN"/>
              </w:rPr>
              <w:t>烟粉尘</w:t>
            </w:r>
            <w:r>
              <w:rPr>
                <w:rFonts w:hint="eastAsia" w:ascii="Times New Roman" w:hAnsi="Times New Roman" w:eastAsia="宋体" w:cs="Times New Roman"/>
                <w:b/>
                <w:bCs/>
                <w:color w:val="auto"/>
                <w:kern w:val="0"/>
                <w:sz w:val="24"/>
                <w:szCs w:val="24"/>
                <w:highlight w:val="none"/>
                <w:lang w:eastAsia="zh-CN"/>
              </w:rPr>
              <w:t>，</w:t>
            </w:r>
            <w:r>
              <w:rPr>
                <w:rFonts w:hint="eastAsia" w:ascii="Times New Roman" w:hAnsi="Times New Roman" w:eastAsia="宋体" w:cs="Times New Roman"/>
                <w:b w:val="0"/>
                <w:bCs w:val="0"/>
                <w:color w:val="auto"/>
                <w:kern w:val="0"/>
                <w:sz w:val="24"/>
                <w:szCs w:val="24"/>
                <w:highlight w:val="none"/>
                <w:lang w:val="en-US" w:eastAsia="zh-CN"/>
              </w:rPr>
              <w:t>其中：</w:t>
            </w:r>
          </w:p>
          <w:p w14:paraId="119813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现有项目已审批</w:t>
            </w:r>
            <w:r>
              <w:rPr>
                <w:rFonts w:hint="default" w:ascii="Times New Roman" w:hAnsi="Times New Roman" w:eastAsia="宋体" w:cs="Times New Roman"/>
                <w:color w:val="auto"/>
                <w:kern w:val="0"/>
                <w:sz w:val="24"/>
                <w:szCs w:val="24"/>
                <w:highlight w:val="none"/>
              </w:rPr>
              <w:t>排放污染物</w:t>
            </w:r>
            <w:r>
              <w:rPr>
                <w:rFonts w:hint="eastAsia" w:ascii="Times New Roman" w:hAnsi="Times New Roman" w:eastAsia="宋体" w:cs="Times New Roman"/>
                <w:color w:val="auto"/>
                <w:kern w:val="0"/>
                <w:sz w:val="24"/>
                <w:szCs w:val="24"/>
                <w:highlight w:val="none"/>
                <w:lang w:val="en-US" w:eastAsia="zh-CN"/>
              </w:rPr>
              <w:t>总量</w:t>
            </w:r>
            <w:r>
              <w:rPr>
                <w:rFonts w:hint="eastAsia" w:ascii="Times New Roman" w:hAnsi="Times New Roman" w:eastAsia="宋体" w:cs="Times New Roman"/>
                <w:color w:val="auto"/>
                <w:spacing w:val="0"/>
                <w:sz w:val="24"/>
                <w:szCs w:val="24"/>
                <w:highlight w:val="none"/>
                <w:lang w:val="en-US" w:eastAsia="zh-CN"/>
              </w:rPr>
              <w:t>：</w:t>
            </w:r>
            <w:r>
              <w:rPr>
                <w:rFonts w:hint="eastAsia" w:cs="Times New Roman"/>
                <w:color w:val="auto"/>
                <w:spacing w:val="0"/>
                <w:sz w:val="24"/>
                <w:szCs w:val="24"/>
                <w:highlight w:val="none"/>
                <w:lang w:val="en-US" w:eastAsia="zh-CN"/>
              </w:rPr>
              <w:t>烟粉尘0.816</w:t>
            </w:r>
            <w:r>
              <w:rPr>
                <w:rFonts w:hint="eastAsia" w:ascii="Times New Roman" w:hAnsi="Times New Roman" w:eastAsia="宋体" w:cs="Times New Roman"/>
                <w:color w:val="auto"/>
                <w:spacing w:val="0"/>
                <w:sz w:val="24"/>
                <w:szCs w:val="24"/>
                <w:highlight w:val="none"/>
                <w:lang w:val="en-US" w:eastAsia="zh-CN"/>
              </w:rPr>
              <w:t>t/a；</w:t>
            </w:r>
          </w:p>
          <w:p w14:paraId="693FD0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FF0000"/>
                <w:kern w:val="0"/>
                <w:sz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本次技改项目建成后全厂</w:t>
            </w:r>
            <w:r>
              <w:rPr>
                <w:rFonts w:hint="default" w:ascii="Times New Roman" w:hAnsi="Times New Roman" w:eastAsia="宋体" w:cs="Times New Roman"/>
                <w:color w:val="auto"/>
                <w:kern w:val="0"/>
                <w:sz w:val="24"/>
                <w:szCs w:val="24"/>
                <w:highlight w:val="none"/>
              </w:rPr>
              <w:t>排放污染物</w:t>
            </w:r>
            <w:r>
              <w:rPr>
                <w:rFonts w:hint="eastAsia" w:ascii="Times New Roman" w:hAnsi="Times New Roman" w:eastAsia="宋体" w:cs="Times New Roman"/>
                <w:color w:val="auto"/>
                <w:kern w:val="0"/>
                <w:sz w:val="24"/>
                <w:szCs w:val="24"/>
                <w:highlight w:val="none"/>
                <w:lang w:val="en-US" w:eastAsia="zh-CN"/>
              </w:rPr>
              <w:t>总量</w:t>
            </w:r>
            <w:r>
              <w:rPr>
                <w:rFonts w:hint="eastAsia" w:ascii="Times New Roman" w:hAnsi="Times New Roman" w:eastAsia="宋体" w:cs="Times New Roman"/>
                <w:color w:val="auto"/>
                <w:spacing w:val="0"/>
                <w:sz w:val="24"/>
                <w:szCs w:val="24"/>
                <w:highlight w:val="none"/>
                <w:lang w:val="en-US" w:eastAsia="zh-CN"/>
              </w:rPr>
              <w:t>：</w:t>
            </w:r>
            <w:r>
              <w:rPr>
                <w:rFonts w:hint="eastAsia" w:cs="Times New Roman"/>
                <w:color w:val="auto"/>
                <w:spacing w:val="0"/>
                <w:sz w:val="24"/>
                <w:szCs w:val="24"/>
                <w:highlight w:val="none"/>
                <w:lang w:val="en-US" w:eastAsia="zh-CN"/>
              </w:rPr>
              <w:t>烟粉尘</w:t>
            </w:r>
            <w:r>
              <w:rPr>
                <w:rFonts w:hint="eastAsia" w:ascii="Times New Roman" w:hAnsi="Times New Roman" w:eastAsia="宋体" w:cs="Times New Roman"/>
                <w:color w:val="auto"/>
                <w:spacing w:val="0"/>
                <w:sz w:val="24"/>
                <w:szCs w:val="24"/>
                <w:highlight w:val="none"/>
                <w:lang w:val="en-US" w:eastAsia="zh-CN"/>
              </w:rPr>
              <w:t>（有组织）</w:t>
            </w:r>
            <w:r>
              <w:rPr>
                <w:rFonts w:hint="eastAsia" w:cs="Times New Roman"/>
                <w:color w:val="auto"/>
                <w:spacing w:val="0"/>
                <w:sz w:val="24"/>
                <w:szCs w:val="24"/>
                <w:highlight w:val="none"/>
                <w:lang w:val="en-US" w:eastAsia="zh-CN"/>
              </w:rPr>
              <w:t>3.5556</w:t>
            </w:r>
            <w:r>
              <w:rPr>
                <w:rFonts w:hint="eastAsia" w:ascii="Times New Roman" w:hAnsi="Times New Roman" w:eastAsia="宋体" w:cs="Times New Roman"/>
                <w:color w:val="auto"/>
                <w:spacing w:val="0"/>
                <w:sz w:val="24"/>
                <w:szCs w:val="24"/>
                <w:highlight w:val="none"/>
                <w:lang w:val="en-US" w:eastAsia="zh-CN"/>
              </w:rPr>
              <w:t>/a、非甲烷总烃（有组织）0.2</w:t>
            </w:r>
            <w:r>
              <w:rPr>
                <w:rFonts w:hint="eastAsia" w:cs="Times New Roman"/>
                <w:color w:val="auto"/>
                <w:spacing w:val="0"/>
                <w:sz w:val="24"/>
                <w:szCs w:val="24"/>
                <w:highlight w:val="none"/>
                <w:lang w:val="en-US" w:eastAsia="zh-CN"/>
              </w:rPr>
              <w:t>068</w:t>
            </w:r>
            <w:r>
              <w:rPr>
                <w:rFonts w:hint="eastAsia" w:ascii="Times New Roman" w:hAnsi="Times New Roman" w:eastAsia="宋体" w:cs="Times New Roman"/>
                <w:color w:val="auto"/>
                <w:spacing w:val="0"/>
                <w:sz w:val="24"/>
                <w:szCs w:val="24"/>
                <w:highlight w:val="none"/>
                <w:lang w:val="en-US" w:eastAsia="zh-CN"/>
              </w:rPr>
              <w:t>t/a；技改后，本项目</w:t>
            </w:r>
            <w:r>
              <w:rPr>
                <w:rFonts w:hint="eastAsia" w:cs="Times New Roman"/>
                <w:color w:val="auto"/>
                <w:spacing w:val="0"/>
                <w:sz w:val="24"/>
                <w:szCs w:val="24"/>
                <w:highlight w:val="none"/>
                <w:lang w:val="en-US" w:eastAsia="zh-CN"/>
              </w:rPr>
              <w:t>需</w:t>
            </w:r>
            <w:r>
              <w:rPr>
                <w:rFonts w:hint="eastAsia" w:ascii="Times New Roman" w:hAnsi="Times New Roman" w:eastAsia="宋体" w:cs="Times New Roman"/>
                <w:color w:val="auto"/>
                <w:spacing w:val="0"/>
                <w:sz w:val="24"/>
                <w:szCs w:val="24"/>
                <w:highlight w:val="none"/>
                <w:lang w:val="en-US" w:eastAsia="zh-CN"/>
              </w:rPr>
              <w:t>申请</w:t>
            </w:r>
            <w:r>
              <w:rPr>
                <w:rFonts w:hint="eastAsia" w:cs="Times New Roman"/>
                <w:color w:val="auto"/>
                <w:spacing w:val="0"/>
                <w:sz w:val="24"/>
                <w:szCs w:val="24"/>
                <w:highlight w:val="none"/>
                <w:lang w:val="en-US" w:eastAsia="zh-CN"/>
              </w:rPr>
              <w:t>新增</w:t>
            </w:r>
            <w:r>
              <w:rPr>
                <w:rFonts w:hint="eastAsia" w:ascii="Times New Roman" w:hAnsi="Times New Roman" w:eastAsia="宋体" w:cs="Times New Roman"/>
                <w:color w:val="auto"/>
                <w:spacing w:val="0"/>
                <w:sz w:val="24"/>
                <w:szCs w:val="24"/>
                <w:highlight w:val="none"/>
                <w:lang w:val="en-US" w:eastAsia="zh-CN"/>
              </w:rPr>
              <w:t>总量</w:t>
            </w:r>
            <w:r>
              <w:rPr>
                <w:rFonts w:hint="eastAsia" w:cs="Times New Roman"/>
                <w:color w:val="auto"/>
                <w:spacing w:val="0"/>
                <w:sz w:val="24"/>
                <w:szCs w:val="24"/>
                <w:highlight w:val="none"/>
                <w:lang w:val="en-US" w:eastAsia="zh-CN"/>
              </w:rPr>
              <w:t>，烟粉尘</w:t>
            </w:r>
            <w:r>
              <w:rPr>
                <w:rFonts w:hint="eastAsia" w:ascii="Times New Roman" w:hAnsi="Times New Roman" w:eastAsia="宋体" w:cs="Times New Roman"/>
                <w:color w:val="auto"/>
                <w:spacing w:val="0"/>
                <w:sz w:val="24"/>
                <w:szCs w:val="24"/>
                <w:highlight w:val="none"/>
                <w:lang w:val="en-US" w:eastAsia="zh-CN"/>
              </w:rPr>
              <w:t>（有组织）</w:t>
            </w:r>
            <w:r>
              <w:rPr>
                <w:rFonts w:hint="eastAsia" w:cs="Times New Roman"/>
                <w:color w:val="auto"/>
                <w:spacing w:val="0"/>
                <w:sz w:val="24"/>
                <w:szCs w:val="24"/>
                <w:highlight w:val="none"/>
                <w:lang w:val="en-US" w:eastAsia="zh-CN"/>
              </w:rPr>
              <w:t>2.6356</w:t>
            </w:r>
            <w:r>
              <w:rPr>
                <w:rFonts w:hint="eastAsia" w:ascii="Times New Roman" w:hAnsi="Times New Roman" w:eastAsia="宋体" w:cs="Times New Roman"/>
                <w:color w:val="auto"/>
                <w:spacing w:val="0"/>
                <w:sz w:val="24"/>
                <w:szCs w:val="24"/>
                <w:highlight w:val="none"/>
                <w:lang w:val="en-US" w:eastAsia="zh-CN"/>
              </w:rPr>
              <w:t>/a、非甲烷总烃（有组织）0.2068t/a。</w:t>
            </w:r>
          </w:p>
        </w:tc>
      </w:tr>
    </w:tbl>
    <w:p w14:paraId="7DFD8512">
      <w:pPr>
        <w:pStyle w:val="31"/>
        <w:jc w:val="center"/>
        <w:outlineLvl w:val="0"/>
        <w:rPr>
          <w:rFonts w:ascii="Times New Roman" w:hAnsi="Times New Roman" w:eastAsia="黑体"/>
          <w:snapToGrid w:val="0"/>
          <w:color w:val="FF0000"/>
          <w:sz w:val="36"/>
          <w:szCs w:val="36"/>
          <w:highlight w:val="none"/>
        </w:rPr>
        <w:sectPr>
          <w:pgSz w:w="11907" w:h="16840"/>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p w14:paraId="50D03CF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0" w:firstLineChars="0"/>
        <w:jc w:val="center"/>
        <w:textAlignment w:val="auto"/>
        <w:outlineLvl w:val="0"/>
        <w:rPr>
          <w:rFonts w:hint="eastAsia" w:ascii="Times New Roman" w:hAnsi="Times New Roman" w:eastAsia="宋体" w:cs="Times New Roman"/>
          <w:b/>
          <w:bCs/>
          <w:color w:val="auto"/>
          <w:kern w:val="2"/>
          <w:sz w:val="30"/>
          <w:szCs w:val="30"/>
          <w:lang w:val="en-US" w:eastAsia="zh-CN"/>
        </w:rPr>
      </w:pPr>
      <w:bookmarkStart w:id="7" w:name="_Toc8866"/>
      <w:r>
        <w:rPr>
          <w:rFonts w:hint="eastAsia" w:ascii="Times New Roman" w:hAnsi="Times New Roman" w:eastAsia="宋体" w:cs="Times New Roman"/>
          <w:b/>
          <w:bCs/>
          <w:color w:val="auto"/>
          <w:kern w:val="2"/>
          <w:sz w:val="30"/>
          <w:szCs w:val="30"/>
          <w:lang w:val="en-US" w:eastAsia="zh-CN"/>
        </w:rPr>
        <w:t>四、主要环境影响和保护措施</w:t>
      </w:r>
      <w:bookmarkEnd w:id="7"/>
    </w:p>
    <w:tbl>
      <w:tblPr>
        <w:tblStyle w:val="36"/>
        <w:tblW w:w="5043"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23"/>
        <w:gridCol w:w="8965"/>
      </w:tblGrid>
      <w:tr w14:paraId="1F5447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74" w:type="pct"/>
            <w:noWrap w:val="0"/>
            <w:tcMar>
              <w:left w:w="28" w:type="dxa"/>
              <w:right w:w="28" w:type="dxa"/>
            </w:tcMar>
            <w:vAlign w:val="center"/>
          </w:tcPr>
          <w:p w14:paraId="0ADDD57D">
            <w:pPr>
              <w:pStyle w:val="31"/>
              <w:adjustRightInd w:val="0"/>
              <w:snapToGrid w:val="0"/>
              <w:spacing w:before="0" w:beforeAutospacing="0" w:after="0" w:afterAutospacing="0"/>
              <w:jc w:val="center"/>
              <w:rPr>
                <w:rFonts w:hint="default" w:ascii="Times New Roman" w:hAnsi="Times New Roman" w:cs="Times New Roman"/>
                <w:b/>
                <w:bCs/>
                <w:color w:val="auto"/>
                <w:kern w:val="2"/>
                <w:szCs w:val="24"/>
                <w:highlight w:val="none"/>
              </w:rPr>
            </w:pPr>
            <w:r>
              <w:rPr>
                <w:rFonts w:hint="default" w:ascii="Times New Roman" w:hAnsi="Times New Roman" w:cs="Times New Roman"/>
                <w:b/>
                <w:bCs/>
                <w:color w:val="auto"/>
                <w:kern w:val="2"/>
                <w:szCs w:val="24"/>
                <w:highlight w:val="none"/>
              </w:rPr>
              <w:t>施工期环境保护措施</w:t>
            </w:r>
          </w:p>
        </w:tc>
        <w:tc>
          <w:tcPr>
            <w:tcW w:w="4825" w:type="pct"/>
            <w:noWrap w:val="0"/>
            <w:vAlign w:val="center"/>
          </w:tcPr>
          <w:p w14:paraId="4427F2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olor w:val="auto"/>
                <w:sz w:val="24"/>
                <w:szCs w:val="32"/>
                <w:highlight w:val="none"/>
                <w:lang w:val="en-US" w:eastAsia="zh-CN"/>
              </w:rPr>
            </w:pPr>
            <w:bookmarkStart w:id="8" w:name="OLE_LINK68"/>
            <w:r>
              <w:rPr>
                <w:rFonts w:hint="eastAsia" w:ascii="Times New Roman" w:hAnsi="Times New Roman" w:cs="Times New Roman"/>
                <w:bCs/>
                <w:color w:val="auto"/>
                <w:sz w:val="24"/>
                <w:highlight w:val="none"/>
                <w:lang w:val="en-US" w:eastAsia="zh-CN"/>
              </w:rPr>
              <w:t>本次</w:t>
            </w:r>
            <w:r>
              <w:rPr>
                <w:rFonts w:hint="eastAsia" w:ascii="Times New Roman" w:hAnsi="Times New Roman" w:cs="Times New Roman"/>
                <w:bCs/>
                <w:color w:val="auto"/>
                <w:sz w:val="24"/>
                <w:highlight w:val="none"/>
                <w:lang w:eastAsia="zh-CN"/>
              </w:rPr>
              <w:t>技术改造项目</w:t>
            </w:r>
            <w:r>
              <w:rPr>
                <w:rFonts w:hint="eastAsia" w:ascii="Times New Roman" w:hAnsi="Times New Roman"/>
                <w:color w:val="auto"/>
                <w:sz w:val="24"/>
                <w:szCs w:val="32"/>
                <w:highlight w:val="none"/>
                <w:lang w:val="en-US" w:eastAsia="zh-CN"/>
              </w:rPr>
              <w:t>系依托</w:t>
            </w:r>
            <w:r>
              <w:rPr>
                <w:rFonts w:hint="eastAsia" w:ascii="Times New Roman" w:hAnsi="Times New Roman" w:cs="Times New Roman"/>
                <w:color w:val="auto"/>
                <w:sz w:val="24"/>
                <w:szCs w:val="24"/>
                <w:highlight w:val="none"/>
                <w:lang w:eastAsia="zh-CN"/>
              </w:rPr>
              <w:t>池州市锋达金属铸造有限公司</w:t>
            </w:r>
            <w:r>
              <w:rPr>
                <w:rFonts w:hint="eastAsia" w:ascii="Times New Roman" w:hAnsi="Times New Roman" w:cs="Times New Roman"/>
                <w:bCs/>
                <w:color w:val="auto"/>
                <w:sz w:val="24"/>
                <w:highlight w:val="none"/>
                <w:lang w:val="en-US" w:eastAsia="zh-CN"/>
              </w:rPr>
              <w:t>现状厂房建设</w:t>
            </w:r>
            <w:r>
              <w:rPr>
                <w:rFonts w:hint="eastAsia" w:ascii="Times New Roman" w:hAnsi="Times New Roman" w:cs="Times New Roman"/>
                <w:b w:val="0"/>
                <w:bCs/>
                <w:color w:val="auto"/>
                <w:kern w:val="2"/>
                <w:sz w:val="24"/>
                <w:szCs w:val="32"/>
                <w:highlight w:val="none"/>
                <w:lang w:val="en-US" w:eastAsia="zh-CN"/>
              </w:rPr>
              <w:t>。</w:t>
            </w:r>
            <w:r>
              <w:rPr>
                <w:rFonts w:hint="eastAsia" w:ascii="Times New Roman" w:hAnsi="Times New Roman"/>
                <w:color w:val="auto"/>
                <w:sz w:val="24"/>
                <w:szCs w:val="32"/>
                <w:highlight w:val="none"/>
                <w:lang w:val="en-US" w:eastAsia="zh-CN"/>
              </w:rPr>
              <w:t>项目施工过程主要为生产设备的安装及调试、厂房装修等。项目施工期产生的污染物较少，由于施工期较短，产生的影响随装修的结束而结束，对环境产生的影响较小。</w:t>
            </w:r>
          </w:p>
          <w:p w14:paraId="29CB2814">
            <w:pPr>
              <w:adjustRightInd w:val="0"/>
              <w:snapToGrid w:val="0"/>
              <w:spacing w:line="360" w:lineRule="auto"/>
              <w:ind w:firstLine="480" w:firstLineChars="200"/>
              <w:rPr>
                <w:rFonts w:hint="default" w:ascii="Times New Roman" w:hAnsi="Times New Roman" w:cs="Times New Roman"/>
                <w:bCs/>
                <w:color w:val="auto"/>
                <w:spacing w:val="-10"/>
                <w:sz w:val="24"/>
                <w:highlight w:val="none"/>
              </w:rPr>
            </w:pPr>
            <w:r>
              <w:rPr>
                <w:rFonts w:hint="eastAsia" w:ascii="Times New Roman" w:hAnsi="Times New Roman"/>
                <w:color w:val="auto"/>
                <w:sz w:val="24"/>
                <w:szCs w:val="32"/>
                <w:highlight w:val="none"/>
                <w:lang w:val="en-US" w:eastAsia="zh-CN"/>
              </w:rPr>
              <w:t>故本次环评不对施工期进行具体分析</w:t>
            </w:r>
            <w:r>
              <w:rPr>
                <w:rFonts w:hint="default" w:ascii="Times New Roman" w:hAnsi="Times New Roman" w:cs="Times New Roman"/>
                <w:color w:val="auto"/>
                <w:sz w:val="24"/>
                <w:highlight w:val="none"/>
              </w:rPr>
              <w:t>。</w:t>
            </w:r>
            <w:bookmarkEnd w:id="8"/>
          </w:p>
        </w:tc>
      </w:tr>
      <w:tr w14:paraId="282ABF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74" w:type="pct"/>
            <w:noWrap w:val="0"/>
            <w:tcMar>
              <w:left w:w="28" w:type="dxa"/>
              <w:right w:w="28" w:type="dxa"/>
            </w:tcMar>
            <w:vAlign w:val="center"/>
          </w:tcPr>
          <w:p w14:paraId="67B7E571">
            <w:pPr>
              <w:adjustRightInd w:val="0"/>
              <w:snapToGrid w:val="0"/>
              <w:jc w:val="center"/>
              <w:rPr>
                <w:rFonts w:hint="default" w:ascii="Times New Roman" w:hAnsi="Times New Roman" w:cs="Times New Roman"/>
                <w:b/>
                <w:bCs/>
                <w:color w:val="FF0000"/>
                <w:kern w:val="2"/>
                <w:sz w:val="24"/>
                <w:szCs w:val="24"/>
                <w:highlight w:val="none"/>
                <w:lang w:val="en-US" w:eastAsia="zh-CN" w:bidi="ar-SA"/>
              </w:rPr>
            </w:pPr>
            <w:r>
              <w:rPr>
                <w:rFonts w:hint="default" w:ascii="Times New Roman" w:hAnsi="Times New Roman" w:cs="Times New Roman"/>
                <w:b/>
                <w:bCs/>
                <w:color w:val="auto"/>
                <w:sz w:val="24"/>
                <w:szCs w:val="24"/>
                <w:highlight w:val="none"/>
              </w:rPr>
              <w:t>运营期环境影响和保护措施</w:t>
            </w:r>
          </w:p>
        </w:tc>
        <w:tc>
          <w:tcPr>
            <w:tcW w:w="4825" w:type="pct"/>
            <w:noWrap w:val="0"/>
            <w:vAlign w:val="center"/>
          </w:tcPr>
          <w:p w14:paraId="79EB8A1C">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lang w:val="en-US" w:eastAsia="zh-CN"/>
              </w:rPr>
              <w:t>废气环境影响和保护措施分析</w:t>
            </w:r>
          </w:p>
          <w:p w14:paraId="65A2273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（1）废气源强分析</w:t>
            </w:r>
          </w:p>
          <w:p w14:paraId="6D5EA8CF">
            <w:pPr>
              <w:pStyle w:val="2"/>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本</w:t>
            </w:r>
            <w:r>
              <w:rPr>
                <w:rFonts w:hint="eastAsia" w:ascii="Times New Roman" w:hAnsi="Times New Roman" w:eastAsia="宋体" w:cs="Times New Roman"/>
                <w:b w:val="0"/>
                <w:bCs w:val="0"/>
                <w:color w:val="auto"/>
                <w:kern w:val="2"/>
                <w:sz w:val="24"/>
                <w:szCs w:val="24"/>
                <w:highlight w:val="none"/>
                <w:lang w:val="en-US" w:eastAsia="zh-CN" w:bidi="ar-SA"/>
              </w:rPr>
              <w:t>项目废气主要为：熔化废气（G1）、</w:t>
            </w:r>
            <w:r>
              <w:rPr>
                <w:rFonts w:hint="eastAsia" w:ascii="Times New Roman" w:hAnsi="Times New Roman" w:cs="Times New Roman"/>
                <w:b w:val="0"/>
                <w:bCs w:val="0"/>
                <w:color w:val="auto"/>
                <w:kern w:val="2"/>
                <w:sz w:val="24"/>
                <w:szCs w:val="24"/>
                <w:highlight w:val="none"/>
                <w:lang w:val="en-US" w:eastAsia="zh-CN" w:bidi="ar-SA"/>
              </w:rPr>
              <w:t>砂处理废气（G2）、打磨粉尘（G3）、制芯（射芯）</w:t>
            </w:r>
            <w:r>
              <w:rPr>
                <w:rFonts w:hint="eastAsia" w:ascii="Times New Roman" w:hAnsi="Times New Roman" w:eastAsia="宋体" w:cs="Times New Roman"/>
                <w:b w:val="0"/>
                <w:bCs w:val="0"/>
                <w:color w:val="auto"/>
                <w:kern w:val="2"/>
                <w:sz w:val="24"/>
                <w:szCs w:val="24"/>
                <w:highlight w:val="none"/>
                <w:lang w:val="en-US" w:eastAsia="zh-CN" w:bidi="ar-SA"/>
              </w:rPr>
              <w:t>废气（G</w:t>
            </w:r>
            <w:r>
              <w:rPr>
                <w:rFonts w:hint="eastAsia" w:ascii="Times New Roman" w:hAnsi="Times New Roman" w:cs="Times New Roman"/>
                <w:b w:val="0"/>
                <w:bCs w:val="0"/>
                <w:color w:val="auto"/>
                <w:kern w:val="2"/>
                <w:sz w:val="24"/>
                <w:szCs w:val="24"/>
                <w:highlight w:val="none"/>
                <w:lang w:val="en-US" w:eastAsia="zh-CN" w:bidi="ar-SA"/>
              </w:rPr>
              <w:t>4</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eastAsia" w:ascii="Times New Roman" w:hAnsi="Times New Roman" w:cs="Times New Roman"/>
                <w:b w:val="0"/>
                <w:bCs w:val="0"/>
                <w:color w:val="auto"/>
                <w:kern w:val="2"/>
                <w:sz w:val="24"/>
                <w:szCs w:val="24"/>
                <w:highlight w:val="none"/>
                <w:lang w:val="en-US" w:eastAsia="zh-CN" w:bidi="ar-SA"/>
              </w:rPr>
              <w:t>造型/</w:t>
            </w:r>
            <w:r>
              <w:rPr>
                <w:rFonts w:hint="eastAsia" w:ascii="Times New Roman" w:hAnsi="Times New Roman" w:eastAsia="宋体" w:cs="Times New Roman"/>
                <w:b w:val="0"/>
                <w:bCs w:val="0"/>
                <w:color w:val="auto"/>
                <w:kern w:val="2"/>
                <w:sz w:val="24"/>
                <w:szCs w:val="24"/>
                <w:highlight w:val="none"/>
                <w:lang w:val="en-US" w:eastAsia="zh-CN" w:bidi="ar-SA"/>
              </w:rPr>
              <w:t>浇铸废气（G</w:t>
            </w:r>
            <w:r>
              <w:rPr>
                <w:rFonts w:hint="eastAsia" w:ascii="Times New Roman" w:hAnsi="Times New Roman" w:cs="Times New Roman"/>
                <w:b w:val="0"/>
                <w:bCs w:val="0"/>
                <w:color w:val="auto"/>
                <w:kern w:val="2"/>
                <w:sz w:val="24"/>
                <w:szCs w:val="24"/>
                <w:highlight w:val="none"/>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eastAsia" w:ascii="Times New Roman" w:hAnsi="Times New Roman" w:cs="Times New Roman"/>
                <w:b w:val="0"/>
                <w:bCs w:val="0"/>
                <w:color w:val="auto"/>
                <w:kern w:val="2"/>
                <w:sz w:val="24"/>
                <w:szCs w:val="24"/>
                <w:highlight w:val="none"/>
                <w:lang w:val="en-US" w:eastAsia="zh-CN" w:bidi="ar-SA"/>
              </w:rPr>
              <w:t>抛丸</w:t>
            </w:r>
            <w:r>
              <w:rPr>
                <w:rFonts w:hint="eastAsia" w:ascii="Times New Roman" w:hAnsi="Times New Roman" w:eastAsia="宋体" w:cs="Times New Roman"/>
                <w:b w:val="0"/>
                <w:bCs w:val="0"/>
                <w:color w:val="auto"/>
                <w:kern w:val="2"/>
                <w:sz w:val="24"/>
                <w:szCs w:val="24"/>
                <w:highlight w:val="none"/>
                <w:lang w:val="en-US" w:eastAsia="zh-CN" w:bidi="ar-SA"/>
              </w:rPr>
              <w:t>粉尘（G</w:t>
            </w:r>
            <w:r>
              <w:rPr>
                <w:rFonts w:hint="eastAsia" w:ascii="Times New Roman" w:hAnsi="Times New Roman" w:cs="Times New Roman"/>
                <w:b w:val="0"/>
                <w:bCs w:val="0"/>
                <w:color w:val="auto"/>
                <w:kern w:val="2"/>
                <w:sz w:val="24"/>
                <w:szCs w:val="24"/>
                <w:highlight w:val="none"/>
                <w:lang w:val="en-US" w:eastAsia="zh-CN" w:bidi="ar-SA"/>
              </w:rPr>
              <w:t>6</w:t>
            </w:r>
            <w:r>
              <w:rPr>
                <w:rFonts w:hint="eastAsia" w:ascii="Times New Roman" w:hAnsi="Times New Roman" w:eastAsia="宋体" w:cs="Times New Roman"/>
                <w:b w:val="0"/>
                <w:bCs w:val="0"/>
                <w:color w:val="auto"/>
                <w:kern w:val="2"/>
                <w:sz w:val="24"/>
                <w:szCs w:val="24"/>
                <w:highlight w:val="none"/>
                <w:lang w:val="en-US" w:eastAsia="zh-CN" w:bidi="ar-SA"/>
              </w:rPr>
              <w:t>）。</w:t>
            </w:r>
          </w:p>
          <w:p w14:paraId="152D144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①熔化废气（G1）</w:t>
            </w:r>
          </w:p>
          <w:p w14:paraId="3482C2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项目</w:t>
            </w:r>
            <w:r>
              <w:rPr>
                <w:rFonts w:hint="eastAsia" w:ascii="Times New Roman" w:hAnsi="Times New Roman" w:eastAsia="宋体" w:cs="Times New Roman"/>
                <w:color w:val="auto"/>
                <w:sz w:val="24"/>
                <w:szCs w:val="32"/>
                <w:highlight w:val="none"/>
                <w:lang w:val="en-US" w:eastAsia="zh-CN"/>
              </w:rPr>
              <w:t>中频感应电炉工作过程中会产生</w:t>
            </w:r>
            <w:r>
              <w:rPr>
                <w:rFonts w:hint="default" w:ascii="Times New Roman" w:hAnsi="Times New Roman" w:eastAsia="宋体" w:cs="Times New Roman"/>
                <w:color w:val="auto"/>
                <w:sz w:val="24"/>
                <w:szCs w:val="32"/>
                <w:highlight w:val="none"/>
                <w:lang w:val="en-US" w:eastAsia="zh-CN"/>
              </w:rPr>
              <w:t>熔化废气，主要污染物为颗粒物</w:t>
            </w:r>
            <w:r>
              <w:rPr>
                <w:rFonts w:hint="eastAsia" w:ascii="Times New Roman" w:hAnsi="Times New Roman" w:eastAsia="宋体" w:cs="Times New Roman"/>
                <w:color w:val="auto"/>
                <w:sz w:val="24"/>
                <w:szCs w:val="32"/>
                <w:highlight w:val="none"/>
                <w:lang w:val="en-US" w:eastAsia="zh-CN"/>
              </w:rPr>
              <w:t>。考虑到企业实际生产过程中会有少量不合格品、废浇冒口、边角料回用，可能会沾染少量杂质，在熔化过程中产生少量挥发性有机物，类比企业现有项目熔化废气排放情况，此过程中产生的挥发性有机物量极少，且经查阅相关技术手册，未找到相关排污系数，故本次环评对熔化废气中挥发性有机物产生情况仅定性分析，不予定量分析</w:t>
            </w:r>
            <w:r>
              <w:rPr>
                <w:rFonts w:hint="default" w:ascii="Times New Roman" w:hAnsi="Times New Roman" w:eastAsia="宋体" w:cs="Times New Roman"/>
                <w:color w:val="auto"/>
                <w:sz w:val="24"/>
                <w:szCs w:val="32"/>
                <w:highlight w:val="none"/>
                <w:lang w:val="en-US" w:eastAsia="zh-CN"/>
              </w:rPr>
              <w:t>。</w:t>
            </w:r>
          </w:p>
          <w:p w14:paraId="77A704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根据《排放源统计调查产排污核算方法和系数手册》“33-37,431-434机械行业系数手册”中的“铸造环节</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生铁、废钢、铁合金、中间合金锭、石灰石、增碳剂、电解铜原料</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熔炼（感应电炉/电阻炉及其他）工艺</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所有规模”颗粒物产生系数0.479千克/吨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产品。则本次技改项目新增熔化废气颗粒物产生量为：</w:t>
            </w:r>
          </w:p>
          <w:p w14:paraId="3C7CF2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0.479千克/吨-产品×1000</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t/a=4</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79t/a</w:t>
            </w:r>
          </w:p>
          <w:p w14:paraId="1C1A6C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根据</w:t>
            </w:r>
            <w:r>
              <w:rPr>
                <w:rFonts w:hint="eastAsia" w:ascii="Times New Roman" w:hAnsi="Times New Roman" w:eastAsia="宋体" w:cs="Times New Roman"/>
                <w:color w:val="auto"/>
                <w:sz w:val="24"/>
                <w:szCs w:val="32"/>
                <w:highlight w:val="none"/>
                <w:lang w:val="en-US" w:eastAsia="zh-CN"/>
              </w:rPr>
              <w:t>企业提供的资料，现有项目熔化</w:t>
            </w:r>
            <w:r>
              <w:rPr>
                <w:rFonts w:hint="default" w:ascii="Times New Roman" w:hAnsi="Times New Roman" w:eastAsia="宋体" w:cs="Times New Roman"/>
                <w:color w:val="auto"/>
                <w:sz w:val="24"/>
                <w:szCs w:val="32"/>
                <w:highlight w:val="none"/>
              </w:rPr>
              <w:t>废气经</w:t>
            </w:r>
            <w:r>
              <w:rPr>
                <w:rFonts w:hint="eastAsia" w:ascii="Times New Roman" w:hAnsi="Times New Roman" w:eastAsia="宋体" w:cs="Times New Roman"/>
                <w:color w:val="auto"/>
                <w:sz w:val="24"/>
                <w:szCs w:val="32"/>
                <w:highlight w:val="none"/>
                <w:lang w:val="en-US" w:eastAsia="zh-CN"/>
              </w:rPr>
              <w:t>集气罩</w:t>
            </w:r>
            <w:r>
              <w:rPr>
                <w:rFonts w:hint="default" w:ascii="Times New Roman" w:hAnsi="Times New Roman" w:eastAsia="宋体" w:cs="Times New Roman"/>
                <w:color w:val="auto"/>
                <w:sz w:val="24"/>
                <w:szCs w:val="32"/>
                <w:highlight w:val="none"/>
              </w:rPr>
              <w:t>收集后</w:t>
            </w:r>
            <w:r>
              <w:rPr>
                <w:rFonts w:hint="eastAsia" w:ascii="Times New Roman" w:hAnsi="Times New Roman" w:eastAsia="宋体" w:cs="Times New Roman"/>
                <w:color w:val="auto"/>
                <w:sz w:val="24"/>
                <w:szCs w:val="32"/>
                <w:highlight w:val="none"/>
                <w:lang w:val="en-US" w:eastAsia="zh-CN"/>
              </w:rPr>
              <w:t>经现有“布袋除尘”（TA001）</w:t>
            </w:r>
            <w:r>
              <w:rPr>
                <w:rFonts w:hint="default" w:ascii="Times New Roman" w:hAnsi="Times New Roman" w:eastAsia="宋体" w:cs="Times New Roman"/>
                <w:color w:val="auto"/>
                <w:sz w:val="24"/>
                <w:szCs w:val="32"/>
                <w:highlight w:val="none"/>
                <w:lang w:val="en-US" w:eastAsia="zh-CN"/>
              </w:rPr>
              <w:t>处理</w:t>
            </w:r>
            <w:r>
              <w:rPr>
                <w:rFonts w:hint="eastAsia" w:ascii="Times New Roman" w:hAnsi="Times New Roman" w:eastAsia="宋体" w:cs="Times New Roman"/>
                <w:color w:val="auto"/>
                <w:sz w:val="24"/>
                <w:szCs w:val="32"/>
                <w:highlight w:val="none"/>
                <w:lang w:val="en-US" w:eastAsia="zh-CN"/>
              </w:rPr>
              <w:t>达标后通过</w:t>
            </w:r>
            <w:r>
              <w:rPr>
                <w:rFonts w:hint="eastAsia" w:ascii="Times New Roman" w:hAnsi="Times New Roman" w:eastAsia="宋体" w:cs="Times New Roman"/>
                <w:color w:val="auto"/>
                <w:sz w:val="24"/>
                <w:szCs w:val="24"/>
                <w:highlight w:val="none"/>
                <w:lang w:val="en-US" w:eastAsia="zh-CN"/>
              </w:rPr>
              <w:t>1根15m高的排气筒（DA001，内径0.4m）排放，</w:t>
            </w:r>
            <w:r>
              <w:rPr>
                <w:rFonts w:hint="eastAsia" w:ascii="Times New Roman" w:hAnsi="Times New Roman" w:eastAsia="宋体" w:cs="Times New Roman"/>
                <w:color w:val="auto"/>
                <w:sz w:val="24"/>
                <w:szCs w:val="32"/>
                <w:highlight w:val="none"/>
                <w:lang w:val="en-US" w:eastAsia="zh-CN"/>
              </w:rPr>
              <w:t>颗粒物</w:t>
            </w:r>
            <w:r>
              <w:rPr>
                <w:rFonts w:hint="default" w:ascii="Times New Roman" w:hAnsi="Times New Roman" w:eastAsia="宋体" w:cs="Times New Roman"/>
                <w:color w:val="auto"/>
                <w:sz w:val="24"/>
                <w:szCs w:val="32"/>
                <w:highlight w:val="none"/>
              </w:rPr>
              <w:t>产生量为</w:t>
            </w:r>
            <w:r>
              <w:rPr>
                <w:rFonts w:hint="eastAsia" w:ascii="Times New Roman" w:hAnsi="Times New Roman" w:eastAsia="宋体" w:cs="Times New Roman"/>
                <w:color w:val="auto"/>
                <w:sz w:val="24"/>
                <w:szCs w:val="32"/>
                <w:highlight w:val="none"/>
                <w:lang w:val="en-US" w:eastAsia="zh-CN"/>
              </w:rPr>
              <w:t>4.8</w:t>
            </w:r>
            <w:r>
              <w:rPr>
                <w:rFonts w:hint="default" w:ascii="Times New Roman" w:hAnsi="Times New Roman" w:eastAsia="宋体" w:cs="Times New Roman"/>
                <w:color w:val="auto"/>
                <w:sz w:val="24"/>
                <w:szCs w:val="32"/>
                <w:highlight w:val="none"/>
              </w:rPr>
              <w:t>t/a</w:t>
            </w:r>
            <w:r>
              <w:rPr>
                <w:rFonts w:hint="eastAsia" w:ascii="Times New Roman" w:hAnsi="Times New Roman" w:eastAsia="宋体" w:cs="Times New Roman"/>
                <w:color w:val="auto"/>
                <w:sz w:val="24"/>
                <w:szCs w:val="32"/>
                <w:highlight w:val="none"/>
                <w:lang w:eastAsia="zh-CN"/>
              </w:rPr>
              <w:t>，</w:t>
            </w:r>
            <w:r>
              <w:rPr>
                <w:rFonts w:hint="eastAsia" w:ascii="Times New Roman" w:hAnsi="Times New Roman" w:eastAsia="宋体" w:cs="Times New Roman"/>
                <w:color w:val="auto"/>
                <w:sz w:val="24"/>
                <w:szCs w:val="32"/>
                <w:highlight w:val="none"/>
                <w:lang w:val="en-US" w:eastAsia="zh-CN"/>
              </w:rPr>
              <w:t>风量</w:t>
            </w:r>
            <w:r>
              <w:rPr>
                <w:rFonts w:hint="eastAsia" w:cs="Times New Roman"/>
                <w:color w:val="auto"/>
                <w:sz w:val="24"/>
                <w:szCs w:val="32"/>
                <w:highlight w:val="none"/>
                <w:lang w:val="en-US" w:eastAsia="zh-CN"/>
              </w:rPr>
              <w:t>3</w:t>
            </w:r>
            <w:r>
              <w:rPr>
                <w:rFonts w:hint="eastAsia" w:ascii="Times New Roman" w:hAnsi="Times New Roman" w:eastAsia="宋体" w:cs="Times New Roman"/>
                <w:color w:val="auto"/>
                <w:sz w:val="24"/>
                <w:szCs w:val="32"/>
                <w:highlight w:val="none"/>
                <w:lang w:val="en-US" w:eastAsia="zh-CN"/>
              </w:rPr>
              <w:t>00m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/h，收集效率为95%，</w:t>
            </w:r>
            <w:r>
              <w:rPr>
                <w:rFonts w:hint="eastAsia" w:ascii="Times New Roman" w:hAnsi="Times New Roman" w:eastAsia="宋体" w:cs="Times New Roman"/>
                <w:color w:val="auto"/>
                <w:sz w:val="24"/>
                <w:szCs w:val="24"/>
                <w:highlight w:val="none"/>
                <w:lang w:val="en-US" w:eastAsia="zh-CN"/>
              </w:rPr>
              <w:t>处理效率为99%</w:t>
            </w:r>
            <w:r>
              <w:rPr>
                <w:rFonts w:hint="default" w:ascii="Times New Roman" w:hAnsi="Times New Roman" w:eastAsia="宋体" w:cs="Times New Roman"/>
                <w:color w:val="auto"/>
                <w:sz w:val="24"/>
                <w:szCs w:val="32"/>
                <w:highlight w:val="none"/>
              </w:rPr>
              <w:t>。</w:t>
            </w:r>
          </w:p>
          <w:p w14:paraId="24993C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本</w:t>
            </w:r>
            <w:r>
              <w:rPr>
                <w:rFonts w:hint="eastAsia" w:cs="Times New Roman"/>
                <w:color w:val="auto"/>
                <w:sz w:val="24"/>
                <w:szCs w:val="32"/>
                <w:highlight w:val="none"/>
                <w:lang w:val="en-US" w:eastAsia="zh-CN"/>
              </w:rPr>
              <w:t>次技改</w:t>
            </w:r>
            <w:r>
              <w:rPr>
                <w:rFonts w:hint="default" w:ascii="Times New Roman" w:hAnsi="Times New Roman" w:eastAsia="宋体" w:cs="Times New Roman"/>
                <w:color w:val="auto"/>
                <w:sz w:val="24"/>
                <w:szCs w:val="32"/>
                <w:highlight w:val="none"/>
                <w:lang w:val="en-US" w:eastAsia="zh-CN"/>
              </w:rPr>
              <w:t>项目</w:t>
            </w:r>
            <w:r>
              <w:rPr>
                <w:rFonts w:hint="eastAsia" w:cs="Times New Roman"/>
                <w:color w:val="auto"/>
                <w:sz w:val="24"/>
                <w:szCs w:val="32"/>
                <w:highlight w:val="none"/>
                <w:lang w:val="en-US" w:eastAsia="zh-CN"/>
              </w:rPr>
              <w:t>不新增产能，利用现有</w:t>
            </w:r>
            <w:r>
              <w:rPr>
                <w:rFonts w:hint="eastAsia" w:ascii="Times New Roman" w:hAnsi="Times New Roman" w:eastAsia="宋体" w:cs="Times New Roman"/>
                <w:color w:val="auto"/>
                <w:sz w:val="24"/>
                <w:szCs w:val="32"/>
                <w:highlight w:val="none"/>
                <w:lang w:val="en-US" w:eastAsia="zh-CN"/>
              </w:rPr>
              <w:t>中频感应电炉</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同时对现有布袋除尘器进行改造和更换高效纤维布袋后，使布袋除尘器的除尘效率提升至99.5%。</w:t>
            </w:r>
          </w:p>
          <w:p w14:paraId="4A8915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现场</w:t>
            </w:r>
            <w:r>
              <w:rPr>
                <w:rFonts w:hint="eastAsia" w:ascii="Times New Roman" w:hAnsi="Times New Roman" w:eastAsia="宋体" w:cs="Times New Roman"/>
                <w:color w:val="auto"/>
                <w:sz w:val="24"/>
                <w:szCs w:val="32"/>
                <w:highlight w:val="none"/>
                <w:lang w:val="en-US" w:eastAsia="zh-CN"/>
              </w:rPr>
              <w:t>集气罩规格为：D=700mm。</w:t>
            </w:r>
          </w:p>
          <w:p w14:paraId="492D27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根据《三废处理工程技术手册》（废气卷）中外部集气罩风量确定计算公式：</w:t>
            </w:r>
          </w:p>
          <w:p w14:paraId="7540D0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Q=0.75</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10x</w:t>
            </w:r>
            <w:r>
              <w:rPr>
                <w:rFonts w:hint="eastAsia" w:ascii="Times New Roman" w:hAnsi="Times New Roman" w:eastAsia="宋体" w:cs="Times New Roman"/>
                <w:color w:val="auto"/>
                <w:sz w:val="24"/>
                <w:szCs w:val="32"/>
                <w:highlight w:val="none"/>
                <w:vertAlign w:val="superscript"/>
                <w:lang w:val="en-US" w:eastAsia="zh-CN"/>
              </w:rPr>
              <w:t>2</w:t>
            </w:r>
            <w:r>
              <w:rPr>
                <w:rFonts w:hint="eastAsia" w:ascii="Times New Roman" w:hAnsi="Times New Roman" w:eastAsia="宋体" w:cs="Times New Roman"/>
                <w:color w:val="auto"/>
                <w:sz w:val="24"/>
                <w:szCs w:val="32"/>
                <w:highlight w:val="none"/>
                <w:lang w:val="en-US" w:eastAsia="zh-CN"/>
              </w:rPr>
              <w:t>+A</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×Vx×3600</w:t>
            </w:r>
          </w:p>
          <w:p w14:paraId="48B206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式中：Q----集气罩排风量，m/s；</w:t>
            </w:r>
          </w:p>
          <w:p w14:paraId="3EBCF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x---</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污染物产生点至罩口的距离，m，本项目取 0.4；</w:t>
            </w:r>
          </w:p>
          <w:p w14:paraId="093F32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A----罩口面积，m</w:t>
            </w:r>
            <w:r>
              <w:rPr>
                <w:rFonts w:hint="eastAsia" w:ascii="Times New Roman" w:hAnsi="Times New Roman" w:eastAsia="宋体" w:cs="Times New Roman"/>
                <w:color w:val="auto"/>
                <w:sz w:val="24"/>
                <w:szCs w:val="32"/>
                <w:highlight w:val="none"/>
                <w:vertAlign w:val="superscript"/>
                <w:lang w:val="en-US" w:eastAsia="zh-CN"/>
              </w:rPr>
              <w:t xml:space="preserve">2 </w:t>
            </w:r>
            <w:r>
              <w:rPr>
                <w:rFonts w:hint="eastAsia" w:ascii="Times New Roman" w:hAnsi="Times New Roman" w:eastAsia="宋体" w:cs="Times New Roman"/>
                <w:color w:val="auto"/>
                <w:sz w:val="24"/>
                <w:szCs w:val="32"/>
                <w:highlight w:val="none"/>
                <w:lang w:val="en-US" w:eastAsia="zh-CN"/>
              </w:rPr>
              <w:t>，本项目拟设置单个集气罩罩口面积为0.49m</w:t>
            </w:r>
            <w:r>
              <w:rPr>
                <w:rFonts w:hint="eastAsia" w:ascii="Times New Roman" w:hAnsi="Times New Roman" w:eastAsia="宋体" w:cs="Times New Roman"/>
                <w:color w:val="auto"/>
                <w:sz w:val="24"/>
                <w:szCs w:val="32"/>
                <w:highlight w:val="none"/>
                <w:vertAlign w:val="superscript"/>
                <w:lang w:val="en-US" w:eastAsia="zh-CN"/>
              </w:rPr>
              <w:t>2</w:t>
            </w:r>
            <w:r>
              <w:rPr>
                <w:rFonts w:hint="eastAsia" w:ascii="Times New Roman" w:hAnsi="Times New Roman" w:eastAsia="宋体" w:cs="Times New Roman"/>
                <w:color w:val="auto"/>
                <w:sz w:val="24"/>
                <w:szCs w:val="32"/>
                <w:highlight w:val="none"/>
                <w:lang w:val="en-US" w:eastAsia="zh-CN"/>
              </w:rPr>
              <w:t>；</w:t>
            </w:r>
          </w:p>
          <w:p w14:paraId="3AD469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Vx---最小控制风速，m/s，本项目污染物排放情况为以很缓慢的速度放散到相当平静的空气中，一般取0.25</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0.5m/s，本项目取0.35m/s。</w:t>
            </w:r>
          </w:p>
          <w:p w14:paraId="6CCC3D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Q=0.75×（10×0.4</w:t>
            </w:r>
            <w:r>
              <w:rPr>
                <w:rFonts w:hint="eastAsia" w:ascii="Times New Roman" w:hAnsi="Times New Roman" w:eastAsia="宋体" w:cs="Times New Roman"/>
                <w:color w:val="auto"/>
                <w:sz w:val="24"/>
                <w:szCs w:val="32"/>
                <w:highlight w:val="none"/>
                <w:vertAlign w:val="superscript"/>
                <w:lang w:val="en-US" w:eastAsia="zh-CN"/>
              </w:rPr>
              <w:t xml:space="preserve">2 </w:t>
            </w:r>
            <w:r>
              <w:rPr>
                <w:rFonts w:hint="eastAsia" w:ascii="Times New Roman" w:hAnsi="Times New Roman" w:eastAsia="宋体" w:cs="Times New Roman"/>
                <w:color w:val="auto"/>
                <w:sz w:val="24"/>
                <w:szCs w:val="32"/>
                <w:highlight w:val="none"/>
                <w:lang w:val="en-US" w:eastAsia="zh-CN"/>
              </w:rPr>
              <w:t>+0.49×2）×0.35×3600=2438.1m</w:t>
            </w:r>
            <w:r>
              <w:rPr>
                <w:rFonts w:hint="eastAsia" w:ascii="Times New Roman" w:hAnsi="Times New Roman" w:eastAsia="宋体" w:cs="Times New Roman"/>
                <w:color w:val="auto"/>
                <w:sz w:val="24"/>
                <w:szCs w:val="32"/>
                <w:highlight w:val="none"/>
                <w:vertAlign w:val="superscript"/>
                <w:lang w:val="en-US" w:eastAsia="zh-CN"/>
              </w:rPr>
              <w:t xml:space="preserve">3 </w:t>
            </w:r>
            <w:r>
              <w:rPr>
                <w:rFonts w:hint="eastAsia" w:ascii="Times New Roman" w:hAnsi="Times New Roman" w:eastAsia="宋体" w:cs="Times New Roman"/>
                <w:color w:val="auto"/>
                <w:sz w:val="24"/>
                <w:szCs w:val="32"/>
                <w:highlight w:val="none"/>
                <w:lang w:val="en-US" w:eastAsia="zh-CN"/>
              </w:rPr>
              <w:t>/h</w:t>
            </w:r>
          </w:p>
          <w:p w14:paraId="4FC7A9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2个集气罩总计风量为2×2438.1=4876.2m</w:t>
            </w:r>
            <w:r>
              <w:rPr>
                <w:rFonts w:hint="eastAsia" w:ascii="Times New Roman" w:hAnsi="Times New Roman" w:eastAsia="宋体" w:cs="Times New Roman"/>
                <w:color w:val="auto"/>
                <w:sz w:val="24"/>
                <w:szCs w:val="32"/>
                <w:highlight w:val="none"/>
                <w:vertAlign w:val="superscript"/>
                <w:lang w:val="en-US" w:eastAsia="zh-CN"/>
              </w:rPr>
              <w:t xml:space="preserve">3 </w:t>
            </w:r>
            <w:r>
              <w:rPr>
                <w:rFonts w:hint="eastAsia" w:ascii="Times New Roman" w:hAnsi="Times New Roman" w:eastAsia="宋体" w:cs="Times New Roman"/>
                <w:color w:val="auto"/>
                <w:sz w:val="24"/>
                <w:szCs w:val="32"/>
                <w:highlight w:val="none"/>
                <w:lang w:val="en-US" w:eastAsia="zh-CN"/>
              </w:rPr>
              <w:t>/h。</w:t>
            </w:r>
          </w:p>
          <w:p w14:paraId="1BE635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参照现有项目资料，本项目熔化工序废气收集率取90%；本次技改提升后布袋除尘器除尘效率为99.5%；本次</w:t>
            </w:r>
            <w:r>
              <w:rPr>
                <w:rFonts w:hint="eastAsia" w:cs="Times New Roman"/>
                <w:color w:val="auto"/>
                <w:sz w:val="24"/>
                <w:szCs w:val="32"/>
                <w:highlight w:val="none"/>
                <w:lang w:val="en-US" w:eastAsia="zh-CN"/>
              </w:rPr>
              <w:t>收集</w:t>
            </w:r>
            <w:r>
              <w:rPr>
                <w:rFonts w:hint="eastAsia" w:ascii="Times New Roman" w:hAnsi="Times New Roman" w:eastAsia="宋体" w:cs="Times New Roman"/>
                <w:color w:val="auto"/>
                <w:sz w:val="24"/>
                <w:szCs w:val="32"/>
                <w:highlight w:val="none"/>
                <w:lang w:val="en-US" w:eastAsia="zh-CN"/>
              </w:rPr>
              <w:t>风量取5000m</w:t>
            </w:r>
            <w:r>
              <w:rPr>
                <w:rFonts w:hint="eastAsia" w:ascii="Times New Roman" w:hAnsi="Times New Roman" w:eastAsia="宋体" w:cs="Times New Roman"/>
                <w:color w:val="auto"/>
                <w:sz w:val="24"/>
                <w:szCs w:val="32"/>
                <w:highlight w:val="none"/>
                <w:vertAlign w:val="superscript"/>
                <w:lang w:val="en-US" w:eastAsia="zh-CN"/>
              </w:rPr>
              <w:t xml:space="preserve">3 </w:t>
            </w:r>
            <w:r>
              <w:rPr>
                <w:rFonts w:hint="eastAsia" w:ascii="Times New Roman" w:hAnsi="Times New Roman" w:eastAsia="宋体" w:cs="Times New Roman"/>
                <w:color w:val="auto"/>
                <w:sz w:val="24"/>
                <w:szCs w:val="32"/>
                <w:highlight w:val="none"/>
                <w:lang w:val="en-US" w:eastAsia="zh-CN"/>
              </w:rPr>
              <w:t>/h。</w:t>
            </w:r>
            <w:r>
              <w:rPr>
                <w:rFonts w:hint="eastAsia" w:cs="Times New Roman"/>
                <w:color w:val="auto"/>
                <w:sz w:val="24"/>
                <w:szCs w:val="32"/>
                <w:highlight w:val="none"/>
                <w:lang w:val="en-US" w:eastAsia="zh-CN"/>
              </w:rPr>
              <w:t>感应</w:t>
            </w:r>
            <w:r>
              <w:rPr>
                <w:rFonts w:hint="eastAsia" w:ascii="Times New Roman" w:hAnsi="Times New Roman" w:eastAsia="宋体" w:cs="Times New Roman"/>
                <w:color w:val="auto"/>
                <w:sz w:val="24"/>
                <w:szCs w:val="32"/>
                <w:highlight w:val="none"/>
                <w:lang w:val="en-US" w:eastAsia="zh-CN"/>
              </w:rPr>
              <w:t>电炉熔化过程以年工作</w:t>
            </w:r>
            <w:r>
              <w:rPr>
                <w:rFonts w:hint="eastAsia" w:cs="Times New Roman"/>
                <w:color w:val="auto"/>
                <w:sz w:val="24"/>
                <w:szCs w:val="32"/>
                <w:highlight w:val="none"/>
                <w:lang w:val="en-US" w:eastAsia="zh-CN"/>
              </w:rPr>
              <w:t>270</w:t>
            </w:r>
            <w:r>
              <w:rPr>
                <w:rFonts w:hint="eastAsia" w:ascii="Times New Roman" w:hAnsi="Times New Roman" w:eastAsia="宋体" w:cs="Times New Roman"/>
                <w:color w:val="auto"/>
                <w:sz w:val="24"/>
                <w:szCs w:val="32"/>
                <w:highlight w:val="none"/>
                <w:lang w:val="en-US" w:eastAsia="zh-CN"/>
              </w:rPr>
              <w:t>天，每天运行</w:t>
            </w:r>
            <w:r>
              <w:rPr>
                <w:rFonts w:hint="eastAsia" w:cs="Times New Roman"/>
                <w:color w:val="auto"/>
                <w:sz w:val="24"/>
                <w:szCs w:val="32"/>
                <w:highlight w:val="none"/>
                <w:lang w:val="en-US" w:eastAsia="zh-CN"/>
              </w:rPr>
              <w:t>24</w:t>
            </w:r>
            <w:r>
              <w:rPr>
                <w:rFonts w:hint="eastAsia" w:ascii="Times New Roman" w:hAnsi="Times New Roman" w:eastAsia="宋体" w:cs="Times New Roman"/>
                <w:color w:val="auto"/>
                <w:sz w:val="24"/>
                <w:szCs w:val="32"/>
                <w:highlight w:val="none"/>
                <w:lang w:val="en-US" w:eastAsia="zh-CN"/>
              </w:rPr>
              <w:t>小时计。处理后的尾气依托现有15m高的排气筒（DA001）排放。</w:t>
            </w:r>
          </w:p>
          <w:p w14:paraId="39BFB7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24"/>
                <w:highlight w:val="none"/>
                <w:lang w:val="en-US" w:eastAsia="zh-CN"/>
              </w:rPr>
              <w:t>根据企业提供的资料，现有排气筒（DA001）设计内径0.4m，计算风速约为</w:t>
            </w:r>
            <w:r>
              <w:rPr>
                <w:rFonts w:hint="eastAsia" w:cs="Times New Roman"/>
                <w:color w:val="auto"/>
                <w:sz w:val="24"/>
                <w:szCs w:val="24"/>
                <w:highlight w:val="none"/>
                <w:lang w:val="en-US" w:eastAsia="zh-CN"/>
              </w:rPr>
              <w:t>13.1</w:t>
            </w:r>
            <w:r>
              <w:rPr>
                <w:rFonts w:hint="eastAsia" w:ascii="Times New Roman" w:hAnsi="Times New Roman" w:eastAsia="宋体" w:cs="Times New Roman"/>
                <w:color w:val="auto"/>
                <w:sz w:val="24"/>
                <w:szCs w:val="24"/>
                <w:highlight w:val="none"/>
                <w:lang w:val="en-US" w:eastAsia="zh-CN"/>
              </w:rPr>
              <w:t>m/s，可以满足排放风速要求，故</w:t>
            </w:r>
            <w:r>
              <w:rPr>
                <w:rFonts w:hint="eastAsia" w:cs="Times New Roman"/>
                <w:color w:val="auto"/>
                <w:sz w:val="24"/>
                <w:szCs w:val="24"/>
                <w:highlight w:val="none"/>
                <w:lang w:val="en-US" w:eastAsia="zh-CN"/>
              </w:rPr>
              <w:t>无</w:t>
            </w:r>
            <w:r>
              <w:rPr>
                <w:rFonts w:hint="eastAsia" w:ascii="Times New Roman" w:hAnsi="Times New Roman" w:eastAsia="宋体" w:cs="Times New Roman"/>
                <w:color w:val="auto"/>
                <w:sz w:val="24"/>
                <w:szCs w:val="24"/>
                <w:highlight w:val="none"/>
                <w:lang w:val="en-US" w:eastAsia="zh-CN"/>
              </w:rPr>
              <w:t>需对该排气筒进行调整。</w:t>
            </w:r>
            <w:r>
              <w:rPr>
                <w:rFonts w:hint="eastAsia" w:cs="Times New Roman"/>
                <w:color w:val="auto"/>
                <w:sz w:val="24"/>
                <w:szCs w:val="24"/>
                <w:highlight w:val="none"/>
                <w:lang w:val="en-US" w:eastAsia="zh-CN"/>
              </w:rPr>
              <w:t>项目废气排放量为0.02275t/a。</w:t>
            </w:r>
          </w:p>
          <w:p w14:paraId="7CC399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②</w:t>
            </w:r>
            <w:r>
              <w:rPr>
                <w:rFonts w:hint="eastAsia" w:cs="Times New Roman"/>
                <w:b/>
                <w:bCs/>
                <w:color w:val="auto"/>
                <w:kern w:val="2"/>
                <w:sz w:val="24"/>
                <w:szCs w:val="24"/>
                <w:highlight w:val="none"/>
                <w:lang w:val="en-US" w:eastAsia="zh-CN" w:bidi="ar-SA"/>
              </w:rPr>
              <w:t>砂处理废气（G2）</w:t>
            </w:r>
          </w:p>
          <w:p w14:paraId="7F8AD5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参考《排放源统计调查产排污核算方法和系数手册》中《33-37,431-434机械行业系数手册</w:t>
            </w:r>
            <w:r>
              <w:rPr>
                <w:rFonts w:hint="eastAsia" w:cs="Times New Roman"/>
                <w:color w:val="auto"/>
                <w:sz w:val="24"/>
                <w:szCs w:val="32"/>
                <w:highlight w:val="none"/>
                <w:lang w:val="en-US" w:eastAsia="zh-CN"/>
              </w:rPr>
              <w:t>01铸造</w:t>
            </w:r>
            <w:r>
              <w:rPr>
                <w:rFonts w:hint="default" w:ascii="Times New Roman" w:hAnsi="Times New Roman" w:eastAsia="宋体" w:cs="Times New Roman"/>
                <w:color w:val="auto"/>
                <w:sz w:val="24"/>
                <w:szCs w:val="32"/>
                <w:highlight w:val="none"/>
                <w:lang w:val="en-US" w:eastAsia="zh-CN"/>
              </w:rPr>
              <w:t>》，砂处理中颗粒物的产污系数为</w:t>
            </w:r>
            <w:r>
              <w:rPr>
                <w:rFonts w:hint="eastAsia" w:ascii="Times New Roman" w:hAnsi="Times New Roman" w:eastAsia="宋体" w:cs="Times New Roman"/>
                <w:color w:val="auto"/>
                <w:sz w:val="24"/>
                <w:szCs w:val="32"/>
                <w:highlight w:val="none"/>
                <w:lang w:val="en-US" w:eastAsia="zh-CN"/>
              </w:rPr>
              <w:t>16</w:t>
            </w:r>
            <w:r>
              <w:rPr>
                <w:rFonts w:hint="default" w:ascii="Times New Roman" w:hAnsi="Times New Roman" w:eastAsia="宋体" w:cs="Times New Roman"/>
                <w:color w:val="auto"/>
                <w:sz w:val="24"/>
                <w:szCs w:val="32"/>
                <w:highlight w:val="none"/>
                <w:lang w:val="en-US" w:eastAsia="zh-CN"/>
              </w:rPr>
              <w:t>kg/t-产品。本项目产品产量为</w:t>
            </w:r>
            <w:r>
              <w:rPr>
                <w:rFonts w:hint="eastAsia" w:ascii="Times New Roman" w:hAnsi="Times New Roman" w:eastAsia="宋体" w:cs="Times New Roman"/>
                <w:color w:val="auto"/>
                <w:sz w:val="24"/>
                <w:szCs w:val="32"/>
                <w:highlight w:val="none"/>
                <w:lang w:val="en-US" w:eastAsia="zh-CN"/>
              </w:rPr>
              <w:t>100</w:t>
            </w:r>
            <w:r>
              <w:rPr>
                <w:rFonts w:hint="default" w:ascii="Times New Roman" w:hAnsi="Times New Roman" w:eastAsia="宋体" w:cs="Times New Roman"/>
                <w:color w:val="auto"/>
                <w:sz w:val="24"/>
                <w:szCs w:val="32"/>
                <w:highlight w:val="none"/>
                <w:lang w:val="en-US" w:eastAsia="zh-CN"/>
              </w:rPr>
              <w:t>00t/a，则产生的废气量为1</w:t>
            </w:r>
            <w:r>
              <w:rPr>
                <w:rFonts w:hint="eastAsia" w:ascii="Times New Roman" w:hAnsi="Times New Roman" w:eastAsia="宋体" w:cs="Times New Roman"/>
                <w:color w:val="auto"/>
                <w:sz w:val="24"/>
                <w:szCs w:val="32"/>
                <w:highlight w:val="none"/>
                <w:lang w:val="en-US" w:eastAsia="zh-CN"/>
              </w:rPr>
              <w:t>60</w:t>
            </w:r>
            <w:r>
              <w:rPr>
                <w:rFonts w:hint="default" w:ascii="Times New Roman" w:hAnsi="Times New Roman" w:eastAsia="宋体" w:cs="Times New Roman"/>
                <w:color w:val="auto"/>
                <w:sz w:val="24"/>
                <w:szCs w:val="32"/>
                <w:highlight w:val="none"/>
                <w:lang w:val="en-US" w:eastAsia="zh-CN"/>
              </w:rPr>
              <w:t>t/a。在设备上方设置集气罩，</w:t>
            </w:r>
            <w:r>
              <w:rPr>
                <w:rFonts w:hint="eastAsia" w:ascii="Times New Roman" w:hAnsi="Times New Roman" w:eastAsia="宋体" w:cs="Times New Roman"/>
                <w:color w:val="auto"/>
                <w:sz w:val="24"/>
                <w:szCs w:val="32"/>
                <w:highlight w:val="none"/>
                <w:lang w:val="en-US" w:eastAsia="zh-CN"/>
              </w:rPr>
              <w:t>收集效率以95%计，收集的</w:t>
            </w:r>
            <w:r>
              <w:rPr>
                <w:rFonts w:hint="default" w:ascii="Times New Roman" w:hAnsi="Times New Roman" w:eastAsia="宋体" w:cs="Times New Roman"/>
                <w:color w:val="auto"/>
                <w:sz w:val="24"/>
                <w:szCs w:val="32"/>
                <w:highlight w:val="none"/>
                <w:lang w:val="en-US" w:eastAsia="zh-CN"/>
              </w:rPr>
              <w:t>废气经布袋除尘器处理后，通过15米高排气筒（DA00</w:t>
            </w:r>
            <w:r>
              <w:rPr>
                <w:rFonts w:hint="eastAsia" w:ascii="Times New Roman" w:hAnsi="Times New Roman" w:eastAsia="宋体" w:cs="Times New Roman"/>
                <w:color w:val="auto"/>
                <w:sz w:val="24"/>
                <w:szCs w:val="32"/>
                <w:highlight w:val="none"/>
                <w:lang w:val="en-US" w:eastAsia="zh-CN"/>
              </w:rPr>
              <w:t>2</w:t>
            </w:r>
            <w:r>
              <w:rPr>
                <w:rFonts w:hint="default" w:ascii="Times New Roman" w:hAnsi="Times New Roman" w:eastAsia="宋体" w:cs="Times New Roman"/>
                <w:color w:val="auto"/>
                <w:sz w:val="24"/>
                <w:szCs w:val="32"/>
                <w:highlight w:val="none"/>
                <w:lang w:val="en-US" w:eastAsia="zh-CN"/>
              </w:rPr>
              <w:t>）排放。现有颗粒物布袋除尘装置处理效率为99%，本次技改项目</w:t>
            </w:r>
            <w:r>
              <w:rPr>
                <w:rFonts w:hint="eastAsia" w:cs="Times New Roman"/>
                <w:color w:val="auto"/>
                <w:sz w:val="24"/>
                <w:szCs w:val="32"/>
                <w:highlight w:val="none"/>
                <w:lang w:val="en-US" w:eastAsia="zh-CN"/>
              </w:rPr>
              <w:t>使用</w:t>
            </w:r>
            <w:r>
              <w:rPr>
                <w:rFonts w:hint="default" w:ascii="Times New Roman" w:hAnsi="Times New Roman" w:eastAsia="宋体" w:cs="Times New Roman"/>
                <w:color w:val="auto"/>
                <w:sz w:val="24"/>
                <w:szCs w:val="32"/>
                <w:highlight w:val="none"/>
                <w:lang w:val="en-US" w:eastAsia="zh-CN"/>
              </w:rPr>
              <w:t>高效纤维布袋，除尘效率</w:t>
            </w:r>
            <w:r>
              <w:rPr>
                <w:rFonts w:hint="eastAsia" w:cs="Times New Roman"/>
                <w:color w:val="auto"/>
                <w:sz w:val="24"/>
                <w:szCs w:val="32"/>
                <w:highlight w:val="none"/>
                <w:lang w:val="en-US" w:eastAsia="zh-CN"/>
              </w:rPr>
              <w:t>为</w:t>
            </w:r>
            <w:r>
              <w:rPr>
                <w:rFonts w:hint="default" w:ascii="Times New Roman" w:hAnsi="Times New Roman" w:eastAsia="宋体" w:cs="Times New Roman"/>
                <w:color w:val="auto"/>
                <w:sz w:val="24"/>
                <w:szCs w:val="32"/>
                <w:highlight w:val="none"/>
                <w:lang w:val="en-US" w:eastAsia="zh-CN"/>
              </w:rPr>
              <w:t>99.5%。</w:t>
            </w:r>
            <w:r>
              <w:rPr>
                <w:rFonts w:hint="eastAsia" w:ascii="Times New Roman" w:hAnsi="Times New Roman" w:eastAsia="宋体" w:cs="Times New Roman"/>
                <w:color w:val="auto"/>
                <w:sz w:val="24"/>
                <w:szCs w:val="32"/>
                <w:highlight w:val="none"/>
                <w:lang w:val="en-US" w:eastAsia="zh-CN"/>
              </w:rPr>
              <w:t>未收集的废气80%在厂房内自然沉降，</w:t>
            </w:r>
            <w:r>
              <w:rPr>
                <w:rFonts w:hint="default" w:ascii="Times New Roman" w:hAnsi="Times New Roman" w:eastAsia="宋体" w:cs="Times New Roman"/>
                <w:color w:val="auto"/>
                <w:sz w:val="24"/>
                <w:szCs w:val="32"/>
                <w:highlight w:val="none"/>
                <w:lang w:val="en-US" w:eastAsia="zh-CN"/>
              </w:rPr>
              <w:t>则有组织颗粒物废气</w:t>
            </w:r>
            <w:r>
              <w:rPr>
                <w:rFonts w:hint="eastAsia" w:ascii="Times New Roman" w:hAnsi="Times New Roman" w:eastAsia="宋体" w:cs="Times New Roman"/>
                <w:color w:val="auto"/>
                <w:sz w:val="24"/>
                <w:szCs w:val="32"/>
                <w:highlight w:val="none"/>
                <w:lang w:val="en-US" w:eastAsia="zh-CN"/>
              </w:rPr>
              <w:t>排放</w:t>
            </w:r>
            <w:r>
              <w:rPr>
                <w:rFonts w:hint="default" w:ascii="Times New Roman" w:hAnsi="Times New Roman" w:eastAsia="宋体" w:cs="Times New Roman"/>
                <w:color w:val="auto"/>
                <w:sz w:val="24"/>
                <w:szCs w:val="32"/>
                <w:highlight w:val="none"/>
                <w:lang w:val="en-US" w:eastAsia="zh-CN"/>
              </w:rPr>
              <w:t>量为</w:t>
            </w:r>
            <w:r>
              <w:rPr>
                <w:rFonts w:hint="eastAsia" w:ascii="Times New Roman" w:hAnsi="Times New Roman" w:eastAsia="宋体" w:cs="Times New Roman"/>
                <w:color w:val="auto"/>
                <w:sz w:val="24"/>
                <w:szCs w:val="32"/>
                <w:highlight w:val="none"/>
                <w:lang w:val="en-US" w:eastAsia="zh-CN"/>
              </w:rPr>
              <w:t>0.76</w:t>
            </w:r>
            <w:r>
              <w:rPr>
                <w:rFonts w:hint="default" w:ascii="Times New Roman" w:hAnsi="Times New Roman" w:eastAsia="宋体" w:cs="Times New Roman"/>
                <w:color w:val="auto"/>
                <w:sz w:val="24"/>
                <w:szCs w:val="32"/>
                <w:highlight w:val="none"/>
                <w:lang w:val="en-US" w:eastAsia="zh-CN"/>
              </w:rPr>
              <w:t>t/a，无组织颗粒物废气</w:t>
            </w:r>
            <w:r>
              <w:rPr>
                <w:rFonts w:hint="eastAsia" w:ascii="Times New Roman" w:hAnsi="Times New Roman" w:eastAsia="宋体" w:cs="Times New Roman"/>
                <w:color w:val="auto"/>
                <w:sz w:val="24"/>
                <w:szCs w:val="32"/>
                <w:highlight w:val="none"/>
                <w:lang w:val="en-US" w:eastAsia="zh-CN"/>
              </w:rPr>
              <w:t>排放</w:t>
            </w:r>
            <w:r>
              <w:rPr>
                <w:rFonts w:hint="default" w:ascii="Times New Roman" w:hAnsi="Times New Roman" w:eastAsia="宋体" w:cs="Times New Roman"/>
                <w:color w:val="auto"/>
                <w:sz w:val="24"/>
                <w:szCs w:val="32"/>
                <w:highlight w:val="none"/>
                <w:lang w:val="en-US" w:eastAsia="zh-CN"/>
              </w:rPr>
              <w:t>量为</w:t>
            </w:r>
            <w:r>
              <w:rPr>
                <w:rFonts w:hint="eastAsia" w:ascii="Times New Roman" w:hAnsi="Times New Roman" w:eastAsia="宋体" w:cs="Times New Roman"/>
                <w:color w:val="auto"/>
                <w:sz w:val="24"/>
                <w:szCs w:val="32"/>
                <w:highlight w:val="none"/>
                <w:lang w:val="en-US" w:eastAsia="zh-CN"/>
              </w:rPr>
              <w:t>1.6</w:t>
            </w:r>
            <w:r>
              <w:rPr>
                <w:rFonts w:hint="default" w:ascii="Times New Roman" w:hAnsi="Times New Roman" w:eastAsia="宋体" w:cs="Times New Roman"/>
                <w:color w:val="auto"/>
                <w:sz w:val="24"/>
                <w:szCs w:val="32"/>
                <w:highlight w:val="none"/>
                <w:lang w:val="en-US" w:eastAsia="zh-CN"/>
              </w:rPr>
              <w:t>t/a。</w:t>
            </w:r>
          </w:p>
          <w:p w14:paraId="5EA03F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③</w:t>
            </w:r>
            <w:r>
              <w:rPr>
                <w:rFonts w:hint="eastAsia" w:cs="Times New Roman"/>
                <w:b/>
                <w:bCs/>
                <w:color w:val="auto"/>
                <w:kern w:val="2"/>
                <w:sz w:val="24"/>
                <w:szCs w:val="24"/>
                <w:highlight w:val="none"/>
                <w:lang w:val="en-US" w:eastAsia="zh-CN" w:bidi="ar-SA"/>
              </w:rPr>
              <w:t>打磨粉尘（G3）</w:t>
            </w:r>
          </w:p>
          <w:p w14:paraId="298C8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24"/>
                <w:highlight w:val="none"/>
                <w:lang w:val="en-US" w:eastAsia="zh-CN"/>
              </w:rPr>
              <w:t>项目浇铸成型的配件落砂后，需要将</w:t>
            </w:r>
            <w:r>
              <w:rPr>
                <w:rFonts w:hint="eastAsia" w:cs="Times New Roman"/>
                <w:color w:val="auto"/>
                <w:sz w:val="24"/>
                <w:szCs w:val="24"/>
                <w:highlight w:val="none"/>
                <w:lang w:val="en-US" w:eastAsia="zh-CN"/>
              </w:rPr>
              <w:t>表面</w:t>
            </w:r>
            <w:r>
              <w:rPr>
                <w:rFonts w:hint="eastAsia" w:ascii="Times New Roman" w:hAnsi="Times New Roman" w:eastAsia="宋体" w:cs="Times New Roman"/>
                <w:color w:val="auto"/>
                <w:sz w:val="24"/>
                <w:szCs w:val="24"/>
                <w:highlight w:val="none"/>
                <w:lang w:val="en-US" w:eastAsia="zh-CN"/>
              </w:rPr>
              <w:t>残留的砂质进行清理，本项目采用抛丸机处理</w:t>
            </w:r>
            <w:r>
              <w:rPr>
                <w:rFonts w:hint="default" w:ascii="Times New Roman" w:hAnsi="Times New Roman" w:eastAsia="宋体" w:cs="Times New Roman"/>
                <w:color w:val="auto"/>
                <w:sz w:val="24"/>
                <w:szCs w:val="32"/>
                <w:highlight w:val="none"/>
              </w:rPr>
              <w:t>后</w:t>
            </w:r>
            <w:r>
              <w:rPr>
                <w:rFonts w:hint="eastAsia" w:ascii="Times New Roman" w:hAnsi="Times New Roman" w:eastAsia="宋体" w:cs="Times New Roman"/>
                <w:color w:val="auto"/>
                <w:sz w:val="24"/>
                <w:szCs w:val="32"/>
                <w:highlight w:val="none"/>
                <w:lang w:val="en-US" w:eastAsia="zh-CN"/>
              </w:rPr>
              <w:t>再通过</w:t>
            </w:r>
            <w:r>
              <w:rPr>
                <w:rFonts w:hint="default" w:ascii="Times New Roman" w:hAnsi="Times New Roman" w:eastAsia="宋体" w:cs="Times New Roman"/>
                <w:color w:val="auto"/>
                <w:sz w:val="24"/>
                <w:szCs w:val="32"/>
                <w:highlight w:val="none"/>
              </w:rPr>
              <w:t>人工打磨的方式对表面杂质进行手工打磨处理。</w:t>
            </w:r>
            <w:r>
              <w:rPr>
                <w:rFonts w:hint="eastAsia" w:ascii="Times New Roman" w:hAnsi="Times New Roman" w:eastAsia="宋体" w:cs="Times New Roman"/>
                <w:color w:val="auto"/>
                <w:sz w:val="24"/>
                <w:szCs w:val="32"/>
                <w:highlight w:val="none"/>
                <w:lang w:val="en-US" w:eastAsia="zh-CN"/>
              </w:rPr>
              <w:t>上述过程中会产生相应的机加工粉尘（颗粒物）。</w:t>
            </w:r>
          </w:p>
          <w:p w14:paraId="50DF8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根据《排放源统计调查产排污核算方法和系数手册》“机械行业系数手册”中的“预处理环节</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抛丸、喷砂、打磨、滚筒工艺</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所有规模”颗粒物产生系数2.19千克/吨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w:t>
            </w:r>
          </w:p>
          <w:p w14:paraId="45A349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则本次技改项目</w:t>
            </w:r>
            <w:r>
              <w:rPr>
                <w:rFonts w:hint="eastAsia" w:cs="Times New Roman"/>
                <w:color w:val="auto"/>
                <w:sz w:val="24"/>
                <w:szCs w:val="24"/>
                <w:highlight w:val="none"/>
                <w:lang w:val="en-US" w:eastAsia="zh-CN"/>
              </w:rPr>
              <w:t>打磨</w:t>
            </w:r>
            <w:r>
              <w:rPr>
                <w:rFonts w:hint="eastAsia" w:ascii="Times New Roman" w:hAnsi="Times New Roman" w:eastAsia="宋体" w:cs="Times New Roman"/>
                <w:color w:val="auto"/>
                <w:sz w:val="24"/>
                <w:szCs w:val="24"/>
                <w:highlight w:val="none"/>
                <w:lang w:val="en-US" w:eastAsia="zh-CN"/>
              </w:rPr>
              <w:t>粉尘产生量为：</w:t>
            </w:r>
          </w:p>
          <w:p w14:paraId="0D320C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2.19千克/吨-产品×10</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00t/a=</w:t>
            </w:r>
            <w:r>
              <w:rPr>
                <w:rFonts w:hint="eastAsia" w:cs="Times New Roman"/>
                <w:color w:val="auto"/>
                <w:sz w:val="24"/>
                <w:szCs w:val="24"/>
                <w:highlight w:val="none"/>
                <w:lang w:val="en-US" w:eastAsia="zh-CN"/>
              </w:rPr>
              <w:t>21.9</w:t>
            </w:r>
            <w:r>
              <w:rPr>
                <w:rFonts w:hint="eastAsia" w:ascii="Times New Roman" w:hAnsi="Times New Roman" w:eastAsia="宋体" w:cs="Times New Roman"/>
                <w:color w:val="auto"/>
                <w:sz w:val="24"/>
                <w:szCs w:val="24"/>
                <w:highlight w:val="none"/>
                <w:lang w:val="en-US" w:eastAsia="zh-CN"/>
              </w:rPr>
              <w:t>t/a</w:t>
            </w:r>
          </w:p>
          <w:p w14:paraId="71F919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本次技改项目机加工工序依托现有人工打磨进行，相应的粉尘收集处理措施依托现有粉尘收集、处理措施。</w:t>
            </w:r>
          </w:p>
          <w:p w14:paraId="3AC307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32"/>
                <w:highlight w:val="none"/>
                <w:lang w:val="en-US" w:eastAsia="zh-CN"/>
              </w:rPr>
              <w:t>打磨</w:t>
            </w:r>
            <w:r>
              <w:rPr>
                <w:rFonts w:hint="eastAsia" w:ascii="Times New Roman" w:hAnsi="Times New Roman" w:eastAsia="宋体" w:cs="Times New Roman"/>
                <w:color w:val="auto"/>
                <w:sz w:val="24"/>
                <w:szCs w:val="32"/>
                <w:highlight w:val="none"/>
                <w:lang w:val="en-US" w:eastAsia="zh-CN"/>
              </w:rPr>
              <w:t>粉尘经</w:t>
            </w:r>
            <w:r>
              <w:rPr>
                <w:rFonts w:hint="eastAsia" w:ascii="Times New Roman" w:hAnsi="Times New Roman" w:eastAsia="宋体" w:cs="Times New Roman"/>
                <w:color w:val="auto"/>
                <w:sz w:val="24"/>
                <w:szCs w:val="24"/>
                <w:highlight w:val="none"/>
                <w:lang w:val="en-US" w:eastAsia="zh-CN"/>
              </w:rPr>
              <w:t>布袋除尘器（TA003）处理后，通过15米高排气筒（DA00</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）排放。现有颗粒物布袋除尘装置（TA003）处理效率为99%，本次技改项目</w:t>
            </w:r>
            <w:r>
              <w:rPr>
                <w:rFonts w:hint="eastAsia" w:ascii="Times New Roman" w:hAnsi="Times New Roman" w:eastAsia="宋体" w:cs="Times New Roman"/>
                <w:color w:val="auto"/>
                <w:sz w:val="24"/>
                <w:szCs w:val="32"/>
                <w:highlight w:val="none"/>
                <w:lang w:val="en-US" w:eastAsia="zh-CN"/>
              </w:rPr>
              <w:t>对现有布袋除尘器进行改造和更换高效纤维布袋后，使布袋除尘器的除尘效率提升至99.5%</w:t>
            </w:r>
            <w:r>
              <w:rPr>
                <w:rFonts w:hint="eastAsia" w:ascii="Times New Roman" w:hAnsi="Times New Roman" w:eastAsia="宋体" w:cs="Times New Roman"/>
                <w:color w:val="auto"/>
                <w:sz w:val="24"/>
                <w:szCs w:val="24"/>
                <w:highlight w:val="none"/>
                <w:lang w:val="en-US" w:eastAsia="zh-CN"/>
              </w:rPr>
              <w:t>。</w:t>
            </w:r>
          </w:p>
          <w:p w14:paraId="4935408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olor w:val="auto"/>
                <w:lang w:val="en-US" w:eastAsia="zh-CN"/>
              </w:rPr>
            </w:pPr>
            <w:r>
              <w:rPr>
                <w:rFonts w:hint="eastAsia" w:ascii="Times New Roman" w:hAnsi="Times New Roman" w:eastAsia="宋体" w:cs="Times New Roman"/>
                <w:color w:val="auto"/>
                <w:sz w:val="24"/>
                <w:szCs w:val="32"/>
                <w:highlight w:val="none"/>
                <w:lang w:val="en-US" w:eastAsia="zh-CN"/>
              </w:rPr>
              <w:t>综上，本次项目建成后，</w:t>
            </w:r>
            <w:r>
              <w:rPr>
                <w:rFonts w:hint="eastAsia" w:cs="Times New Roman"/>
                <w:color w:val="auto"/>
                <w:sz w:val="24"/>
                <w:szCs w:val="32"/>
                <w:highlight w:val="none"/>
                <w:lang w:val="en-US" w:eastAsia="zh-CN"/>
              </w:rPr>
              <w:t>设计</w:t>
            </w:r>
            <w:r>
              <w:rPr>
                <w:rFonts w:hint="eastAsia" w:ascii="Times New Roman" w:hAnsi="Times New Roman" w:eastAsia="宋体" w:cs="Times New Roman"/>
                <w:color w:val="auto"/>
                <w:sz w:val="24"/>
                <w:szCs w:val="24"/>
                <w:highlight w:val="none"/>
                <w:lang w:val="en-US" w:eastAsia="zh-CN"/>
              </w:rPr>
              <w:t>风量为</w:t>
            </w:r>
            <w:r>
              <w:rPr>
                <w:rFonts w:hint="eastAsia"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32"/>
                <w:highlight w:val="none"/>
                <w:lang w:val="en-US" w:eastAsia="zh-CN"/>
              </w:rPr>
              <w:t>00m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w:t>
            </w:r>
            <w:r>
              <w:rPr>
                <w:rFonts w:hint="eastAsia" w:cs="Times New Roman"/>
                <w:color w:val="auto"/>
                <w:sz w:val="24"/>
                <w:szCs w:val="32"/>
                <w:highlight w:val="none"/>
                <w:lang w:val="en-US" w:eastAsia="zh-CN"/>
              </w:rPr>
              <w:t>打磨</w:t>
            </w:r>
            <w:r>
              <w:rPr>
                <w:rFonts w:hint="eastAsia" w:ascii="Times New Roman" w:hAnsi="Times New Roman" w:eastAsia="宋体" w:cs="Times New Roman"/>
                <w:color w:val="auto"/>
                <w:sz w:val="24"/>
                <w:szCs w:val="32"/>
                <w:highlight w:val="none"/>
                <w:lang w:val="en-US" w:eastAsia="zh-CN"/>
              </w:rPr>
              <w:t>粉尘经</w:t>
            </w:r>
            <w:r>
              <w:rPr>
                <w:rFonts w:hint="eastAsia" w:ascii="Times New Roman" w:hAnsi="Times New Roman" w:eastAsia="宋体" w:cs="Times New Roman"/>
                <w:color w:val="auto"/>
                <w:sz w:val="24"/>
                <w:szCs w:val="24"/>
                <w:highlight w:val="none"/>
                <w:lang w:val="en-US" w:eastAsia="zh-CN"/>
              </w:rPr>
              <w:t>自带布袋除尘器（TA003，收集率以95%计</w:t>
            </w:r>
            <w:r>
              <w:rPr>
                <w:rFonts w:hint="eastAsia" w:cs="Times New Roman"/>
                <w:color w:val="auto"/>
                <w:sz w:val="24"/>
                <w:szCs w:val="24"/>
                <w:highlight w:val="none"/>
                <w:lang w:val="en-US" w:eastAsia="zh-CN"/>
              </w:rPr>
              <w:t>，未收集部分80%在厂房内沉降</w:t>
            </w:r>
            <w:r>
              <w:rPr>
                <w:rFonts w:hint="eastAsia" w:ascii="Times New Roman" w:hAnsi="Times New Roman" w:eastAsia="宋体" w:cs="Times New Roman"/>
                <w:color w:val="auto"/>
                <w:sz w:val="24"/>
                <w:szCs w:val="24"/>
                <w:highlight w:val="none"/>
                <w:lang w:val="en-US" w:eastAsia="zh-CN"/>
              </w:rPr>
              <w:t>）处理后，通过15米高排气筒（DA003）排放，TA003颗粒物处理效率为99.5%</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则打磨粉尘排放量为0.104t/a。无组织粉尘排放量为0.219t/a。</w:t>
            </w:r>
          </w:p>
          <w:p w14:paraId="7C299D6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32"/>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④制芯（射芯）废气（G</w:t>
            </w:r>
            <w:r>
              <w:rPr>
                <w:rFonts w:hint="eastAsia" w:cs="Times New Roman"/>
                <w:b/>
                <w:bCs/>
                <w:color w:val="auto"/>
                <w:kern w:val="2"/>
                <w:sz w:val="24"/>
                <w:szCs w:val="24"/>
                <w:highlight w:val="none"/>
                <w:lang w:val="en-US" w:eastAsia="zh-CN" w:bidi="ar-SA"/>
              </w:rPr>
              <w:t>4</w:t>
            </w:r>
            <w:r>
              <w:rPr>
                <w:rFonts w:hint="eastAsia" w:ascii="Times New Roman" w:hAnsi="Times New Roman" w:eastAsia="宋体" w:cs="Times New Roman"/>
                <w:b/>
                <w:bCs/>
                <w:color w:val="auto"/>
                <w:kern w:val="2"/>
                <w:sz w:val="24"/>
                <w:szCs w:val="24"/>
                <w:highlight w:val="none"/>
                <w:lang w:val="en-US" w:eastAsia="zh-CN" w:bidi="ar-SA"/>
              </w:rPr>
              <w:t>）</w:t>
            </w:r>
          </w:p>
          <w:p w14:paraId="7217AA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项目射芯过程中会产生一定量的粉尘及挥发性有机物。</w:t>
            </w:r>
          </w:p>
          <w:p w14:paraId="162EF7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参照《排放源统计调查产排污核算方法和系数手册》“33-37,431-434机械行业系数手册”中的“铸造环节</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制芯（热芯盒：</w:t>
            </w:r>
            <w:r>
              <w:rPr>
                <w:rFonts w:hint="eastAsia" w:cs="Times New Roman"/>
                <w:color w:val="auto"/>
                <w:sz w:val="24"/>
                <w:szCs w:val="24"/>
                <w:highlight w:val="none"/>
                <w:lang w:val="en-US" w:eastAsia="zh-CN"/>
              </w:rPr>
              <w:t>覆膜砂</w:t>
            </w:r>
            <w:r>
              <w:rPr>
                <w:rFonts w:hint="eastAsia" w:ascii="Times New Roman" w:hAnsi="Times New Roman" w:eastAsia="宋体" w:cs="Times New Roman"/>
                <w:color w:val="auto"/>
                <w:sz w:val="24"/>
                <w:szCs w:val="24"/>
                <w:highlight w:val="none"/>
                <w:lang w:val="en-US" w:eastAsia="zh-CN"/>
              </w:rPr>
              <w:t>）工艺</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所有规模”颗粒物产生系数0.330千克/吨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产品，挥发性有机物产生系数0.0500千克/吨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w:t>
            </w:r>
          </w:p>
          <w:p w14:paraId="2D4281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则本次技改项目射芯废气颗粒物、挥发性有机物产生量分别为：</w:t>
            </w:r>
          </w:p>
          <w:p w14:paraId="66AF18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颗粒物：0.330千克/吨-产品×100</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0t/a=3</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3t/a</w:t>
            </w:r>
          </w:p>
          <w:p w14:paraId="244677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挥发性有机物：0.0500千克/吨-产品×10</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00t/a=0.50t/a</w:t>
            </w:r>
          </w:p>
          <w:p w14:paraId="3AFD4A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本次技改项目在</w:t>
            </w:r>
            <w:r>
              <w:rPr>
                <w:rFonts w:hint="eastAsia" w:cs="Times New Roman"/>
                <w:color w:val="auto"/>
                <w:sz w:val="24"/>
                <w:szCs w:val="24"/>
                <w:highlight w:val="none"/>
                <w:lang w:val="en-US" w:eastAsia="zh-CN"/>
              </w:rPr>
              <w:t>1号厂房</w:t>
            </w:r>
            <w:r>
              <w:rPr>
                <w:rFonts w:hint="eastAsia" w:ascii="Times New Roman" w:hAnsi="Times New Roman" w:eastAsia="宋体" w:cs="Times New Roman"/>
                <w:color w:val="auto"/>
                <w:sz w:val="24"/>
                <w:szCs w:val="24"/>
                <w:highlight w:val="none"/>
                <w:lang w:val="en-US" w:eastAsia="zh-CN"/>
              </w:rPr>
              <w:t>新增</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台自动射芯机，上方均设置集气罩收集制（芯）型产生的废气；拟在每台自动射芯机上方分别设置400mm</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400mm集气罩，风量按如下公式</w:t>
            </w:r>
            <w:r>
              <w:rPr>
                <w:rFonts w:hint="default" w:ascii="Times New Roman" w:hAnsi="Times New Roman" w:eastAsia="宋体" w:cs="Times New Roman"/>
                <w:color w:val="auto"/>
                <w:sz w:val="24"/>
                <w:szCs w:val="24"/>
                <w:highlight w:val="none"/>
                <w:lang w:val="en-US" w:eastAsia="zh-CN"/>
              </w:rPr>
              <w:t>（参照《环境工程设计手册》）进行计算：</w:t>
            </w:r>
          </w:p>
          <w:p w14:paraId="66F25203">
            <w:pPr>
              <w:pStyle w:val="121"/>
              <w:keepNext w:val="0"/>
              <w:keepLines w:val="0"/>
              <w:suppressLineNumbers w:val="0"/>
              <w:snapToGrid w:val="0"/>
              <w:spacing w:before="0" w:beforeAutospacing="0" w:after="0" w:afterAutospacing="0"/>
              <w:ind w:left="0" w:right="0"/>
              <w:jc w:val="center"/>
              <w:rPr>
                <w:rFonts w:hint="default" w:ascii="Times New Roman" w:hAnsi="Times New Roman" w:eastAsia="TimesNewRomanPSMT" w:cs="Times New Roman"/>
                <w:b w:val="0"/>
                <w:bCs w:val="0"/>
                <w:color w:val="auto"/>
                <w:kern w:val="0"/>
                <w:sz w:val="24"/>
                <w:szCs w:val="24"/>
                <w:highlight w:val="none"/>
                <w:lang w:val="en-US" w:eastAsia="zh-CN" w:bidi="ar"/>
              </w:rPr>
            </w:pPr>
            <w:r>
              <w:rPr>
                <w:rFonts w:hint="default" w:ascii="Times New Roman" w:hAnsi="Times New Roman" w:eastAsia="TimesNewRomanPSMT" w:cs="Times New Roman"/>
                <w:b w:val="0"/>
                <w:bCs w:val="0"/>
                <w:color w:val="auto"/>
                <w:kern w:val="0"/>
                <w:sz w:val="24"/>
                <w:szCs w:val="24"/>
                <w:highlight w:val="none"/>
                <w:lang w:val="en-US" w:eastAsia="zh-CN" w:bidi="ar"/>
              </w:rPr>
              <w:t>Q=kPHVx</w:t>
            </w:r>
          </w:p>
          <w:p w14:paraId="1C34A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式中：Q——风量m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/s</w:t>
            </w:r>
          </w:p>
          <w:p w14:paraId="51C6C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k——考虑沿高度速度分布不均的安全系数，通常取k=1.4</w:t>
            </w:r>
          </w:p>
          <w:p w14:paraId="39D562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P——罩口敞开周长m</w:t>
            </w:r>
          </w:p>
          <w:p w14:paraId="0E8A94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H——罩口距污染源的距离（本项目取0.</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eastAsia="zh-CN"/>
              </w:rPr>
              <w:t>m）</w:t>
            </w:r>
          </w:p>
          <w:p w14:paraId="2928F0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Vx——控制速度m/s（本项目取0.</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eastAsia="zh-CN"/>
              </w:rPr>
              <w:t>m/s）</w:t>
            </w:r>
          </w:p>
          <w:p w14:paraId="3EEE7F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Q=</w:t>
            </w:r>
            <w:r>
              <w:rPr>
                <w:rFonts w:hint="eastAsia" w:ascii="Times New Roman" w:hAnsi="Times New Roman" w:eastAsia="宋体" w:cs="Times New Roman"/>
                <w:color w:val="auto"/>
                <w:sz w:val="24"/>
                <w:szCs w:val="24"/>
                <w:highlight w:val="none"/>
                <w:lang w:val="en-US" w:eastAsia="zh-CN"/>
              </w:rPr>
              <w:t>1.4</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1.6</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0.4</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0.4</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600=</w:t>
            </w:r>
            <w:r>
              <w:rPr>
                <w:rFonts w:hint="eastAsia" w:ascii="Times New Roman" w:hAnsi="Times New Roman" w:eastAsia="宋体" w:cs="Times New Roman"/>
                <w:color w:val="auto"/>
                <w:sz w:val="24"/>
                <w:szCs w:val="24"/>
                <w:highlight w:val="none"/>
                <w:lang w:val="en-US" w:eastAsia="zh-CN"/>
              </w:rPr>
              <w:t>1290.24</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 xml:space="preserve"> /h≈</w:t>
            </w:r>
            <w:r>
              <w:rPr>
                <w:rFonts w:hint="eastAsia" w:ascii="Times New Roman" w:hAnsi="Times New Roman" w:eastAsia="宋体" w:cs="Times New Roman"/>
                <w:color w:val="auto"/>
                <w:sz w:val="24"/>
                <w:szCs w:val="24"/>
                <w:highlight w:val="none"/>
                <w:lang w:val="en-US" w:eastAsia="zh-CN"/>
              </w:rPr>
              <w:t>1300</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 xml:space="preserve"> /h</w:t>
            </w:r>
          </w:p>
          <w:p w14:paraId="152B85C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color w:val="auto"/>
                <w:sz w:val="24"/>
                <w:szCs w:val="24"/>
                <w:highlight w:val="none"/>
                <w:lang w:val="en-US" w:eastAsia="zh-CN"/>
              </w:rPr>
              <w:t>本技改项目新增</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台自动射芯机</w:t>
            </w:r>
            <w:r>
              <w:rPr>
                <w:rFonts w:hint="eastAsia"/>
                <w:color w:val="auto"/>
                <w:sz w:val="24"/>
                <w:szCs w:val="24"/>
                <w:highlight w:val="none"/>
                <w:lang w:val="en-US" w:eastAsia="zh-CN"/>
              </w:rPr>
              <w:t>，在每台</w:t>
            </w:r>
            <w:r>
              <w:rPr>
                <w:rFonts w:hint="eastAsia" w:ascii="Times New Roman" w:hAnsi="Times New Roman" w:eastAsia="宋体" w:cs="Times New Roman"/>
                <w:color w:val="auto"/>
                <w:sz w:val="24"/>
                <w:szCs w:val="24"/>
                <w:highlight w:val="none"/>
                <w:lang w:val="en-US" w:eastAsia="zh-CN"/>
              </w:rPr>
              <w:t>自动射芯机</w:t>
            </w:r>
            <w:r>
              <w:rPr>
                <w:rFonts w:hint="eastAsia"/>
                <w:color w:val="auto"/>
                <w:sz w:val="24"/>
                <w:szCs w:val="24"/>
                <w:highlight w:val="none"/>
                <w:lang w:val="en-US" w:eastAsia="zh-CN"/>
              </w:rPr>
              <w:t>的出料口上方均设置一台集气罩，设计总风量为7800</w:t>
            </w:r>
            <w:r>
              <w:rPr>
                <w:rFonts w:hint="default" w:ascii="Times New Roman" w:hAnsi="Times New Roman" w:eastAsia="TimesNewRomanPSMT" w:cs="Times New Roman"/>
                <w:b w:val="0"/>
                <w:bCs w:val="0"/>
                <w:color w:val="auto"/>
                <w:kern w:val="0"/>
                <w:sz w:val="24"/>
                <w:szCs w:val="24"/>
                <w:highlight w:val="none"/>
                <w:lang w:val="en-US" w:eastAsia="zh-CN" w:bidi="ar"/>
              </w:rPr>
              <w:t>m</w:t>
            </w:r>
            <w:r>
              <w:rPr>
                <w:rFonts w:hint="default" w:ascii="Times New Roman" w:hAnsi="Times New Roman" w:eastAsia="TimesNewRomanPSMT" w:cs="Times New Roman"/>
                <w:b w:val="0"/>
                <w:bCs w:val="0"/>
                <w:color w:val="auto"/>
                <w:kern w:val="0"/>
                <w:sz w:val="24"/>
                <w:szCs w:val="24"/>
                <w:highlight w:val="none"/>
                <w:vertAlign w:val="superscript"/>
                <w:lang w:val="en-US" w:eastAsia="zh-CN" w:bidi="ar"/>
              </w:rPr>
              <w:t>3</w:t>
            </w:r>
            <w:r>
              <w:rPr>
                <w:rFonts w:hint="default" w:ascii="Times New Roman" w:hAnsi="Times New Roman" w:eastAsia="TimesNewRomanPSMT" w:cs="Times New Roman"/>
                <w:b w:val="0"/>
                <w:bCs w:val="0"/>
                <w:color w:val="auto"/>
                <w:kern w:val="0"/>
                <w:sz w:val="24"/>
                <w:szCs w:val="24"/>
                <w:highlight w:val="none"/>
                <w:lang w:val="en-US" w:eastAsia="zh-CN" w:bidi="ar"/>
              </w:rPr>
              <w:t>/h</w:t>
            </w:r>
            <w:r>
              <w:rPr>
                <w:rFonts w:hint="eastAsia" w:eastAsia="TimesNewRomanPSMT" w:cs="Times New Roman"/>
                <w:b w:val="0"/>
                <w:bCs w:val="0"/>
                <w:color w:val="auto"/>
                <w:kern w:val="0"/>
                <w:sz w:val="24"/>
                <w:szCs w:val="24"/>
                <w:highlight w:val="none"/>
                <w:lang w:val="en-US" w:eastAsia="zh-CN" w:bidi="ar"/>
              </w:rPr>
              <w:t>，考虑风损取8000</w:t>
            </w:r>
            <w:r>
              <w:rPr>
                <w:rFonts w:hint="default" w:ascii="Times New Roman" w:hAnsi="Times New Roman" w:eastAsia="TimesNewRomanPSMT" w:cs="Times New Roman"/>
                <w:b w:val="0"/>
                <w:bCs w:val="0"/>
                <w:color w:val="auto"/>
                <w:kern w:val="0"/>
                <w:sz w:val="24"/>
                <w:szCs w:val="24"/>
                <w:highlight w:val="none"/>
                <w:lang w:val="en-US" w:eastAsia="zh-CN" w:bidi="ar"/>
              </w:rPr>
              <w:t>m</w:t>
            </w:r>
            <w:r>
              <w:rPr>
                <w:rFonts w:hint="default" w:ascii="Times New Roman" w:hAnsi="Times New Roman" w:eastAsia="TimesNewRomanPSMT" w:cs="Times New Roman"/>
                <w:b w:val="0"/>
                <w:bCs w:val="0"/>
                <w:color w:val="auto"/>
                <w:kern w:val="0"/>
                <w:sz w:val="24"/>
                <w:szCs w:val="24"/>
                <w:highlight w:val="none"/>
                <w:vertAlign w:val="superscript"/>
                <w:lang w:val="en-US" w:eastAsia="zh-CN" w:bidi="ar"/>
              </w:rPr>
              <w:t>3</w:t>
            </w:r>
            <w:r>
              <w:rPr>
                <w:rFonts w:hint="default" w:ascii="Times New Roman" w:hAnsi="Times New Roman" w:eastAsia="TimesNewRomanPSMT" w:cs="Times New Roman"/>
                <w:b w:val="0"/>
                <w:bCs w:val="0"/>
                <w:color w:val="auto"/>
                <w:kern w:val="0"/>
                <w:sz w:val="24"/>
                <w:szCs w:val="24"/>
                <w:highlight w:val="none"/>
                <w:lang w:val="en-US" w:eastAsia="zh-CN" w:bidi="ar"/>
              </w:rPr>
              <w:t>/h</w:t>
            </w:r>
            <w:r>
              <w:rPr>
                <w:rFonts w:hint="eastAsia" w:ascii="Times New Roman" w:hAnsi="Times New Roman" w:eastAsia="宋体" w:cs="Times New Roman"/>
                <w:color w:val="auto"/>
                <w:sz w:val="24"/>
                <w:szCs w:val="32"/>
                <w:highlight w:val="none"/>
                <w:lang w:val="en-US" w:eastAsia="zh-CN"/>
              </w:rPr>
              <w:t>。</w:t>
            </w:r>
          </w:p>
          <w:p w14:paraId="09275D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技改项目射芯废气经集气罩收集后，</w:t>
            </w:r>
            <w:r>
              <w:rPr>
                <w:rFonts w:hint="eastAsia" w:cs="Times New Roman"/>
                <w:color w:val="auto"/>
                <w:sz w:val="24"/>
                <w:szCs w:val="24"/>
                <w:highlight w:val="none"/>
                <w:lang w:val="en-US" w:eastAsia="zh-CN"/>
              </w:rPr>
              <w:t>经</w:t>
            </w:r>
            <w:r>
              <w:rPr>
                <w:rFonts w:hint="eastAsia" w:ascii="Times New Roman" w:hAnsi="Times New Roman" w:eastAsia="宋体" w:cs="Times New Roman"/>
                <w:color w:val="auto"/>
                <w:sz w:val="24"/>
                <w:szCs w:val="24"/>
                <w:highlight w:val="none"/>
                <w:lang w:val="en-US" w:eastAsia="zh-CN"/>
              </w:rPr>
              <w:t>“布袋除尘器+二级活性炭吸附”装置（TA003-1）处理达标后通过15米高排气筒（</w:t>
            </w:r>
            <w:r>
              <w:rPr>
                <w:rFonts w:hint="eastAsia" w:cs="Times New Roman"/>
                <w:color w:val="auto"/>
                <w:sz w:val="24"/>
                <w:szCs w:val="24"/>
                <w:highlight w:val="none"/>
                <w:lang w:val="en-US" w:eastAsia="zh-CN"/>
              </w:rPr>
              <w:t>编号</w:t>
            </w:r>
            <w:r>
              <w:rPr>
                <w:rFonts w:hint="eastAsia" w:ascii="Times New Roman" w:hAnsi="Times New Roman" w:eastAsia="宋体" w:cs="Times New Roman"/>
                <w:color w:val="auto"/>
                <w:sz w:val="24"/>
                <w:szCs w:val="24"/>
                <w:highlight w:val="none"/>
                <w:lang w:val="en-US" w:eastAsia="zh-CN"/>
              </w:rPr>
              <w:t>DA00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）排放；</w:t>
            </w:r>
          </w:p>
          <w:p w14:paraId="254F38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32"/>
                <w:highlight w:val="none"/>
                <w:lang w:val="en-US" w:eastAsia="zh-CN"/>
              </w:rPr>
              <w:t>本项目建成后，全厂</w:t>
            </w:r>
            <w:r>
              <w:rPr>
                <w:rFonts w:hint="eastAsia" w:ascii="Times New Roman" w:hAnsi="Times New Roman" w:eastAsia="宋体" w:cs="Times New Roman"/>
                <w:color w:val="auto"/>
                <w:sz w:val="24"/>
                <w:szCs w:val="24"/>
                <w:highlight w:val="none"/>
                <w:lang w:val="en-US" w:eastAsia="zh-CN"/>
              </w:rPr>
              <w:t>制芯（射芯）废气</w:t>
            </w:r>
            <w:r>
              <w:rPr>
                <w:rFonts w:hint="eastAsia" w:cs="Times New Roman"/>
                <w:color w:val="auto"/>
                <w:sz w:val="24"/>
                <w:szCs w:val="32"/>
                <w:highlight w:val="none"/>
                <w:lang w:val="en-US" w:eastAsia="zh-CN"/>
              </w:rPr>
              <w:t>收集</w:t>
            </w:r>
            <w:r>
              <w:rPr>
                <w:rFonts w:hint="eastAsia" w:ascii="Times New Roman" w:hAnsi="Times New Roman" w:eastAsia="宋体" w:cs="Times New Roman"/>
                <w:color w:val="auto"/>
                <w:sz w:val="24"/>
                <w:szCs w:val="24"/>
                <w:highlight w:val="none"/>
                <w:lang w:val="en-US" w:eastAsia="zh-CN"/>
              </w:rPr>
              <w:t>风量为：</w:t>
            </w:r>
            <w:r>
              <w:rPr>
                <w:rFonts w:hint="eastAsia" w:cs="Times New Roman"/>
                <w:color w:val="auto"/>
                <w:sz w:val="24"/>
                <w:szCs w:val="24"/>
                <w:highlight w:val="none"/>
                <w:lang w:val="en-US" w:eastAsia="zh-CN"/>
              </w:rPr>
              <w:t>8000</w:t>
            </w:r>
            <w:r>
              <w:rPr>
                <w:rFonts w:hint="eastAsia" w:ascii="Times New Roman" w:hAnsi="Times New Roman" w:eastAsia="宋体" w:cs="Times New Roman"/>
                <w:color w:val="auto"/>
                <w:sz w:val="24"/>
                <w:szCs w:val="32"/>
                <w:highlight w:val="none"/>
                <w:lang w:val="en-US" w:eastAsia="zh-CN"/>
              </w:rPr>
              <w:t>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 xml:space="preserve"> /h；收集效率为90%，</w:t>
            </w:r>
            <w:r>
              <w:rPr>
                <w:rFonts w:hint="eastAsia" w:ascii="Times New Roman" w:hAnsi="Times New Roman" w:eastAsia="宋体" w:cs="Times New Roman"/>
                <w:color w:val="auto"/>
                <w:sz w:val="24"/>
                <w:szCs w:val="24"/>
                <w:highlight w:val="none"/>
                <w:lang w:val="en-US" w:eastAsia="zh-CN"/>
              </w:rPr>
              <w:t>颗粒物、挥发性有机物处理效率分别为99.5%、90%。</w:t>
            </w:r>
            <w:r>
              <w:rPr>
                <w:rFonts w:hint="eastAsia" w:cs="Times New Roman"/>
                <w:color w:val="auto"/>
                <w:sz w:val="24"/>
                <w:szCs w:val="24"/>
                <w:highlight w:val="none"/>
                <w:lang w:val="en-US" w:eastAsia="zh-CN"/>
              </w:rPr>
              <w:t>则制芯废气排放量为颗粒物0.01485t/a，有机废气0.0045t/a。无组织颗粒物排放量为0.066t/a，有机废气无组织排放量为0.005t/a。</w:t>
            </w:r>
          </w:p>
          <w:p w14:paraId="1092C6E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宋体" w:hAnsi="宋体" w:eastAsia="宋体" w:cs="宋体"/>
                <w:b/>
                <w:bCs/>
                <w:color w:val="auto"/>
                <w:kern w:val="2"/>
                <w:sz w:val="24"/>
                <w:szCs w:val="24"/>
                <w:lang w:val="en-US" w:eastAsia="zh-CN"/>
              </w:rPr>
              <w:t>⑤</w:t>
            </w:r>
            <w:r>
              <w:rPr>
                <w:rFonts w:hint="eastAsia" w:ascii="宋体" w:hAnsi="宋体" w:cs="宋体"/>
                <w:b/>
                <w:bCs/>
                <w:color w:val="auto"/>
                <w:kern w:val="2"/>
                <w:sz w:val="24"/>
                <w:szCs w:val="24"/>
                <w:lang w:val="en-US" w:eastAsia="zh-CN"/>
              </w:rPr>
              <w:t>造型/</w:t>
            </w:r>
            <w:r>
              <w:rPr>
                <w:rFonts w:hint="eastAsia" w:ascii="Times New Roman" w:hAnsi="Times New Roman" w:eastAsia="宋体" w:cs="Times New Roman"/>
                <w:b/>
                <w:bCs/>
                <w:color w:val="auto"/>
                <w:kern w:val="2"/>
                <w:sz w:val="24"/>
                <w:szCs w:val="24"/>
                <w:lang w:val="en-US" w:eastAsia="zh-CN"/>
              </w:rPr>
              <w:t>浇铸废气（G</w:t>
            </w:r>
            <w:r>
              <w:rPr>
                <w:rFonts w:hint="eastAsia" w:cs="Times New Roman"/>
                <w:b/>
                <w:bCs/>
                <w:color w:val="auto"/>
                <w:kern w:val="2"/>
                <w:sz w:val="24"/>
                <w:szCs w:val="24"/>
                <w:lang w:val="en-US" w:eastAsia="zh-CN"/>
              </w:rPr>
              <w:t>5</w:t>
            </w:r>
            <w:r>
              <w:rPr>
                <w:rFonts w:hint="eastAsia" w:ascii="Times New Roman" w:hAnsi="Times New Roman" w:eastAsia="宋体" w:cs="Times New Roman"/>
                <w:b/>
                <w:bCs/>
                <w:color w:val="auto"/>
                <w:kern w:val="2"/>
                <w:sz w:val="24"/>
                <w:szCs w:val="24"/>
                <w:lang w:val="en-US" w:eastAsia="zh-CN"/>
              </w:rPr>
              <w:t>）</w:t>
            </w:r>
          </w:p>
          <w:p w14:paraId="578820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32"/>
                <w:highlight w:val="none"/>
                <w:lang w:val="en-US" w:eastAsia="zh-CN"/>
              </w:rPr>
              <w:t>根据</w:t>
            </w:r>
            <w:r>
              <w:rPr>
                <w:rFonts w:hint="eastAsia" w:ascii="Times New Roman" w:hAnsi="Times New Roman" w:eastAsia="宋体" w:cs="Times New Roman"/>
                <w:color w:val="auto"/>
                <w:sz w:val="24"/>
                <w:szCs w:val="24"/>
                <w:highlight w:val="none"/>
                <w:lang w:val="en-US" w:eastAsia="zh-CN"/>
              </w:rPr>
              <w:t>《排放源统计调查产排污核算方法和系数手册》“33-37,431-434机械行业系数手册”中的“铸造工段</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铸件-</w:t>
            </w:r>
            <w:r>
              <w:rPr>
                <w:rFonts w:hint="eastAsia" w:cs="Times New Roman"/>
                <w:color w:val="auto"/>
                <w:sz w:val="24"/>
                <w:szCs w:val="24"/>
                <w:highlight w:val="none"/>
                <w:lang w:val="en-US" w:eastAsia="zh-CN"/>
              </w:rPr>
              <w:t>覆膜砂</w:t>
            </w:r>
            <w:r>
              <w:rPr>
                <w:rFonts w:hint="eastAsia" w:ascii="Times New Roman" w:hAnsi="Times New Roman" w:eastAsia="宋体" w:cs="Times New Roman"/>
                <w:color w:val="auto"/>
                <w:sz w:val="24"/>
                <w:szCs w:val="24"/>
                <w:highlight w:val="none"/>
                <w:lang w:val="en-US" w:eastAsia="zh-CN"/>
              </w:rPr>
              <w:t>、涂料</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造型/浇注（壳型）工艺</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所有规模”颗粒物产污系数0.367千克/吨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产品，挥发性有机物产污系数0.250千克/吨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产品；“铸造工段</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铸件</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原砂、再生砂、水、膨润土、煤粉、其他辅助材料、涂料、脱模剂</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造型/浇注（粘土砂工艺</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所有规模”颗粒物产污系数1.97千克/吨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产品，挥发性有机物产污系数0.213千克/吨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w:t>
            </w:r>
          </w:p>
          <w:p w14:paraId="1C5A5E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则本次技改后全厂</w:t>
            </w:r>
            <w:r>
              <w:rPr>
                <w:rFonts w:hint="eastAsia" w:cs="Times New Roman"/>
                <w:color w:val="auto"/>
                <w:sz w:val="24"/>
                <w:szCs w:val="24"/>
                <w:highlight w:val="none"/>
                <w:lang w:val="en-US" w:eastAsia="zh-CN"/>
              </w:rPr>
              <w:t>造型/</w:t>
            </w:r>
            <w:r>
              <w:rPr>
                <w:rFonts w:hint="eastAsia" w:ascii="Times New Roman" w:hAnsi="Times New Roman" w:eastAsia="宋体" w:cs="Times New Roman"/>
                <w:color w:val="auto"/>
                <w:sz w:val="24"/>
                <w:szCs w:val="24"/>
                <w:highlight w:val="none"/>
                <w:lang w:val="en-US" w:eastAsia="zh-CN"/>
              </w:rPr>
              <w:t>浇铸废气污染物产生量分别为：</w:t>
            </w:r>
          </w:p>
          <w:p w14:paraId="4E49A9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颗粒物：0.367千克/吨-产品×</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t/a+1.97千克/吨-产品×</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000t/a=20.067t/a</w:t>
            </w:r>
          </w:p>
          <w:p w14:paraId="6175FE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挥发性有机物：0.250千克/吨-产品×</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000t/a+0.213千克/吨-产品×</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000t/a=2.380t/a</w:t>
            </w:r>
          </w:p>
          <w:p w14:paraId="63A7E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32"/>
                <w:highlight w:val="none"/>
                <w:lang w:val="en-US" w:eastAsia="zh-CN"/>
              </w:rPr>
              <w:t>企业</w:t>
            </w:r>
            <w:r>
              <w:rPr>
                <w:rFonts w:hint="default" w:ascii="Times New Roman" w:hAnsi="Times New Roman" w:eastAsia="宋体" w:cs="Times New Roman"/>
                <w:color w:val="auto"/>
                <w:sz w:val="24"/>
                <w:szCs w:val="32"/>
                <w:highlight w:val="none"/>
                <w:lang w:val="en-US" w:eastAsia="zh-CN"/>
              </w:rPr>
              <w:t>拟</w:t>
            </w:r>
            <w:r>
              <w:rPr>
                <w:rFonts w:hint="eastAsia" w:ascii="Times New Roman" w:hAnsi="Times New Roman" w:eastAsia="宋体" w:cs="Times New Roman"/>
                <w:color w:val="auto"/>
                <w:sz w:val="24"/>
                <w:szCs w:val="32"/>
                <w:highlight w:val="none"/>
                <w:lang w:val="en-US" w:eastAsia="zh-CN"/>
              </w:rPr>
              <w:t>对</w:t>
            </w:r>
            <w:r>
              <w:rPr>
                <w:rFonts w:hint="eastAsia" w:cs="Times New Roman"/>
                <w:b/>
                <w:bCs/>
                <w:color w:val="auto"/>
                <w:sz w:val="24"/>
                <w:szCs w:val="32"/>
                <w:highlight w:val="none"/>
                <w:lang w:val="en-US" w:eastAsia="zh-CN"/>
              </w:rPr>
              <w:t>造型/</w:t>
            </w:r>
            <w:r>
              <w:rPr>
                <w:rFonts w:hint="eastAsia" w:ascii="Times New Roman" w:hAnsi="Times New Roman" w:eastAsia="宋体" w:cs="Times New Roman"/>
                <w:b/>
                <w:bCs/>
                <w:color w:val="auto"/>
                <w:sz w:val="24"/>
                <w:szCs w:val="32"/>
                <w:highlight w:val="none"/>
                <w:lang w:val="en-US" w:eastAsia="zh-CN"/>
              </w:rPr>
              <w:t>浇铸区</w:t>
            </w:r>
            <w:r>
              <w:rPr>
                <w:rFonts w:hint="eastAsia" w:cs="Times New Roman"/>
                <w:color w:val="auto"/>
                <w:sz w:val="24"/>
                <w:szCs w:val="32"/>
                <w:highlight w:val="none"/>
                <w:lang w:val="en-US" w:eastAsia="zh-CN"/>
              </w:rPr>
              <w:t>进行废气收集</w:t>
            </w:r>
            <w:r>
              <w:rPr>
                <w:rFonts w:hint="eastAsia" w:ascii="Times New Roman" w:hAnsi="Times New Roman" w:eastAsia="宋体" w:cs="Times New Roman"/>
                <w:color w:val="auto"/>
                <w:sz w:val="24"/>
                <w:szCs w:val="32"/>
                <w:highlight w:val="none"/>
                <w:lang w:val="en-US" w:eastAsia="zh-CN"/>
              </w:rPr>
              <w:t>，并新</w:t>
            </w:r>
            <w:r>
              <w:rPr>
                <w:rFonts w:hint="default" w:ascii="Times New Roman" w:hAnsi="Times New Roman" w:eastAsia="宋体" w:cs="Times New Roman"/>
                <w:color w:val="auto"/>
                <w:sz w:val="24"/>
                <w:szCs w:val="32"/>
                <w:highlight w:val="none"/>
                <w:lang w:val="en-US" w:eastAsia="zh-CN"/>
              </w:rPr>
              <w:t>建一套</w:t>
            </w:r>
            <w:r>
              <w:rPr>
                <w:rFonts w:hint="default" w:ascii="Times New Roman" w:hAnsi="Times New Roman" w:eastAsia="宋体" w:cs="Times New Roman"/>
                <w:b/>
                <w:bCs/>
                <w:color w:val="auto"/>
                <w:sz w:val="24"/>
                <w:szCs w:val="32"/>
                <w:highlight w:val="none"/>
                <w:lang w:val="en-US" w:eastAsia="zh-CN"/>
              </w:rPr>
              <w:t>废气</w:t>
            </w:r>
            <w:r>
              <w:rPr>
                <w:rFonts w:hint="eastAsia" w:cs="Times New Roman"/>
                <w:b/>
                <w:bCs/>
                <w:color w:val="auto"/>
                <w:sz w:val="24"/>
                <w:szCs w:val="32"/>
                <w:highlight w:val="none"/>
                <w:lang w:val="en-US" w:eastAsia="zh-CN"/>
              </w:rPr>
              <w:t>侧吸</w:t>
            </w:r>
            <w:r>
              <w:rPr>
                <w:rFonts w:hint="default" w:ascii="Times New Roman" w:hAnsi="Times New Roman" w:eastAsia="宋体" w:cs="Times New Roman"/>
                <w:b/>
                <w:bCs/>
                <w:color w:val="auto"/>
                <w:sz w:val="24"/>
                <w:szCs w:val="32"/>
                <w:highlight w:val="none"/>
                <w:lang w:val="en-US" w:eastAsia="zh-CN"/>
              </w:rPr>
              <w:t>收集系统</w:t>
            </w:r>
            <w:r>
              <w:rPr>
                <w:rFonts w:hint="default" w:ascii="Times New Roman" w:hAnsi="Times New Roman" w:eastAsia="宋体" w:cs="Times New Roman"/>
                <w:color w:val="auto"/>
                <w:sz w:val="24"/>
                <w:szCs w:val="32"/>
                <w:highlight w:val="none"/>
                <w:lang w:val="en-US" w:eastAsia="zh-CN"/>
              </w:rPr>
              <w:t>，并</w:t>
            </w:r>
            <w:r>
              <w:rPr>
                <w:rFonts w:hint="eastAsia" w:cs="Times New Roman"/>
                <w:color w:val="auto"/>
                <w:sz w:val="24"/>
                <w:szCs w:val="32"/>
                <w:highlight w:val="none"/>
                <w:lang w:val="en-US" w:eastAsia="zh-CN"/>
              </w:rPr>
              <w:t>通过</w:t>
            </w:r>
            <w:r>
              <w:rPr>
                <w:rFonts w:hint="eastAsia" w:ascii="Times New Roman" w:hAnsi="Times New Roman" w:eastAsia="宋体" w:cs="Times New Roman"/>
                <w:color w:val="auto"/>
                <w:sz w:val="24"/>
                <w:szCs w:val="32"/>
                <w:highlight w:val="none"/>
                <w:lang w:val="en-US" w:eastAsia="zh-CN"/>
              </w:rPr>
              <w:t>“布袋除尘+二级活性炭吸附”装置（TA003-4）</w:t>
            </w:r>
            <w:r>
              <w:rPr>
                <w:rFonts w:hint="default" w:ascii="Times New Roman" w:hAnsi="Times New Roman" w:eastAsia="宋体" w:cs="Times New Roman"/>
                <w:color w:val="auto"/>
                <w:sz w:val="24"/>
                <w:szCs w:val="32"/>
                <w:highlight w:val="none"/>
                <w:lang w:val="en-US" w:eastAsia="zh-CN"/>
              </w:rPr>
              <w:t>处理</w:t>
            </w:r>
            <w:r>
              <w:rPr>
                <w:rFonts w:hint="eastAsia" w:ascii="Times New Roman" w:hAnsi="Times New Roman" w:eastAsia="宋体" w:cs="Times New Roman"/>
                <w:color w:val="auto"/>
                <w:sz w:val="24"/>
                <w:szCs w:val="32"/>
                <w:highlight w:val="none"/>
                <w:lang w:val="en-US" w:eastAsia="zh-CN"/>
              </w:rPr>
              <w:t>后通过15m高排气筒（DA00</w:t>
            </w:r>
            <w:r>
              <w:rPr>
                <w:rFonts w:hint="eastAsia" w:cs="Times New Roman"/>
                <w:color w:val="auto"/>
                <w:sz w:val="24"/>
                <w:szCs w:val="32"/>
                <w:highlight w:val="none"/>
                <w:lang w:val="en-US" w:eastAsia="zh-CN"/>
              </w:rPr>
              <w:t>4</w:t>
            </w:r>
            <w:r>
              <w:rPr>
                <w:rFonts w:hint="eastAsia" w:ascii="Times New Roman" w:hAnsi="Times New Roman" w:eastAsia="宋体" w:cs="Times New Roman"/>
                <w:color w:val="auto"/>
                <w:sz w:val="24"/>
                <w:szCs w:val="32"/>
                <w:highlight w:val="none"/>
                <w:lang w:val="en-US" w:eastAsia="zh-CN"/>
              </w:rPr>
              <w:t>）排放。</w:t>
            </w:r>
          </w:p>
          <w:p w14:paraId="396388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参照《排风罩的分类及技术条件》（JB/T 10286-2013）</w:t>
            </w:r>
          </w:p>
          <w:p w14:paraId="45BF61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Q=3600×[0.75××</w:t>
            </w:r>
            <m:oMath>
              <m:r>
                <m:rPr>
                  <m:sty m:val="p"/>
                </m:rPr>
                <w:rPr>
                  <w:rFonts w:ascii="Cambria Math" w:hAnsi="Cambria Math" w:cs="Times New Roman"/>
                  <w:color w:val="auto"/>
                  <w:sz w:val="24"/>
                  <w:szCs w:val="24"/>
                  <w:highlight w:val="none"/>
                  <w:lang w:val="en-US"/>
                </w:rPr>
                <m:t>√</m:t>
              </m:r>
            </m:oMath>
            <w:r>
              <w:rPr>
                <w:rFonts w:hint="eastAsia" w:ascii="Times New Roman" w:hAnsi="Times New Roman" w:eastAsia="宋体" w:cs="Times New Roman"/>
                <w:color w:val="auto"/>
                <w:sz w:val="24"/>
                <w:szCs w:val="24"/>
                <w:highlight w:val="none"/>
                <w:lang w:val="en-US" w:eastAsia="zh-CN"/>
              </w:rPr>
              <w:t>A+</w:t>
            </w:r>
            <w:r>
              <w:rPr>
                <w:rFonts w:hint="eastAsia" w:cs="Times New Roman"/>
                <w:color w:val="auto"/>
                <w:sz w:val="24"/>
                <w:szCs w:val="24"/>
                <w:highlight w:val="none"/>
                <w:lang w:val="en-US" w:eastAsia="zh-CN"/>
              </w:rPr>
              <w:t>V</w:t>
            </w:r>
            <w:r>
              <w:rPr>
                <w:rFonts w:hint="eastAsia" w:ascii="Times New Roman" w:hAnsi="Times New Roman" w:eastAsia="宋体" w:cs="Times New Roman"/>
                <w:color w:val="auto"/>
                <w:sz w:val="24"/>
                <w:szCs w:val="24"/>
                <w:highlight w:val="none"/>
                <w:vertAlign w:val="subscript"/>
                <w:lang w:val="en-US" w:eastAsia="zh-CN"/>
              </w:rPr>
              <w:t>0</w:t>
            </w:r>
            <w:r>
              <w:rPr>
                <w:rFonts w:hint="eastAsia" w:ascii="Times New Roman" w:hAnsi="Times New Roman" w:eastAsia="宋体" w:cs="Times New Roman"/>
                <w:color w:val="auto"/>
                <w:sz w:val="24"/>
                <w:szCs w:val="24"/>
                <w:highlight w:val="none"/>
                <w:lang w:val="en-US" w:eastAsia="zh-CN"/>
              </w:rPr>
              <w:t>×A]</w:t>
            </w:r>
          </w:p>
          <w:p w14:paraId="19B208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根据企业提供的资料，项目</w:t>
            </w:r>
            <w:r>
              <w:rPr>
                <w:rFonts w:hint="eastAsia" w:cs="Times New Roman"/>
                <w:color w:val="auto"/>
                <w:sz w:val="24"/>
                <w:szCs w:val="32"/>
                <w:highlight w:val="none"/>
                <w:lang w:val="en-US" w:eastAsia="zh-CN"/>
              </w:rPr>
              <w:t>造型/</w:t>
            </w:r>
            <w:r>
              <w:rPr>
                <w:rFonts w:hint="eastAsia" w:ascii="Times New Roman" w:hAnsi="Times New Roman" w:eastAsia="宋体" w:cs="Times New Roman"/>
                <w:color w:val="auto"/>
                <w:sz w:val="24"/>
                <w:szCs w:val="32"/>
                <w:highlight w:val="none"/>
                <w:lang w:val="en-US" w:eastAsia="zh-CN"/>
              </w:rPr>
              <w:t>浇铸区所在的废气侧吸</w:t>
            </w:r>
            <w:r>
              <w:rPr>
                <w:rFonts w:hint="eastAsia" w:cs="Times New Roman"/>
                <w:color w:val="auto"/>
                <w:sz w:val="24"/>
                <w:szCs w:val="32"/>
                <w:highlight w:val="none"/>
                <w:lang w:val="en-US" w:eastAsia="zh-CN"/>
              </w:rPr>
              <w:t>集气罩</w:t>
            </w:r>
            <w:r>
              <w:rPr>
                <w:rFonts w:hint="eastAsia" w:ascii="Times New Roman" w:hAnsi="Times New Roman" w:eastAsia="宋体" w:cs="Times New Roman"/>
                <w:color w:val="auto"/>
                <w:sz w:val="24"/>
                <w:szCs w:val="24"/>
                <w:highlight w:val="none"/>
                <w:lang w:val="en-US" w:eastAsia="zh-CN"/>
              </w:rPr>
              <w:t>尺寸约为：A=</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m×1m=</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x</w:t>
            </w:r>
            <w:r>
              <w:rPr>
                <w:rFonts w:hint="eastAsia" w:ascii="Times New Roman" w:hAnsi="Times New Roman" w:eastAsia="宋体" w:cs="Times New Roman"/>
                <w:color w:val="auto"/>
                <w:sz w:val="24"/>
                <w:szCs w:val="24"/>
                <w:highlight w:val="none"/>
                <w:lang w:val="en-US" w:eastAsia="zh-CN"/>
              </w:rPr>
              <w:t>（控制风速）</w:t>
            </w:r>
            <w:r>
              <w:rPr>
                <w:rFonts w:hint="eastAsia" w:cs="Times New Roman"/>
                <w:color w:val="auto"/>
                <w:sz w:val="24"/>
                <w:szCs w:val="24"/>
                <w:highlight w:val="none"/>
                <w:lang w:val="en-US" w:eastAsia="zh-CN"/>
              </w:rPr>
              <w:t>取0.8m/s，V</w:t>
            </w:r>
            <w:r>
              <w:rPr>
                <w:rFonts w:hint="eastAsia" w:cs="Times New Roman"/>
                <w:color w:val="auto"/>
                <w:sz w:val="24"/>
                <w:szCs w:val="24"/>
                <w:highlight w:val="none"/>
                <w:vertAlign w:val="subscript"/>
                <w:lang w:val="en-US" w:eastAsia="zh-CN"/>
              </w:rPr>
              <w:t>x</w:t>
            </w:r>
            <w:r>
              <w:rPr>
                <w:rFonts w:hint="eastAsia" w:ascii="Times New Roman" w:hAnsi="Times New Roman" w:eastAsia="宋体" w:cs="Times New Roman"/>
                <w:color w:val="auto"/>
                <w:sz w:val="24"/>
                <w:szCs w:val="24"/>
                <w:highlight w:val="none"/>
                <w:lang w:val="en-US" w:eastAsia="zh-CN"/>
              </w:rPr>
              <w:t>（罩口断面风速）</w:t>
            </w:r>
            <w:r>
              <w:rPr>
                <w:rFonts w:hint="eastAsia" w:cs="Times New Roman"/>
                <w:color w:val="auto"/>
                <w:sz w:val="24"/>
                <w:szCs w:val="24"/>
                <w:highlight w:val="none"/>
                <w:lang w:val="en-US" w:eastAsia="zh-CN"/>
              </w:rPr>
              <w:t>取0.5m/s计算得出风量为13829</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/h，考虑到</w:t>
            </w:r>
            <w:r>
              <w:rPr>
                <w:rFonts w:hint="eastAsia" w:cs="Times New Roman"/>
                <w:color w:val="auto"/>
                <w:sz w:val="24"/>
                <w:szCs w:val="24"/>
                <w:highlight w:val="none"/>
                <w:lang w:val="en-US" w:eastAsia="zh-CN"/>
              </w:rPr>
              <w:t>风损</w:t>
            </w:r>
            <w:r>
              <w:rPr>
                <w:rFonts w:hint="eastAsia" w:ascii="Times New Roman" w:hAnsi="Times New Roman" w:eastAsia="宋体" w:cs="Times New Roman"/>
                <w:color w:val="auto"/>
                <w:sz w:val="24"/>
                <w:szCs w:val="24"/>
                <w:highlight w:val="none"/>
                <w:lang w:val="en-US" w:eastAsia="zh-CN"/>
              </w:rPr>
              <w:t>，本环评</w:t>
            </w:r>
            <w:r>
              <w:rPr>
                <w:rFonts w:hint="eastAsia" w:cs="Times New Roman"/>
                <w:color w:val="auto"/>
                <w:sz w:val="24"/>
                <w:szCs w:val="24"/>
                <w:highlight w:val="none"/>
                <w:lang w:val="en-US" w:eastAsia="zh-CN"/>
              </w:rPr>
              <w:t>浇注</w:t>
            </w:r>
            <w:r>
              <w:rPr>
                <w:rFonts w:hint="eastAsia" w:ascii="Times New Roman" w:hAnsi="Times New Roman" w:eastAsia="宋体" w:cs="Times New Roman"/>
                <w:color w:val="auto"/>
                <w:sz w:val="24"/>
                <w:szCs w:val="24"/>
                <w:highlight w:val="none"/>
                <w:lang w:val="en-US" w:eastAsia="zh-CN"/>
              </w:rPr>
              <w:t>区域废气设计风量</w:t>
            </w:r>
            <w:r>
              <w:rPr>
                <w:rFonts w:hint="eastAsia" w:cs="Times New Roman"/>
                <w:color w:val="auto"/>
                <w:sz w:val="24"/>
                <w:szCs w:val="24"/>
                <w:highlight w:val="none"/>
                <w:lang w:val="en-US" w:eastAsia="zh-CN"/>
              </w:rPr>
              <w:t>15000</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/h，收集率以</w:t>
            </w:r>
            <w:r>
              <w:rPr>
                <w:rFonts w:hint="eastAsia" w:cs="Times New Roman"/>
                <w:color w:val="auto"/>
                <w:sz w:val="24"/>
                <w:szCs w:val="24"/>
                <w:highlight w:val="none"/>
                <w:lang w:val="en-US" w:eastAsia="zh-CN"/>
              </w:rPr>
              <w:t>85</w:t>
            </w:r>
            <w:r>
              <w:rPr>
                <w:rFonts w:hint="eastAsia" w:ascii="Times New Roman" w:hAnsi="Times New Roman" w:eastAsia="宋体" w:cs="Times New Roman"/>
                <w:color w:val="auto"/>
                <w:sz w:val="24"/>
                <w:szCs w:val="24"/>
                <w:highlight w:val="none"/>
                <w:lang w:val="en-US" w:eastAsia="zh-CN"/>
              </w:rPr>
              <w:t>%计，</w:t>
            </w:r>
            <w:r>
              <w:rPr>
                <w:rFonts w:hint="eastAsia" w:ascii="Times New Roman" w:hAnsi="Times New Roman" w:eastAsia="宋体" w:cs="Times New Roman"/>
                <w:color w:val="auto"/>
                <w:sz w:val="24"/>
                <w:szCs w:val="32"/>
                <w:highlight w:val="none"/>
                <w:lang w:val="en-US" w:eastAsia="zh-CN"/>
              </w:rPr>
              <w:t>除尘效率以99.5%计</w:t>
            </w:r>
            <w:r>
              <w:rPr>
                <w:rFonts w:hint="eastAsia" w:cs="Times New Roman"/>
                <w:color w:val="auto"/>
                <w:sz w:val="24"/>
                <w:szCs w:val="32"/>
                <w:highlight w:val="none"/>
                <w:lang w:val="en-US" w:eastAsia="zh-CN"/>
              </w:rPr>
              <w:t>，有机废气吸附效率90%</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则浇铸废气颗粒物有组织排放量为2.55t/a，有机废气有组织排放量0.2023t/a。颗粒物无组织排放量为0.6t/a，有机废气无组织排放量为0.357t/a。</w:t>
            </w:r>
          </w:p>
          <w:p w14:paraId="76845BD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ascii="宋体" w:hAnsi="宋体" w:eastAsia="宋体" w:cs="宋体"/>
                <w:b/>
                <w:bCs/>
                <w:color w:val="auto"/>
                <w:kern w:val="2"/>
                <w:sz w:val="24"/>
                <w:szCs w:val="24"/>
                <w:lang w:val="en-US" w:eastAsia="zh-CN"/>
              </w:rPr>
              <w:t>⑥</w:t>
            </w:r>
            <w:r>
              <w:rPr>
                <w:rFonts w:hint="eastAsia" w:cs="Times New Roman"/>
                <w:b/>
                <w:bCs/>
                <w:color w:val="auto"/>
                <w:kern w:val="2"/>
                <w:sz w:val="24"/>
                <w:szCs w:val="24"/>
                <w:lang w:val="en-US" w:eastAsia="zh-CN"/>
              </w:rPr>
              <w:t>抛丸</w:t>
            </w:r>
            <w:r>
              <w:rPr>
                <w:rFonts w:hint="eastAsia" w:ascii="Times New Roman" w:hAnsi="Times New Roman" w:eastAsia="宋体" w:cs="Times New Roman"/>
                <w:b/>
                <w:bCs/>
                <w:color w:val="auto"/>
                <w:kern w:val="2"/>
                <w:sz w:val="24"/>
                <w:szCs w:val="24"/>
                <w:lang w:val="en-US" w:eastAsia="zh-CN"/>
              </w:rPr>
              <w:t>粉尘（G</w:t>
            </w:r>
            <w:r>
              <w:rPr>
                <w:rFonts w:hint="eastAsia" w:cs="Times New Roman"/>
                <w:b/>
                <w:bCs/>
                <w:color w:val="auto"/>
                <w:kern w:val="2"/>
                <w:sz w:val="24"/>
                <w:szCs w:val="24"/>
                <w:lang w:val="en-US" w:eastAsia="zh-CN"/>
              </w:rPr>
              <w:t>6</w:t>
            </w:r>
            <w:r>
              <w:rPr>
                <w:rFonts w:hint="eastAsia" w:ascii="Times New Roman" w:hAnsi="Times New Roman" w:eastAsia="宋体" w:cs="Times New Roman"/>
                <w:b/>
                <w:bCs/>
                <w:color w:val="auto"/>
                <w:kern w:val="2"/>
                <w:sz w:val="24"/>
                <w:szCs w:val="24"/>
                <w:lang w:val="en-US" w:eastAsia="zh-CN"/>
              </w:rPr>
              <w:t>）</w:t>
            </w:r>
          </w:p>
          <w:p w14:paraId="12444E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24"/>
                <w:highlight w:val="none"/>
                <w:lang w:val="en-US" w:eastAsia="zh-CN"/>
              </w:rPr>
              <w:t>项目浇铸成型的配件落砂后，需要将</w:t>
            </w:r>
            <w:r>
              <w:rPr>
                <w:rFonts w:hint="eastAsia" w:cs="Times New Roman"/>
                <w:color w:val="auto"/>
                <w:sz w:val="24"/>
                <w:szCs w:val="24"/>
                <w:highlight w:val="none"/>
                <w:lang w:val="en-US" w:eastAsia="zh-CN"/>
              </w:rPr>
              <w:t>表面</w:t>
            </w:r>
            <w:r>
              <w:rPr>
                <w:rFonts w:hint="eastAsia" w:ascii="Times New Roman" w:hAnsi="Times New Roman" w:eastAsia="宋体" w:cs="Times New Roman"/>
                <w:color w:val="auto"/>
                <w:sz w:val="24"/>
                <w:szCs w:val="24"/>
                <w:highlight w:val="none"/>
                <w:lang w:val="en-US" w:eastAsia="zh-CN"/>
              </w:rPr>
              <w:t>残留的砂质进行清理，本项目采用抛丸机处理</w:t>
            </w:r>
            <w:r>
              <w:rPr>
                <w:rFonts w:hint="default" w:ascii="Times New Roman" w:hAnsi="Times New Roman" w:eastAsia="宋体" w:cs="Times New Roman"/>
                <w:color w:val="auto"/>
                <w:sz w:val="24"/>
                <w:szCs w:val="32"/>
                <w:highlight w:val="none"/>
              </w:rPr>
              <w:t>后</w:t>
            </w:r>
            <w:r>
              <w:rPr>
                <w:rFonts w:hint="eastAsia" w:ascii="Times New Roman" w:hAnsi="Times New Roman" w:eastAsia="宋体" w:cs="Times New Roman"/>
                <w:color w:val="auto"/>
                <w:sz w:val="24"/>
                <w:szCs w:val="32"/>
                <w:highlight w:val="none"/>
                <w:lang w:val="en-US" w:eastAsia="zh-CN"/>
              </w:rPr>
              <w:t>再通过</w:t>
            </w:r>
            <w:r>
              <w:rPr>
                <w:rFonts w:hint="default" w:ascii="Times New Roman" w:hAnsi="Times New Roman" w:eastAsia="宋体" w:cs="Times New Roman"/>
                <w:color w:val="auto"/>
                <w:sz w:val="24"/>
                <w:szCs w:val="32"/>
                <w:highlight w:val="none"/>
              </w:rPr>
              <w:t>人工打磨的方式对表面杂质进行手工打磨处理。</w:t>
            </w:r>
            <w:r>
              <w:rPr>
                <w:rFonts w:hint="eastAsia" w:ascii="Times New Roman" w:hAnsi="Times New Roman" w:eastAsia="宋体" w:cs="Times New Roman"/>
                <w:color w:val="auto"/>
                <w:sz w:val="24"/>
                <w:szCs w:val="32"/>
                <w:highlight w:val="none"/>
                <w:lang w:val="en-US" w:eastAsia="zh-CN"/>
              </w:rPr>
              <w:t>上述过程中会产生相应的机加工粉尘（颗粒物）。</w:t>
            </w:r>
          </w:p>
          <w:p w14:paraId="65697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根据《排放源统计调查产排污核算方法和系数手册》“33-37,431-434机械行业系数手册”中的“预处理环节</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抛丸、喷砂、打磨、滚筒工艺</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所有规模”颗粒物产生系数2.19千克/吨</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产品。</w:t>
            </w:r>
          </w:p>
          <w:p w14:paraId="5ECE74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则本次技改项目</w:t>
            </w:r>
            <w:r>
              <w:rPr>
                <w:rFonts w:hint="eastAsia" w:cs="Times New Roman"/>
                <w:color w:val="auto"/>
                <w:sz w:val="24"/>
                <w:szCs w:val="24"/>
                <w:highlight w:val="none"/>
                <w:lang w:val="en-US" w:eastAsia="zh-CN"/>
              </w:rPr>
              <w:t>抛丸</w:t>
            </w:r>
            <w:r>
              <w:rPr>
                <w:rFonts w:hint="eastAsia" w:ascii="Times New Roman" w:hAnsi="Times New Roman" w:eastAsia="宋体" w:cs="Times New Roman"/>
                <w:color w:val="auto"/>
                <w:sz w:val="24"/>
                <w:szCs w:val="24"/>
                <w:highlight w:val="none"/>
                <w:lang w:val="en-US" w:eastAsia="zh-CN"/>
              </w:rPr>
              <w:t>粉尘产生量为：</w:t>
            </w:r>
          </w:p>
          <w:p w14:paraId="7F454A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2.19千克/吨-产品×10</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00t/a=</w:t>
            </w:r>
            <w:r>
              <w:rPr>
                <w:rFonts w:hint="eastAsia" w:cs="Times New Roman"/>
                <w:color w:val="auto"/>
                <w:sz w:val="24"/>
                <w:szCs w:val="24"/>
                <w:highlight w:val="none"/>
                <w:lang w:val="en-US" w:eastAsia="zh-CN"/>
              </w:rPr>
              <w:t>21.9</w:t>
            </w:r>
            <w:r>
              <w:rPr>
                <w:rFonts w:hint="eastAsia" w:ascii="Times New Roman" w:hAnsi="Times New Roman" w:eastAsia="宋体" w:cs="Times New Roman"/>
                <w:color w:val="auto"/>
                <w:sz w:val="24"/>
                <w:szCs w:val="24"/>
                <w:highlight w:val="none"/>
                <w:lang w:val="en-US" w:eastAsia="zh-CN"/>
              </w:rPr>
              <w:t>t/a</w:t>
            </w:r>
          </w:p>
          <w:p w14:paraId="397761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本次技改项目机加工工序依托现有项目抛丸机进行，</w:t>
            </w:r>
            <w:r>
              <w:rPr>
                <w:rFonts w:hint="eastAsia" w:cs="Times New Roman"/>
                <w:color w:val="auto"/>
                <w:sz w:val="24"/>
                <w:szCs w:val="24"/>
                <w:highlight w:val="none"/>
                <w:lang w:val="en-US" w:eastAsia="zh-CN"/>
              </w:rPr>
              <w:t>抛丸机分为立式与卧式，各类型产能相近，</w:t>
            </w:r>
            <w:r>
              <w:rPr>
                <w:rFonts w:hint="eastAsia" w:ascii="Times New Roman" w:hAnsi="Times New Roman" w:eastAsia="宋体" w:cs="Times New Roman"/>
                <w:color w:val="auto"/>
                <w:sz w:val="24"/>
                <w:szCs w:val="24"/>
                <w:highlight w:val="none"/>
                <w:lang w:val="en-US" w:eastAsia="zh-CN"/>
              </w:rPr>
              <w:t>相应的粉尘</w:t>
            </w:r>
            <w:r>
              <w:rPr>
                <w:rFonts w:hint="eastAsia" w:cs="Times New Roman"/>
                <w:color w:val="auto"/>
                <w:sz w:val="24"/>
                <w:szCs w:val="24"/>
                <w:highlight w:val="none"/>
                <w:lang w:val="en-US" w:eastAsia="zh-CN"/>
              </w:rPr>
              <w:t>分别</w:t>
            </w:r>
            <w:r>
              <w:rPr>
                <w:rFonts w:hint="eastAsia" w:ascii="Times New Roman" w:hAnsi="Times New Roman" w:eastAsia="宋体" w:cs="Times New Roman"/>
                <w:color w:val="auto"/>
                <w:sz w:val="24"/>
                <w:szCs w:val="24"/>
                <w:highlight w:val="none"/>
                <w:lang w:val="en-US" w:eastAsia="zh-CN"/>
              </w:rPr>
              <w:t>收集处理</w:t>
            </w:r>
            <w:r>
              <w:rPr>
                <w:rFonts w:hint="eastAsia" w:cs="Times New Roman"/>
                <w:color w:val="auto"/>
                <w:sz w:val="24"/>
                <w:szCs w:val="24"/>
                <w:highlight w:val="none"/>
                <w:lang w:val="en-US" w:eastAsia="zh-CN"/>
              </w:rPr>
              <w:t>后通过排气筒排放</w:t>
            </w:r>
            <w:r>
              <w:rPr>
                <w:rFonts w:hint="eastAsia" w:ascii="Times New Roman" w:hAnsi="Times New Roman" w:eastAsia="宋体" w:cs="Times New Roman"/>
                <w:color w:val="auto"/>
                <w:sz w:val="24"/>
                <w:szCs w:val="24"/>
                <w:highlight w:val="none"/>
                <w:lang w:val="en-US" w:eastAsia="zh-CN"/>
              </w:rPr>
              <w:t>。</w:t>
            </w:r>
          </w:p>
          <w:p w14:paraId="65906E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现有项目</w:t>
            </w:r>
            <w:r>
              <w:rPr>
                <w:rFonts w:hint="eastAsia" w:ascii="Times New Roman" w:hAnsi="Times New Roman" w:eastAsia="宋体" w:cs="Times New Roman"/>
                <w:color w:val="auto"/>
                <w:sz w:val="24"/>
                <w:szCs w:val="32"/>
                <w:highlight w:val="none"/>
                <w:lang w:val="en-US" w:eastAsia="zh-CN"/>
              </w:rPr>
              <w:t>抛丸粉尘经</w:t>
            </w:r>
            <w:r>
              <w:rPr>
                <w:rFonts w:hint="eastAsia" w:ascii="Times New Roman" w:hAnsi="Times New Roman" w:eastAsia="宋体" w:cs="Times New Roman"/>
                <w:color w:val="auto"/>
                <w:sz w:val="24"/>
                <w:szCs w:val="24"/>
                <w:highlight w:val="none"/>
                <w:lang w:val="en-US" w:eastAsia="zh-CN"/>
              </w:rPr>
              <w:t>自带布袋除尘器（TA00</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）处理后，通过15米高排气筒（DA00</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，内径</w:t>
            </w:r>
            <w:r>
              <w:rPr>
                <w:rFonts w:hint="eastAsia" w:cs="Times New Roman"/>
                <w:color w:val="auto"/>
                <w:sz w:val="24"/>
                <w:szCs w:val="24"/>
                <w:highlight w:val="none"/>
                <w:lang w:val="en-US" w:eastAsia="zh-CN"/>
              </w:rPr>
              <w:t>0.5</w:t>
            </w:r>
            <w:r>
              <w:rPr>
                <w:rFonts w:hint="eastAsia" w:ascii="Times New Roman" w:hAnsi="Times New Roman" w:eastAsia="宋体" w:cs="Times New Roman"/>
                <w:color w:val="auto"/>
                <w:sz w:val="24"/>
                <w:szCs w:val="24"/>
                <w:highlight w:val="none"/>
                <w:lang w:val="en-US" w:eastAsia="zh-CN"/>
              </w:rPr>
              <w:t>m）排放。颗粒物布袋除尘装置（TA00</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）处理效率为99</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立式</w:t>
            </w:r>
            <w:r>
              <w:rPr>
                <w:rFonts w:hint="eastAsia" w:ascii="Times New Roman" w:hAnsi="Times New Roman" w:eastAsia="宋体" w:cs="Times New Roman"/>
                <w:color w:val="auto"/>
                <w:sz w:val="24"/>
                <w:szCs w:val="32"/>
                <w:highlight w:val="none"/>
                <w:lang w:val="en-US" w:eastAsia="zh-CN"/>
              </w:rPr>
              <w:t>抛丸粉尘经</w:t>
            </w:r>
            <w:r>
              <w:rPr>
                <w:rFonts w:hint="eastAsia" w:ascii="Times New Roman" w:hAnsi="Times New Roman" w:eastAsia="宋体" w:cs="Times New Roman"/>
                <w:color w:val="auto"/>
                <w:sz w:val="24"/>
                <w:szCs w:val="24"/>
                <w:highlight w:val="none"/>
                <w:lang w:val="en-US" w:eastAsia="zh-CN"/>
              </w:rPr>
              <w:t>自带布袋除尘器（TA00</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，收集率以95%计）处理后，通过15米高排气筒（DA00</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）排放</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卧</w:t>
            </w:r>
            <w:r>
              <w:rPr>
                <w:rFonts w:hint="eastAsia" w:ascii="Times New Roman" w:hAnsi="Times New Roman" w:eastAsia="宋体" w:cs="Times New Roman"/>
                <w:color w:val="auto"/>
                <w:sz w:val="24"/>
                <w:szCs w:val="32"/>
                <w:highlight w:val="none"/>
                <w:lang w:val="en-US" w:eastAsia="zh-CN"/>
              </w:rPr>
              <w:t>式抛丸粉尘经自带布袋除尘器（TA005-2，收集率以95%计）处理后，通过15米高排气筒（DA006）排放。</w:t>
            </w:r>
            <w:r>
              <w:rPr>
                <w:rFonts w:hint="eastAsia" w:cs="Times New Roman"/>
                <w:color w:val="auto"/>
                <w:sz w:val="24"/>
                <w:szCs w:val="32"/>
                <w:highlight w:val="none"/>
                <w:lang w:val="en-US" w:eastAsia="zh-CN"/>
              </w:rPr>
              <w:t>则DA005、DA006颗粒物有组织排放量均为0.104t/a,抛丸工序无组织粉尘排放量为0.219t/a。</w:t>
            </w:r>
          </w:p>
          <w:p w14:paraId="50E673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color w:val="auto"/>
                <w:sz w:val="24"/>
                <w:szCs w:val="32"/>
                <w:highlight w:val="none"/>
                <w:lang w:val="en-US" w:eastAsia="zh-CN"/>
              </w:rPr>
              <w:t>综上，项目建成后全厂熔化废气（G1）、砂处理废气（G2）、打磨粉尘（G3）、制芯（射芯）废气（G4）、</w:t>
            </w:r>
            <w:r>
              <w:rPr>
                <w:rFonts w:hint="eastAsia" w:cs="Times New Roman"/>
                <w:color w:val="auto"/>
                <w:sz w:val="24"/>
                <w:szCs w:val="32"/>
                <w:highlight w:val="none"/>
                <w:lang w:val="en-US" w:eastAsia="zh-CN"/>
              </w:rPr>
              <w:t>造型/</w:t>
            </w:r>
            <w:r>
              <w:rPr>
                <w:rFonts w:hint="eastAsia" w:ascii="Times New Roman" w:hAnsi="Times New Roman" w:eastAsia="宋体" w:cs="Times New Roman"/>
                <w:color w:val="auto"/>
                <w:sz w:val="24"/>
                <w:szCs w:val="32"/>
                <w:highlight w:val="none"/>
                <w:lang w:val="en-US" w:eastAsia="zh-CN"/>
              </w:rPr>
              <w:t>浇铸废气（G5）、抛丸粉尘（G6）收集、处理情况见下表：</w:t>
            </w:r>
          </w:p>
          <w:p w14:paraId="06988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A</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本项目熔化废气（G1）经集气罩收集后与现有项目熔化废气一起送往现有“布袋除尘”（TA001）</w:t>
            </w:r>
            <w:r>
              <w:rPr>
                <w:rFonts w:hint="default" w:ascii="Times New Roman" w:hAnsi="Times New Roman" w:eastAsia="宋体" w:cs="Times New Roman"/>
                <w:color w:val="auto"/>
                <w:sz w:val="24"/>
                <w:szCs w:val="32"/>
                <w:highlight w:val="none"/>
                <w:lang w:val="en-US" w:eastAsia="zh-CN"/>
              </w:rPr>
              <w:t>处理</w:t>
            </w:r>
            <w:r>
              <w:rPr>
                <w:rFonts w:hint="eastAsia" w:ascii="Times New Roman" w:hAnsi="Times New Roman" w:eastAsia="宋体" w:cs="Times New Roman"/>
                <w:color w:val="auto"/>
                <w:sz w:val="24"/>
                <w:szCs w:val="32"/>
                <w:highlight w:val="none"/>
                <w:lang w:val="en-US" w:eastAsia="zh-CN"/>
              </w:rPr>
              <w:t>达标后通过</w:t>
            </w:r>
            <w:r>
              <w:rPr>
                <w:rFonts w:hint="eastAsia" w:ascii="Times New Roman" w:hAnsi="Times New Roman" w:eastAsia="宋体" w:cs="Times New Roman"/>
                <w:color w:val="auto"/>
                <w:sz w:val="24"/>
                <w:szCs w:val="24"/>
                <w:highlight w:val="none"/>
                <w:lang w:val="en-US" w:eastAsia="zh-CN"/>
              </w:rPr>
              <w:t>1根15m高的排气筒（DA001，内径0.4m）排放，总风量</w:t>
            </w:r>
            <w:r>
              <w:rPr>
                <w:rFonts w:hint="eastAsia" w:cs="Times New Roman"/>
                <w:color w:val="auto"/>
                <w:sz w:val="24"/>
                <w:szCs w:val="24"/>
                <w:highlight w:val="none"/>
                <w:lang w:val="en-US" w:eastAsia="zh-CN"/>
              </w:rPr>
              <w:t>30</w:t>
            </w:r>
            <w:r>
              <w:rPr>
                <w:rFonts w:hint="eastAsia" w:ascii="Times New Roman" w:hAnsi="Times New Roman" w:eastAsia="宋体" w:cs="Times New Roman"/>
                <w:color w:val="auto"/>
                <w:sz w:val="24"/>
                <w:szCs w:val="24"/>
                <w:highlight w:val="none"/>
                <w:lang w:val="en-US" w:eastAsia="zh-CN"/>
              </w:rPr>
              <w:t>00</w:t>
            </w:r>
            <w:r>
              <w:rPr>
                <w:rFonts w:hint="eastAsia" w:ascii="Times New Roman" w:hAnsi="Times New Roman" w:eastAsia="宋体" w:cs="Times New Roman"/>
                <w:color w:val="auto"/>
                <w:sz w:val="24"/>
                <w:szCs w:val="32"/>
                <w:highlight w:val="none"/>
                <w:lang w:val="en-US" w:eastAsia="zh-CN"/>
              </w:rPr>
              <w:t>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w:t>
            </w:r>
          </w:p>
          <w:p w14:paraId="4BE626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B</w:t>
            </w:r>
            <w:r>
              <w:rPr>
                <w:rFonts w:hint="eastAsia" w:cs="Times New Roman"/>
                <w:color w:val="auto"/>
                <w:sz w:val="24"/>
                <w:szCs w:val="24"/>
                <w:highlight w:val="none"/>
                <w:lang w:val="en-US" w:eastAsia="zh-CN"/>
              </w:rPr>
              <w:t>.本项目砂处理废气（G2）经集气罩收集后，经“布袋除尘器”处理达标后通过15米高排气筒（DA002）排放。</w:t>
            </w:r>
          </w:p>
          <w:p w14:paraId="023740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C.全厂打磨粉尘（G3）经“布袋除尘器”处理达标后通过15米高排气筒（DA003）排放。</w:t>
            </w:r>
          </w:p>
          <w:p w14:paraId="34EDEF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32"/>
                <w:highlight w:val="none"/>
                <w:lang w:val="en-US" w:eastAsia="zh-CN"/>
              </w:rPr>
              <w:t>D</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全厂</w:t>
            </w:r>
            <w:r>
              <w:rPr>
                <w:rFonts w:hint="eastAsia" w:ascii="Times New Roman" w:hAnsi="Times New Roman" w:eastAsia="宋体" w:cs="Times New Roman"/>
                <w:color w:val="auto"/>
                <w:sz w:val="24"/>
                <w:szCs w:val="24"/>
                <w:highlight w:val="none"/>
                <w:lang w:val="en-US" w:eastAsia="zh-CN"/>
              </w:rPr>
              <w:t>制芯（射芯）废气（G</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）经集气罩收集后，依托现有“布袋除尘器+二级活性炭吸附”装置（TA00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）处理达标后通过15米高排气筒（DA00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）排放，总风量</w:t>
            </w:r>
            <w:r>
              <w:rPr>
                <w:rFonts w:hint="eastAsia" w:ascii="Times New Roman" w:hAnsi="Times New Roman" w:eastAsia="宋体" w:cs="Times New Roman"/>
                <w:color w:val="auto"/>
                <w:sz w:val="24"/>
                <w:szCs w:val="32"/>
                <w:highlight w:val="none"/>
                <w:lang w:val="en-US" w:eastAsia="zh-CN"/>
              </w:rPr>
              <w:t>26500m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w:t>
            </w:r>
          </w:p>
          <w:p w14:paraId="39EDCF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E.</w:t>
            </w:r>
            <w:r>
              <w:rPr>
                <w:rFonts w:hint="eastAsia" w:ascii="Times New Roman" w:hAnsi="Times New Roman" w:eastAsia="宋体" w:cs="Times New Roman"/>
                <w:color w:val="auto"/>
                <w:sz w:val="24"/>
                <w:szCs w:val="32"/>
                <w:highlight w:val="none"/>
                <w:lang w:val="en-US" w:eastAsia="zh-CN"/>
              </w:rPr>
              <w:t>本</w:t>
            </w:r>
            <w:r>
              <w:rPr>
                <w:rFonts w:hint="eastAsia" w:cs="Times New Roman"/>
                <w:color w:val="auto"/>
                <w:sz w:val="24"/>
                <w:szCs w:val="32"/>
                <w:highlight w:val="none"/>
                <w:lang w:val="en-US" w:eastAsia="zh-CN"/>
              </w:rPr>
              <w:t>项目造型/</w:t>
            </w:r>
            <w:r>
              <w:rPr>
                <w:rFonts w:hint="eastAsia" w:ascii="Times New Roman" w:hAnsi="Times New Roman" w:eastAsia="宋体" w:cs="Times New Roman"/>
                <w:color w:val="auto"/>
                <w:sz w:val="24"/>
                <w:szCs w:val="32"/>
                <w:highlight w:val="none"/>
                <w:lang w:val="en-US" w:eastAsia="zh-CN"/>
              </w:rPr>
              <w:t>浇铸废气（G</w:t>
            </w:r>
            <w:r>
              <w:rPr>
                <w:rFonts w:hint="eastAsia" w:cs="Times New Roman"/>
                <w:color w:val="auto"/>
                <w:sz w:val="24"/>
                <w:szCs w:val="32"/>
                <w:highlight w:val="none"/>
                <w:lang w:val="en-US" w:eastAsia="zh-CN"/>
              </w:rPr>
              <w:t>5</w:t>
            </w:r>
            <w:r>
              <w:rPr>
                <w:rFonts w:hint="eastAsia" w:ascii="Times New Roman" w:hAnsi="Times New Roman" w:eastAsia="宋体" w:cs="Times New Roman"/>
                <w:color w:val="auto"/>
                <w:sz w:val="24"/>
                <w:szCs w:val="32"/>
                <w:highlight w:val="none"/>
                <w:lang w:val="en-US" w:eastAsia="zh-CN"/>
              </w:rPr>
              <w:t>）经</w:t>
            </w:r>
            <w:r>
              <w:rPr>
                <w:rFonts w:hint="eastAsia" w:cs="Times New Roman"/>
                <w:color w:val="auto"/>
                <w:sz w:val="24"/>
                <w:szCs w:val="32"/>
                <w:highlight w:val="none"/>
                <w:lang w:val="en-US" w:eastAsia="zh-CN"/>
              </w:rPr>
              <w:t>侧吸装置</w:t>
            </w:r>
            <w:r>
              <w:rPr>
                <w:rFonts w:hint="eastAsia" w:ascii="Times New Roman" w:hAnsi="Times New Roman" w:eastAsia="宋体" w:cs="Times New Roman"/>
                <w:color w:val="auto"/>
                <w:sz w:val="24"/>
                <w:szCs w:val="32"/>
                <w:highlight w:val="none"/>
                <w:lang w:val="en-US" w:eastAsia="zh-CN"/>
              </w:rPr>
              <w:t>收集后</w:t>
            </w:r>
            <w:r>
              <w:rPr>
                <w:rFonts w:hint="eastAsia" w:cs="Times New Roman"/>
                <w:color w:val="auto"/>
                <w:sz w:val="24"/>
                <w:szCs w:val="24"/>
                <w:highlight w:val="none"/>
                <w:lang w:val="en-US" w:eastAsia="zh-CN"/>
              </w:rPr>
              <w:t>通过</w:t>
            </w:r>
            <w:r>
              <w:rPr>
                <w:rFonts w:hint="eastAsia" w:ascii="Times New Roman" w:hAnsi="Times New Roman" w:eastAsia="宋体" w:cs="Times New Roman"/>
                <w:color w:val="auto"/>
                <w:sz w:val="24"/>
                <w:szCs w:val="24"/>
                <w:highlight w:val="none"/>
                <w:lang w:val="en-US" w:eastAsia="zh-CN"/>
              </w:rPr>
              <w:t>“布袋除尘器+二级活性炭吸附装置”</w:t>
            </w:r>
            <w:r>
              <w:rPr>
                <w:rFonts w:hint="eastAsia" w:ascii="Times New Roman" w:hAnsi="Times New Roman" w:eastAsia="宋体" w:cs="Times New Roman"/>
                <w:color w:val="auto"/>
                <w:sz w:val="24"/>
                <w:szCs w:val="32"/>
                <w:highlight w:val="none"/>
                <w:lang w:val="en-US" w:eastAsia="zh-CN"/>
              </w:rPr>
              <w:t>（TA00</w:t>
            </w:r>
            <w:r>
              <w:rPr>
                <w:rFonts w:hint="eastAsia" w:cs="Times New Roman"/>
                <w:color w:val="auto"/>
                <w:sz w:val="24"/>
                <w:szCs w:val="32"/>
                <w:highlight w:val="none"/>
                <w:lang w:val="en-US" w:eastAsia="zh-CN"/>
              </w:rPr>
              <w:t>4</w:t>
            </w:r>
            <w:r>
              <w:rPr>
                <w:rFonts w:hint="eastAsia" w:ascii="Times New Roman" w:hAnsi="Times New Roman" w:eastAsia="宋体" w:cs="Times New Roman"/>
                <w:color w:val="auto"/>
                <w:sz w:val="24"/>
                <w:szCs w:val="32"/>
                <w:highlight w:val="none"/>
                <w:lang w:val="en-US" w:eastAsia="zh-CN"/>
              </w:rPr>
              <w:t>）</w:t>
            </w:r>
            <w:r>
              <w:rPr>
                <w:rFonts w:hint="default" w:ascii="Times New Roman" w:hAnsi="Times New Roman" w:eastAsia="宋体" w:cs="Times New Roman"/>
                <w:color w:val="auto"/>
                <w:sz w:val="24"/>
                <w:szCs w:val="32"/>
                <w:highlight w:val="none"/>
                <w:lang w:val="en-US" w:eastAsia="zh-CN"/>
              </w:rPr>
              <w:t>处理</w:t>
            </w:r>
            <w:r>
              <w:rPr>
                <w:rFonts w:hint="eastAsia" w:ascii="Times New Roman" w:hAnsi="Times New Roman" w:eastAsia="宋体" w:cs="Times New Roman"/>
                <w:color w:val="auto"/>
                <w:sz w:val="24"/>
                <w:szCs w:val="24"/>
                <w:highlight w:val="none"/>
                <w:lang w:val="en-US" w:eastAsia="zh-CN"/>
              </w:rPr>
              <w:t>达标后通过15米高排气筒（DA00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）排放，总风量</w:t>
            </w:r>
            <w:r>
              <w:rPr>
                <w:rFonts w:hint="eastAsia" w:cs="Times New Roman"/>
                <w:color w:val="auto"/>
                <w:sz w:val="24"/>
                <w:szCs w:val="32"/>
                <w:highlight w:val="none"/>
                <w:lang w:val="en-US" w:eastAsia="zh-CN"/>
              </w:rPr>
              <w:t>8</w:t>
            </w:r>
            <w:r>
              <w:rPr>
                <w:rFonts w:hint="eastAsia" w:ascii="Times New Roman" w:hAnsi="Times New Roman" w:eastAsia="宋体" w:cs="Times New Roman"/>
                <w:color w:val="auto"/>
                <w:sz w:val="24"/>
                <w:szCs w:val="32"/>
                <w:highlight w:val="none"/>
                <w:lang w:val="en-US" w:eastAsia="zh-CN"/>
              </w:rPr>
              <w:t>000m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w:t>
            </w:r>
          </w:p>
          <w:p w14:paraId="4FACE1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F.</w:t>
            </w:r>
            <w:r>
              <w:rPr>
                <w:rFonts w:hint="eastAsia" w:ascii="Times New Roman" w:hAnsi="Times New Roman" w:eastAsia="宋体" w:cs="Times New Roman"/>
                <w:color w:val="auto"/>
                <w:sz w:val="24"/>
                <w:szCs w:val="24"/>
                <w:highlight w:val="none"/>
                <w:lang w:val="en-US" w:eastAsia="zh-CN"/>
              </w:rPr>
              <w:t>全厂</w:t>
            </w:r>
            <w:r>
              <w:rPr>
                <w:rFonts w:hint="eastAsia" w:cs="Times New Roman"/>
                <w:color w:val="auto"/>
                <w:sz w:val="24"/>
                <w:szCs w:val="24"/>
                <w:highlight w:val="none"/>
                <w:lang w:val="en-US" w:eastAsia="zh-CN"/>
              </w:rPr>
              <w:t>抛丸</w:t>
            </w:r>
            <w:r>
              <w:rPr>
                <w:rFonts w:hint="eastAsia" w:ascii="Times New Roman" w:hAnsi="Times New Roman" w:eastAsia="宋体" w:cs="Times New Roman"/>
                <w:color w:val="auto"/>
                <w:sz w:val="24"/>
                <w:szCs w:val="24"/>
                <w:highlight w:val="none"/>
                <w:lang w:val="en-US" w:eastAsia="zh-CN"/>
              </w:rPr>
              <w:t>粉尘（G</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）中：抛丸粉尘</w:t>
            </w:r>
            <w:r>
              <w:rPr>
                <w:rFonts w:hint="eastAsia" w:ascii="Times New Roman" w:hAnsi="Times New Roman" w:eastAsia="宋体" w:cs="Times New Roman"/>
                <w:color w:val="auto"/>
                <w:sz w:val="24"/>
                <w:szCs w:val="32"/>
                <w:highlight w:val="none"/>
                <w:lang w:val="en-US" w:eastAsia="zh-CN"/>
              </w:rPr>
              <w:t>经</w:t>
            </w:r>
            <w:r>
              <w:rPr>
                <w:rFonts w:hint="eastAsia" w:ascii="Times New Roman" w:hAnsi="Times New Roman" w:eastAsia="宋体" w:cs="Times New Roman"/>
                <w:color w:val="auto"/>
                <w:sz w:val="24"/>
                <w:szCs w:val="24"/>
                <w:highlight w:val="none"/>
                <w:lang w:val="en-US" w:eastAsia="zh-CN"/>
              </w:rPr>
              <w:t>布袋除尘装置（TA00</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1、TA005-2</w:t>
            </w:r>
            <w:r>
              <w:rPr>
                <w:rFonts w:hint="eastAsia" w:ascii="Times New Roman" w:hAnsi="Times New Roman" w:eastAsia="宋体" w:cs="Times New Roman"/>
                <w:color w:val="auto"/>
                <w:sz w:val="24"/>
                <w:szCs w:val="24"/>
                <w:highlight w:val="none"/>
                <w:lang w:val="en-US" w:eastAsia="zh-CN"/>
              </w:rPr>
              <w:t>）处理后，通过15米高排气筒（DA00</w:t>
            </w:r>
            <w:r>
              <w:rPr>
                <w:rFonts w:hint="eastAsia" w:cs="Times New Roman"/>
                <w:color w:val="auto"/>
                <w:sz w:val="24"/>
                <w:szCs w:val="24"/>
                <w:highlight w:val="none"/>
                <w:lang w:val="en-US" w:eastAsia="zh-CN"/>
              </w:rPr>
              <w:t>5、DA006</w:t>
            </w:r>
            <w:r>
              <w:rPr>
                <w:rFonts w:hint="eastAsia" w:ascii="Times New Roman" w:hAnsi="Times New Roman" w:eastAsia="宋体" w:cs="Times New Roman"/>
                <w:color w:val="auto"/>
                <w:sz w:val="24"/>
                <w:szCs w:val="24"/>
                <w:highlight w:val="none"/>
                <w:lang w:val="en-US" w:eastAsia="zh-CN"/>
              </w:rPr>
              <w:t>）排放。风量</w:t>
            </w:r>
            <w:r>
              <w:rPr>
                <w:rFonts w:hint="eastAsia" w:cs="Times New Roman"/>
                <w:color w:val="auto"/>
                <w:sz w:val="24"/>
                <w:szCs w:val="24"/>
                <w:highlight w:val="none"/>
                <w:lang w:val="en-US" w:eastAsia="zh-CN"/>
              </w:rPr>
              <w:t>均为2</w:t>
            </w:r>
            <w:r>
              <w:rPr>
                <w:rFonts w:hint="eastAsia" w:ascii="Times New Roman" w:hAnsi="Times New Roman" w:eastAsia="宋体" w:cs="Times New Roman"/>
                <w:color w:val="auto"/>
                <w:sz w:val="24"/>
                <w:szCs w:val="24"/>
                <w:highlight w:val="none"/>
                <w:lang w:val="en-US" w:eastAsia="zh-CN"/>
              </w:rPr>
              <w:t>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w:t>
            </w:r>
            <w:r>
              <w:rPr>
                <w:rFonts w:hint="eastAsia" w:ascii="Times New Roman" w:hAnsi="Times New Roman" w:eastAsia="宋体" w:cs="Times New Roman"/>
                <w:color w:val="auto"/>
                <w:sz w:val="24"/>
                <w:szCs w:val="32"/>
                <w:highlight w:val="none"/>
                <w:lang w:val="en-US" w:eastAsia="zh-CN"/>
              </w:rPr>
              <w:t>；</w:t>
            </w:r>
          </w:p>
          <w:p w14:paraId="5BF6EDF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eastAsia" w:ascii="Times New Roman" w:hAnsi="Times New Roman" w:eastAsia="宋体" w:cs="Times New Roman"/>
                <w:color w:val="auto"/>
                <w:kern w:val="2"/>
                <w:sz w:val="24"/>
                <w:szCs w:val="32"/>
                <w:highlight w:val="none"/>
                <w:lang w:val="en-US" w:eastAsia="zh-CN" w:bidi="ar-SA"/>
              </w:rPr>
            </w:pPr>
            <w:r>
              <w:rPr>
                <w:rFonts w:hint="eastAsia" w:ascii="Times New Roman" w:hAnsi="Times New Roman" w:eastAsia="宋体" w:cs="Times New Roman"/>
                <w:color w:val="auto"/>
                <w:kern w:val="2"/>
                <w:sz w:val="24"/>
                <w:szCs w:val="32"/>
                <w:highlight w:val="none"/>
                <w:lang w:val="en-US" w:eastAsia="zh-CN" w:bidi="ar-SA"/>
              </w:rPr>
              <w:t>G.项目使用酚醛树脂，浇铸温度约1320℃，在浇铸过程中会产生少量的甲醛，根据《通用铸造用酚醛树脂》（‌标准号‌：‌GB/T 24413-2009；铸造用环保型酚醛树脂中游离甲醛≤0.3%，（本次评价取最不利条件0.3%），甲醛挥发系数取20%。项目酚醛树脂用量10t/a，则甲醛产生量为0.006t/a。</w:t>
            </w:r>
          </w:p>
          <w:p w14:paraId="496FF2E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⑤本次技改后现有废气变动情况</w:t>
            </w:r>
          </w:p>
          <w:p w14:paraId="701E59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A</w:t>
            </w:r>
            <w:r>
              <w:rPr>
                <w:rFonts w:hint="eastAsia"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造型/浇铸废气</w:t>
            </w:r>
          </w:p>
          <w:p w14:paraId="545B5A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现有项目</w:t>
            </w:r>
            <w:r>
              <w:rPr>
                <w:rFonts w:hint="eastAsia" w:ascii="Times New Roman" w:hAnsi="Times New Roman" w:eastAsia="宋体" w:cs="Times New Roman"/>
                <w:color w:val="auto"/>
                <w:sz w:val="24"/>
                <w:szCs w:val="32"/>
                <w:highlight w:val="none"/>
                <w:lang w:val="en-US" w:eastAsia="zh-CN"/>
              </w:rPr>
              <w:t>造型/浇铸</w:t>
            </w:r>
            <w:r>
              <w:rPr>
                <w:rFonts w:hint="eastAsia" w:ascii="Times New Roman" w:hAnsi="Times New Roman" w:eastAsia="宋体" w:cs="Times New Roman"/>
                <w:color w:val="auto"/>
                <w:sz w:val="24"/>
                <w:szCs w:val="24"/>
                <w:highlight w:val="none"/>
                <w:lang w:val="en-US" w:eastAsia="zh-CN"/>
              </w:rPr>
              <w:t>废气</w:t>
            </w:r>
            <w:r>
              <w:rPr>
                <w:rFonts w:hint="eastAsia" w:cs="Times New Roman"/>
                <w:color w:val="auto"/>
                <w:sz w:val="24"/>
                <w:szCs w:val="24"/>
                <w:highlight w:val="none"/>
                <w:lang w:val="en-US" w:eastAsia="zh-CN"/>
              </w:rPr>
              <w:t>无组织排放，技改后</w:t>
            </w:r>
            <w:r>
              <w:rPr>
                <w:rFonts w:hint="eastAsia" w:ascii="Times New Roman" w:hAnsi="Times New Roman" w:eastAsia="宋体" w:cs="Times New Roman"/>
                <w:color w:val="auto"/>
                <w:sz w:val="24"/>
                <w:szCs w:val="32"/>
                <w:highlight w:val="none"/>
                <w:lang w:val="en-US" w:eastAsia="zh-CN"/>
              </w:rPr>
              <w:t>企业</w:t>
            </w:r>
            <w:r>
              <w:rPr>
                <w:rFonts w:hint="eastAsia" w:cs="Times New Roman"/>
                <w:color w:val="auto"/>
                <w:sz w:val="24"/>
                <w:szCs w:val="32"/>
                <w:highlight w:val="none"/>
                <w:lang w:val="en-US" w:eastAsia="zh-CN"/>
              </w:rPr>
              <w:t>造型/</w:t>
            </w:r>
            <w:r>
              <w:rPr>
                <w:rFonts w:hint="eastAsia" w:ascii="Times New Roman" w:hAnsi="Times New Roman" w:eastAsia="宋体" w:cs="Times New Roman"/>
                <w:color w:val="auto"/>
                <w:sz w:val="24"/>
                <w:szCs w:val="32"/>
                <w:highlight w:val="none"/>
                <w:lang w:val="en-US" w:eastAsia="zh-CN"/>
              </w:rPr>
              <w:t>浇铸区</w:t>
            </w:r>
            <w:r>
              <w:rPr>
                <w:rFonts w:hint="eastAsia" w:cs="Times New Roman"/>
                <w:color w:val="auto"/>
                <w:sz w:val="24"/>
                <w:szCs w:val="32"/>
                <w:highlight w:val="none"/>
                <w:lang w:val="en-US" w:eastAsia="zh-CN"/>
              </w:rPr>
              <w:t>废气</w:t>
            </w:r>
            <w:r>
              <w:rPr>
                <w:rFonts w:hint="eastAsia" w:ascii="Times New Roman" w:hAnsi="Times New Roman" w:eastAsia="宋体" w:cs="Times New Roman"/>
                <w:color w:val="auto"/>
                <w:sz w:val="24"/>
                <w:szCs w:val="24"/>
                <w:highlight w:val="none"/>
                <w:lang w:val="en-US" w:eastAsia="zh-CN"/>
              </w:rPr>
              <w:t>经移动式侧吸罩收集后经</w:t>
            </w:r>
            <w:r>
              <w:rPr>
                <w:rFonts w:hint="eastAsia" w:ascii="Times New Roman" w:hAnsi="Times New Roman" w:eastAsia="宋体" w:cs="Times New Roman"/>
                <w:color w:val="auto"/>
                <w:sz w:val="24"/>
                <w:szCs w:val="32"/>
                <w:highlight w:val="none"/>
                <w:lang w:val="en-US" w:eastAsia="zh-CN"/>
              </w:rPr>
              <w:t>“布袋除尘装置+活性炭吸附</w:t>
            </w:r>
            <w:r>
              <w:rPr>
                <w:rFonts w:hint="default" w:ascii="Times New Roman" w:hAnsi="Times New Roman" w:eastAsia="宋体" w:cs="Times New Roman"/>
                <w:color w:val="auto"/>
                <w:sz w:val="24"/>
                <w:szCs w:val="32"/>
                <w:highlight w:val="none"/>
                <w:lang w:val="en-US" w:eastAsia="zh-CN"/>
              </w:rPr>
              <w:t>装置</w:t>
            </w:r>
            <w:r>
              <w:rPr>
                <w:rFonts w:hint="eastAsia" w:ascii="Times New Roman" w:hAnsi="Times New Roman" w:eastAsia="宋体" w:cs="Times New Roman"/>
                <w:color w:val="auto"/>
                <w:sz w:val="24"/>
                <w:szCs w:val="32"/>
                <w:highlight w:val="none"/>
                <w:lang w:val="en-US" w:eastAsia="zh-CN"/>
              </w:rPr>
              <w:t>”（TA00</w:t>
            </w:r>
            <w:r>
              <w:rPr>
                <w:rFonts w:hint="eastAsia" w:cs="Times New Roman"/>
                <w:color w:val="auto"/>
                <w:sz w:val="24"/>
                <w:szCs w:val="32"/>
                <w:highlight w:val="none"/>
                <w:lang w:val="en-US" w:eastAsia="zh-CN"/>
              </w:rPr>
              <w:t>4</w:t>
            </w:r>
            <w:r>
              <w:rPr>
                <w:rFonts w:hint="eastAsia"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24"/>
                <w:highlight w:val="none"/>
                <w:lang w:val="en-US" w:eastAsia="zh-CN"/>
              </w:rPr>
              <w:t>处理达标后</w:t>
            </w:r>
            <w:r>
              <w:rPr>
                <w:rFonts w:hint="eastAsia" w:ascii="Times New Roman" w:hAnsi="Times New Roman" w:eastAsia="宋体" w:cs="Times New Roman"/>
                <w:color w:val="auto"/>
                <w:sz w:val="24"/>
                <w:szCs w:val="32"/>
                <w:highlight w:val="none"/>
                <w:lang w:val="en-US" w:eastAsia="zh-CN"/>
              </w:rPr>
              <w:t>通过</w:t>
            </w:r>
            <w:r>
              <w:rPr>
                <w:rFonts w:hint="eastAsia" w:ascii="Times New Roman" w:hAnsi="Times New Roman" w:eastAsia="宋体" w:cs="Times New Roman"/>
                <w:color w:val="auto"/>
                <w:sz w:val="24"/>
                <w:szCs w:val="24"/>
                <w:highlight w:val="none"/>
                <w:lang w:val="en-US" w:eastAsia="zh-CN"/>
              </w:rPr>
              <w:t>15m高的排气筒（DA00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）排放。根据企业提供的资料，技改前后现有项目</w:t>
            </w:r>
            <w:r>
              <w:rPr>
                <w:rFonts w:hint="eastAsia" w:ascii="Times New Roman" w:hAnsi="Times New Roman" w:eastAsia="宋体" w:cs="Times New Roman"/>
                <w:color w:val="auto"/>
                <w:kern w:val="2"/>
                <w:sz w:val="24"/>
                <w:szCs w:val="24"/>
                <w:highlight w:val="none"/>
                <w:lang w:val="en-US" w:eastAsia="zh-CN" w:bidi="ar-SA"/>
              </w:rPr>
              <w:t>造型/浇铸废气产排情况见下表</w:t>
            </w:r>
            <w:r>
              <w:rPr>
                <w:rFonts w:hint="eastAsia" w:ascii="Times New Roman" w:hAnsi="Times New Roman" w:eastAsia="宋体" w:cs="Times New Roman"/>
                <w:color w:val="auto"/>
                <w:sz w:val="24"/>
                <w:szCs w:val="24"/>
                <w:highlight w:val="none"/>
                <w:lang w:val="en-US" w:eastAsia="zh-CN"/>
              </w:rPr>
              <w:t>：</w:t>
            </w:r>
          </w:p>
          <w:p w14:paraId="4D68295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表4-1  技改前后现有项目造型/浇铸废气产排情况表</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3"/>
              <w:gridCol w:w="1477"/>
              <w:gridCol w:w="885"/>
              <w:gridCol w:w="885"/>
              <w:gridCol w:w="1620"/>
              <w:gridCol w:w="1248"/>
              <w:gridCol w:w="1248"/>
            </w:tblGrid>
            <w:tr w14:paraId="5E3F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45EC31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b/>
                      <w:bCs/>
                      <w:color w:val="auto"/>
                      <w:sz w:val="21"/>
                      <w:szCs w:val="21"/>
                      <w:highlight w:val="none"/>
                      <w:lang w:val="en-US" w:eastAsia="zh-CN"/>
                    </w:rPr>
                    <w:t>工序</w:t>
                  </w:r>
                </w:p>
              </w:tc>
              <w:tc>
                <w:tcPr>
                  <w:tcW w:w="4214" w:type="pct"/>
                  <w:gridSpan w:val="6"/>
                  <w:noWrap w:val="0"/>
                  <w:vAlign w:val="center"/>
                </w:tcPr>
                <w:p w14:paraId="224CCE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lang w:val="en-US" w:eastAsia="zh-CN"/>
                    </w:rPr>
                  </w:pPr>
                  <w:r>
                    <w:rPr>
                      <w:rFonts w:hint="eastAsia"/>
                      <w:color w:val="auto"/>
                      <w:lang w:val="en-US" w:eastAsia="zh-CN"/>
                    </w:rPr>
                    <w:t>造型/浇铸</w:t>
                  </w:r>
                </w:p>
              </w:tc>
            </w:tr>
            <w:tr w14:paraId="3EDB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70E02F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b/>
                      <w:bCs/>
                      <w:color w:val="auto"/>
                      <w:lang w:val="en-US" w:eastAsia="zh-CN"/>
                    </w:rPr>
                    <w:t>污染物</w:t>
                  </w:r>
                </w:p>
              </w:tc>
              <w:tc>
                <w:tcPr>
                  <w:tcW w:w="1858" w:type="pct"/>
                  <w:gridSpan w:val="3"/>
                  <w:noWrap w:val="0"/>
                  <w:vAlign w:val="center"/>
                </w:tcPr>
                <w:p w14:paraId="266FCD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color w:val="auto"/>
                      <w:lang w:val="en-US" w:eastAsia="zh-CN"/>
                    </w:rPr>
                    <w:t>颗粒物</w:t>
                  </w:r>
                </w:p>
              </w:tc>
              <w:tc>
                <w:tcPr>
                  <w:tcW w:w="2355" w:type="pct"/>
                  <w:gridSpan w:val="3"/>
                  <w:noWrap w:val="0"/>
                  <w:vAlign w:val="center"/>
                </w:tcPr>
                <w:p w14:paraId="44522A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color w:val="auto"/>
                      <w:lang w:val="en-US" w:eastAsia="zh-CN"/>
                    </w:rPr>
                    <w:t>挥发性有机物</w:t>
                  </w:r>
                </w:p>
              </w:tc>
            </w:tr>
            <w:tr w14:paraId="4849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5" w:type="pct"/>
                  <w:noWrap w:val="0"/>
                  <w:vAlign w:val="center"/>
                </w:tcPr>
                <w:p w14:paraId="7F8C0F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color w:val="auto"/>
                      <w:kern w:val="2"/>
                      <w:sz w:val="21"/>
                      <w:szCs w:val="24"/>
                      <w:lang w:val="en-US" w:eastAsia="zh-CN" w:bidi="ar-SA"/>
                    </w:rPr>
                  </w:pPr>
                  <w:r>
                    <w:rPr>
                      <w:rFonts w:hint="eastAsia" w:ascii="Times New Roman" w:hAnsi="Times New Roman" w:eastAsia="宋体" w:cs="Times New Roman"/>
                      <w:b/>
                      <w:bCs/>
                      <w:color w:val="auto"/>
                      <w:sz w:val="21"/>
                      <w:szCs w:val="21"/>
                      <w:highlight w:val="none"/>
                      <w:lang w:val="en-US" w:eastAsia="zh-CN"/>
                    </w:rPr>
                    <w:t>时间</w:t>
                  </w:r>
                </w:p>
              </w:tc>
              <w:tc>
                <w:tcPr>
                  <w:tcW w:w="845" w:type="pct"/>
                  <w:noWrap w:val="0"/>
                  <w:vAlign w:val="center"/>
                </w:tcPr>
                <w:p w14:paraId="3FC3B4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color w:val="auto"/>
                      <w:kern w:val="2"/>
                      <w:sz w:val="21"/>
                      <w:szCs w:val="24"/>
                      <w:lang w:val="en-US" w:eastAsia="zh-CN" w:bidi="ar-SA"/>
                    </w:rPr>
                  </w:pPr>
                  <w:r>
                    <w:rPr>
                      <w:rFonts w:hint="eastAsia"/>
                      <w:b/>
                      <w:bCs/>
                      <w:color w:val="auto"/>
                      <w:lang w:val="en-US" w:eastAsia="zh-CN"/>
                    </w:rPr>
                    <w:t>技改前</w:t>
                  </w:r>
                </w:p>
              </w:tc>
              <w:tc>
                <w:tcPr>
                  <w:tcW w:w="1013" w:type="pct"/>
                  <w:gridSpan w:val="2"/>
                  <w:noWrap w:val="0"/>
                  <w:vAlign w:val="center"/>
                </w:tcPr>
                <w:p w14:paraId="015863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b/>
                      <w:bCs/>
                      <w:color w:val="auto"/>
                      <w:kern w:val="2"/>
                      <w:sz w:val="21"/>
                      <w:szCs w:val="24"/>
                      <w:lang w:val="en-US" w:eastAsia="zh-CN" w:bidi="ar-SA"/>
                    </w:rPr>
                  </w:pPr>
                  <w:r>
                    <w:rPr>
                      <w:rFonts w:hint="eastAsia"/>
                      <w:b/>
                      <w:bCs/>
                      <w:color w:val="auto"/>
                      <w:lang w:val="en-US" w:eastAsia="zh-CN"/>
                    </w:rPr>
                    <w:t>技改后</w:t>
                  </w:r>
                </w:p>
              </w:tc>
              <w:tc>
                <w:tcPr>
                  <w:tcW w:w="927" w:type="pct"/>
                  <w:noWrap w:val="0"/>
                  <w:vAlign w:val="center"/>
                </w:tcPr>
                <w:p w14:paraId="4E377B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color w:val="auto"/>
                      <w:kern w:val="2"/>
                      <w:sz w:val="21"/>
                      <w:szCs w:val="24"/>
                      <w:lang w:val="en-US" w:eastAsia="zh-CN" w:bidi="ar-SA"/>
                    </w:rPr>
                  </w:pPr>
                  <w:r>
                    <w:rPr>
                      <w:rFonts w:hint="eastAsia"/>
                      <w:b/>
                      <w:bCs/>
                      <w:color w:val="auto"/>
                      <w:lang w:val="en-US" w:eastAsia="zh-CN"/>
                    </w:rPr>
                    <w:t>技改前</w:t>
                  </w:r>
                </w:p>
              </w:tc>
              <w:tc>
                <w:tcPr>
                  <w:tcW w:w="1428" w:type="pct"/>
                  <w:gridSpan w:val="2"/>
                  <w:noWrap w:val="0"/>
                  <w:vAlign w:val="center"/>
                </w:tcPr>
                <w:p w14:paraId="2BE101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bCs/>
                      <w:color w:val="auto"/>
                      <w:kern w:val="2"/>
                      <w:sz w:val="21"/>
                      <w:szCs w:val="24"/>
                      <w:lang w:val="en-US" w:eastAsia="zh-CN" w:bidi="ar-SA"/>
                    </w:rPr>
                  </w:pPr>
                  <w:r>
                    <w:rPr>
                      <w:rFonts w:hint="eastAsia"/>
                      <w:b/>
                      <w:bCs/>
                      <w:color w:val="auto"/>
                      <w:lang w:val="en-US" w:eastAsia="zh-CN"/>
                    </w:rPr>
                    <w:t>技改后</w:t>
                  </w:r>
                </w:p>
              </w:tc>
            </w:tr>
            <w:tr w14:paraId="2848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5" w:type="pct"/>
                  <w:noWrap w:val="0"/>
                  <w:vAlign w:val="center"/>
                </w:tcPr>
                <w:p w14:paraId="2873CF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b/>
                      <w:bCs/>
                      <w:color w:val="auto"/>
                      <w:lang w:val="en-US" w:eastAsia="zh-CN"/>
                    </w:rPr>
                    <w:t>产生量t/a</w:t>
                  </w:r>
                </w:p>
              </w:tc>
              <w:tc>
                <w:tcPr>
                  <w:tcW w:w="845" w:type="pct"/>
                  <w:noWrap w:val="0"/>
                  <w:vAlign w:val="center"/>
                </w:tcPr>
                <w:p w14:paraId="6EB367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color w:val="auto"/>
                      <w:lang w:val="en-US" w:eastAsia="zh-CN"/>
                    </w:rPr>
                    <w:t>20.067</w:t>
                  </w:r>
                </w:p>
              </w:tc>
              <w:tc>
                <w:tcPr>
                  <w:tcW w:w="1013" w:type="pct"/>
                  <w:gridSpan w:val="2"/>
                  <w:noWrap w:val="0"/>
                  <w:vAlign w:val="center"/>
                </w:tcPr>
                <w:p w14:paraId="1894D1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color w:val="auto"/>
                      <w:lang w:val="en-US" w:eastAsia="zh-CN"/>
                    </w:rPr>
                    <w:t>20.067</w:t>
                  </w:r>
                </w:p>
              </w:tc>
              <w:tc>
                <w:tcPr>
                  <w:tcW w:w="927" w:type="pct"/>
                  <w:noWrap w:val="0"/>
                  <w:vAlign w:val="center"/>
                </w:tcPr>
                <w:p w14:paraId="4A5037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color w:val="auto"/>
                      <w:lang w:val="en-US" w:eastAsia="zh-CN"/>
                    </w:rPr>
                    <w:t>2.38</w:t>
                  </w:r>
                </w:p>
              </w:tc>
              <w:tc>
                <w:tcPr>
                  <w:tcW w:w="1428" w:type="pct"/>
                  <w:gridSpan w:val="2"/>
                  <w:noWrap w:val="0"/>
                  <w:vAlign w:val="center"/>
                </w:tcPr>
                <w:p w14:paraId="4AF983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kern w:val="2"/>
                      <w:sz w:val="21"/>
                      <w:szCs w:val="24"/>
                      <w:lang w:val="en-US" w:eastAsia="zh-CN" w:bidi="ar-SA"/>
                    </w:rPr>
                  </w:pPr>
                  <w:r>
                    <w:rPr>
                      <w:rFonts w:hint="eastAsia"/>
                      <w:color w:val="auto"/>
                      <w:kern w:val="2"/>
                      <w:sz w:val="21"/>
                      <w:szCs w:val="24"/>
                      <w:lang w:val="en-US" w:eastAsia="zh-CN" w:bidi="ar-SA"/>
                    </w:rPr>
                    <w:t>2.38</w:t>
                  </w:r>
                </w:p>
              </w:tc>
            </w:tr>
            <w:tr w14:paraId="19FEC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2C57BA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收集措施</w:t>
                  </w:r>
                </w:p>
              </w:tc>
              <w:tc>
                <w:tcPr>
                  <w:tcW w:w="845" w:type="pct"/>
                  <w:noWrap w:val="0"/>
                  <w:vAlign w:val="center"/>
                </w:tcPr>
                <w:p w14:paraId="1ABAC1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无</w:t>
                  </w:r>
                </w:p>
              </w:tc>
              <w:tc>
                <w:tcPr>
                  <w:tcW w:w="1013" w:type="pct"/>
                  <w:gridSpan w:val="2"/>
                  <w:noWrap w:val="0"/>
                  <w:vAlign w:val="center"/>
                </w:tcPr>
                <w:p w14:paraId="6668C5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kern w:val="2"/>
                      <w:sz w:val="21"/>
                      <w:szCs w:val="24"/>
                      <w:lang w:val="en-US" w:eastAsia="zh-CN" w:bidi="ar-SA"/>
                    </w:rPr>
                  </w:pPr>
                  <w:r>
                    <w:rPr>
                      <w:rFonts w:hint="eastAsia"/>
                      <w:color w:val="auto"/>
                      <w:lang w:val="en-US" w:eastAsia="zh-CN"/>
                    </w:rPr>
                    <w:t>侧吸装置</w:t>
                  </w:r>
                </w:p>
              </w:tc>
              <w:tc>
                <w:tcPr>
                  <w:tcW w:w="927" w:type="pct"/>
                  <w:shd w:val="clear" w:color="auto" w:fill="auto"/>
                  <w:noWrap w:val="0"/>
                  <w:vAlign w:val="center"/>
                </w:tcPr>
                <w:p w14:paraId="4B7763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无</w:t>
                  </w:r>
                </w:p>
              </w:tc>
              <w:tc>
                <w:tcPr>
                  <w:tcW w:w="1428" w:type="pct"/>
                  <w:gridSpan w:val="2"/>
                  <w:noWrap w:val="0"/>
                  <w:vAlign w:val="center"/>
                </w:tcPr>
                <w:p w14:paraId="1F5779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kern w:val="2"/>
                      <w:sz w:val="21"/>
                      <w:szCs w:val="24"/>
                      <w:lang w:val="en-US" w:eastAsia="zh-CN" w:bidi="ar-SA"/>
                    </w:rPr>
                  </w:pPr>
                  <w:r>
                    <w:rPr>
                      <w:rFonts w:hint="eastAsia"/>
                      <w:color w:val="auto"/>
                      <w:lang w:val="en-US" w:eastAsia="zh-CN"/>
                    </w:rPr>
                    <w:t>侧吸装置</w:t>
                  </w:r>
                </w:p>
              </w:tc>
            </w:tr>
            <w:tr w14:paraId="41591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4CC821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b/>
                      <w:bCs/>
                      <w:color w:val="auto"/>
                      <w:sz w:val="21"/>
                      <w:szCs w:val="21"/>
                      <w:highlight w:val="none"/>
                      <w:lang w:val="en-US" w:eastAsia="zh-CN"/>
                    </w:rPr>
                    <w:t>收集率</w:t>
                  </w:r>
                </w:p>
              </w:tc>
              <w:tc>
                <w:tcPr>
                  <w:tcW w:w="845" w:type="pct"/>
                  <w:noWrap w:val="0"/>
                  <w:vAlign w:val="center"/>
                </w:tcPr>
                <w:p w14:paraId="019835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w:t>
                  </w:r>
                </w:p>
              </w:tc>
              <w:tc>
                <w:tcPr>
                  <w:tcW w:w="1013" w:type="pct"/>
                  <w:gridSpan w:val="2"/>
                  <w:noWrap w:val="0"/>
                  <w:vAlign w:val="center"/>
                </w:tcPr>
                <w:p w14:paraId="6F771F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kern w:val="2"/>
                      <w:sz w:val="21"/>
                      <w:szCs w:val="24"/>
                      <w:lang w:val="en-US" w:eastAsia="zh-CN" w:bidi="ar-SA"/>
                    </w:rPr>
                  </w:pPr>
                  <w:r>
                    <w:rPr>
                      <w:rFonts w:hint="eastAsia"/>
                      <w:color w:val="auto"/>
                      <w:lang w:val="en-US" w:eastAsia="zh-CN"/>
                    </w:rPr>
                    <w:t>80%</w:t>
                  </w:r>
                </w:p>
              </w:tc>
              <w:tc>
                <w:tcPr>
                  <w:tcW w:w="927" w:type="pct"/>
                  <w:shd w:val="clear" w:color="auto" w:fill="auto"/>
                  <w:noWrap w:val="0"/>
                  <w:vAlign w:val="center"/>
                </w:tcPr>
                <w:p w14:paraId="2967F5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w:t>
                  </w:r>
                </w:p>
              </w:tc>
              <w:tc>
                <w:tcPr>
                  <w:tcW w:w="1428" w:type="pct"/>
                  <w:gridSpan w:val="2"/>
                  <w:noWrap w:val="0"/>
                  <w:vAlign w:val="center"/>
                </w:tcPr>
                <w:p w14:paraId="67E886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kern w:val="2"/>
                      <w:sz w:val="21"/>
                      <w:szCs w:val="24"/>
                      <w:lang w:val="en-US" w:eastAsia="zh-CN" w:bidi="ar-SA"/>
                    </w:rPr>
                  </w:pPr>
                  <w:r>
                    <w:rPr>
                      <w:rFonts w:hint="eastAsia"/>
                      <w:color w:val="auto"/>
                      <w:lang w:val="en-US" w:eastAsia="zh-CN"/>
                    </w:rPr>
                    <w:t>80%</w:t>
                  </w:r>
                </w:p>
              </w:tc>
            </w:tr>
            <w:tr w14:paraId="1D61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03117A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收集风量m</w:t>
                  </w:r>
                  <w:r>
                    <w:rPr>
                      <w:rFonts w:hint="eastAsia" w:ascii="Times New Roman" w:hAnsi="Times New Roman" w:eastAsia="宋体" w:cs="Times New Roman"/>
                      <w:b/>
                      <w:bCs/>
                      <w:color w:val="auto"/>
                      <w:kern w:val="2"/>
                      <w:sz w:val="21"/>
                      <w:szCs w:val="21"/>
                      <w:highlight w:val="none"/>
                      <w:vertAlign w:val="superscript"/>
                      <w:lang w:val="en-US" w:eastAsia="zh-CN" w:bidi="ar-SA"/>
                    </w:rPr>
                    <w:t>3</w:t>
                  </w:r>
                  <w:r>
                    <w:rPr>
                      <w:rFonts w:hint="eastAsia" w:ascii="Times New Roman" w:hAnsi="Times New Roman" w:eastAsia="宋体" w:cs="Times New Roman"/>
                      <w:b/>
                      <w:bCs/>
                      <w:color w:val="auto"/>
                      <w:kern w:val="2"/>
                      <w:sz w:val="21"/>
                      <w:szCs w:val="21"/>
                      <w:highlight w:val="none"/>
                      <w:lang w:val="en-US" w:eastAsia="zh-CN" w:bidi="ar-SA"/>
                    </w:rPr>
                    <w:t>/h</w:t>
                  </w:r>
                </w:p>
              </w:tc>
              <w:tc>
                <w:tcPr>
                  <w:tcW w:w="845" w:type="pct"/>
                  <w:noWrap w:val="0"/>
                  <w:vAlign w:val="center"/>
                </w:tcPr>
                <w:p w14:paraId="352E30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w:t>
                  </w:r>
                </w:p>
              </w:tc>
              <w:tc>
                <w:tcPr>
                  <w:tcW w:w="1013" w:type="pct"/>
                  <w:gridSpan w:val="2"/>
                  <w:noWrap w:val="0"/>
                  <w:vAlign w:val="center"/>
                </w:tcPr>
                <w:p w14:paraId="55FB1E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15</w:t>
                  </w:r>
                  <w:r>
                    <w:rPr>
                      <w:rFonts w:hint="eastAsia" w:ascii="Times New Roman" w:hAnsi="Times New Roman" w:eastAsia="宋体" w:cs="Times New Roman"/>
                      <w:color w:val="auto"/>
                      <w:lang w:val="en-US" w:eastAsia="zh-CN"/>
                    </w:rPr>
                    <w:t>000</w:t>
                  </w:r>
                </w:p>
              </w:tc>
              <w:tc>
                <w:tcPr>
                  <w:tcW w:w="927" w:type="pct"/>
                  <w:shd w:val="clear" w:color="auto" w:fill="auto"/>
                  <w:noWrap w:val="0"/>
                  <w:vAlign w:val="center"/>
                </w:tcPr>
                <w:p w14:paraId="3B4534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w:t>
                  </w:r>
                </w:p>
              </w:tc>
              <w:tc>
                <w:tcPr>
                  <w:tcW w:w="1428" w:type="pct"/>
                  <w:gridSpan w:val="2"/>
                  <w:noWrap w:val="0"/>
                  <w:vAlign w:val="center"/>
                </w:tcPr>
                <w:p w14:paraId="2583E6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15</w:t>
                  </w:r>
                  <w:r>
                    <w:rPr>
                      <w:rFonts w:hint="eastAsia" w:ascii="Times New Roman" w:hAnsi="Times New Roman" w:eastAsia="宋体" w:cs="Times New Roman"/>
                      <w:color w:val="auto"/>
                      <w:lang w:val="en-US" w:eastAsia="zh-CN"/>
                    </w:rPr>
                    <w:t>000</w:t>
                  </w:r>
                </w:p>
              </w:tc>
            </w:tr>
            <w:tr w14:paraId="5412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85" w:type="pct"/>
                  <w:noWrap w:val="0"/>
                  <w:vAlign w:val="center"/>
                </w:tcPr>
                <w:p w14:paraId="093AD6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kern w:val="2"/>
                      <w:sz w:val="21"/>
                      <w:szCs w:val="24"/>
                      <w:lang w:val="en-US" w:eastAsia="zh-CN" w:bidi="ar-SA"/>
                    </w:rPr>
                  </w:pPr>
                  <w:r>
                    <w:rPr>
                      <w:rFonts w:hint="eastAsia" w:ascii="Times New Roman" w:hAnsi="Times New Roman" w:eastAsia="宋体" w:cs="Times New Roman"/>
                      <w:b/>
                      <w:bCs/>
                      <w:color w:val="auto"/>
                      <w:sz w:val="21"/>
                      <w:szCs w:val="21"/>
                      <w:highlight w:val="none"/>
                      <w:lang w:val="en-US" w:eastAsia="zh-CN"/>
                    </w:rPr>
                    <w:t>去除率</w:t>
                  </w:r>
                </w:p>
              </w:tc>
              <w:tc>
                <w:tcPr>
                  <w:tcW w:w="845" w:type="pct"/>
                  <w:noWrap w:val="0"/>
                  <w:vAlign w:val="center"/>
                </w:tcPr>
                <w:p w14:paraId="5F7127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kern w:val="2"/>
                      <w:sz w:val="21"/>
                      <w:szCs w:val="24"/>
                      <w:lang w:val="en-US" w:eastAsia="zh-CN" w:bidi="ar-SA"/>
                    </w:rPr>
                  </w:pPr>
                  <w:r>
                    <w:rPr>
                      <w:rFonts w:hint="eastAsia"/>
                      <w:color w:val="auto"/>
                      <w:lang w:val="en-US" w:eastAsia="zh-CN"/>
                    </w:rPr>
                    <w:t>/</w:t>
                  </w:r>
                </w:p>
              </w:tc>
              <w:tc>
                <w:tcPr>
                  <w:tcW w:w="1013" w:type="pct"/>
                  <w:gridSpan w:val="2"/>
                  <w:noWrap w:val="0"/>
                  <w:vAlign w:val="center"/>
                </w:tcPr>
                <w:p w14:paraId="48C27C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kern w:val="2"/>
                      <w:sz w:val="21"/>
                      <w:szCs w:val="24"/>
                      <w:lang w:val="en-US" w:eastAsia="zh-CN" w:bidi="ar-SA"/>
                    </w:rPr>
                  </w:pPr>
                  <w:r>
                    <w:rPr>
                      <w:rFonts w:hint="eastAsia"/>
                      <w:color w:val="auto"/>
                      <w:lang w:val="en-US" w:eastAsia="zh-CN"/>
                    </w:rPr>
                    <w:t>99.5%</w:t>
                  </w:r>
                </w:p>
              </w:tc>
              <w:tc>
                <w:tcPr>
                  <w:tcW w:w="927" w:type="pct"/>
                  <w:shd w:val="clear" w:color="auto" w:fill="auto"/>
                  <w:noWrap w:val="0"/>
                  <w:vAlign w:val="center"/>
                </w:tcPr>
                <w:p w14:paraId="7F30B7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w:t>
                  </w:r>
                </w:p>
              </w:tc>
              <w:tc>
                <w:tcPr>
                  <w:tcW w:w="1428" w:type="pct"/>
                  <w:gridSpan w:val="2"/>
                  <w:noWrap w:val="0"/>
                  <w:vAlign w:val="center"/>
                </w:tcPr>
                <w:p w14:paraId="250A61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color w:val="auto"/>
                      <w:lang w:val="en-US" w:eastAsia="zh-CN"/>
                    </w:rPr>
                    <w:t>90%</w:t>
                  </w:r>
                </w:p>
              </w:tc>
            </w:tr>
            <w:tr w14:paraId="4443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531190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处理措施</w:t>
                  </w:r>
                </w:p>
              </w:tc>
              <w:tc>
                <w:tcPr>
                  <w:tcW w:w="845" w:type="pct"/>
                  <w:noWrap w:val="0"/>
                  <w:vAlign w:val="center"/>
                </w:tcPr>
                <w:p w14:paraId="0B591B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车间沉降80%</w:t>
                  </w:r>
                </w:p>
              </w:tc>
              <w:tc>
                <w:tcPr>
                  <w:tcW w:w="1013" w:type="pct"/>
                  <w:gridSpan w:val="2"/>
                  <w:noWrap w:val="0"/>
                  <w:vAlign w:val="center"/>
                </w:tcPr>
                <w:p w14:paraId="480B20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布袋除尘装置+活性炭吸附</w:t>
                  </w:r>
                  <w:r>
                    <w:rPr>
                      <w:rFonts w:hint="default" w:ascii="Times New Roman" w:hAnsi="Times New Roman" w:eastAsia="宋体" w:cs="Times New Roman"/>
                      <w:color w:val="auto"/>
                      <w:lang w:val="en-US" w:eastAsia="zh-CN"/>
                    </w:rPr>
                    <w:t>装置</w:t>
                  </w:r>
                </w:p>
              </w:tc>
              <w:tc>
                <w:tcPr>
                  <w:tcW w:w="927" w:type="pct"/>
                  <w:noWrap w:val="0"/>
                  <w:vAlign w:val="center"/>
                </w:tcPr>
                <w:p w14:paraId="2279E6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cs="Times New Roman"/>
                      <w:color w:val="auto"/>
                      <w:lang w:val="en-US" w:eastAsia="zh-CN"/>
                    </w:rPr>
                    <w:t>无</w:t>
                  </w:r>
                </w:p>
              </w:tc>
              <w:tc>
                <w:tcPr>
                  <w:tcW w:w="1428" w:type="pct"/>
                  <w:gridSpan w:val="2"/>
                  <w:noWrap w:val="0"/>
                  <w:vAlign w:val="center"/>
                </w:tcPr>
                <w:p w14:paraId="66E0E9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布袋除尘装置+活性炭吸附</w:t>
                  </w:r>
                  <w:r>
                    <w:rPr>
                      <w:rFonts w:hint="default" w:ascii="Times New Roman" w:hAnsi="Times New Roman" w:eastAsia="宋体" w:cs="Times New Roman"/>
                      <w:color w:val="auto"/>
                      <w:lang w:val="en-US" w:eastAsia="zh-CN"/>
                    </w:rPr>
                    <w:t>装置</w:t>
                  </w:r>
                </w:p>
              </w:tc>
            </w:tr>
            <w:tr w14:paraId="08C40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41B3ED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处理措施编号</w:t>
                  </w:r>
                </w:p>
              </w:tc>
              <w:tc>
                <w:tcPr>
                  <w:tcW w:w="845" w:type="pct"/>
                  <w:noWrap w:val="0"/>
                  <w:vAlign w:val="center"/>
                </w:tcPr>
                <w:p w14:paraId="1198BA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cs="Times New Roman"/>
                      <w:color w:val="auto"/>
                      <w:lang w:val="en-US" w:eastAsia="zh-CN"/>
                    </w:rPr>
                    <w:t>/</w:t>
                  </w:r>
                </w:p>
              </w:tc>
              <w:tc>
                <w:tcPr>
                  <w:tcW w:w="1013" w:type="pct"/>
                  <w:gridSpan w:val="2"/>
                  <w:noWrap w:val="0"/>
                  <w:vAlign w:val="center"/>
                </w:tcPr>
                <w:p w14:paraId="7EC0B7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TA00</w:t>
                  </w:r>
                  <w:r>
                    <w:rPr>
                      <w:rFonts w:hint="eastAsia" w:cs="Times New Roman"/>
                      <w:color w:val="auto"/>
                      <w:lang w:val="en-US" w:eastAsia="zh-CN"/>
                    </w:rPr>
                    <w:t>4</w:t>
                  </w:r>
                </w:p>
              </w:tc>
              <w:tc>
                <w:tcPr>
                  <w:tcW w:w="927" w:type="pct"/>
                  <w:noWrap w:val="0"/>
                  <w:vAlign w:val="center"/>
                </w:tcPr>
                <w:p w14:paraId="7F44C5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1428" w:type="pct"/>
                  <w:gridSpan w:val="2"/>
                  <w:noWrap w:val="0"/>
                  <w:vAlign w:val="center"/>
                </w:tcPr>
                <w:p w14:paraId="77A9ED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TA00</w:t>
                  </w:r>
                  <w:r>
                    <w:rPr>
                      <w:rFonts w:hint="eastAsia" w:cs="Times New Roman"/>
                      <w:color w:val="auto"/>
                      <w:lang w:val="en-US" w:eastAsia="zh-CN"/>
                    </w:rPr>
                    <w:t>4</w:t>
                  </w:r>
                </w:p>
              </w:tc>
            </w:tr>
            <w:tr w14:paraId="5F72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133773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b/>
                      <w:bCs/>
                      <w:color w:val="auto"/>
                      <w:sz w:val="21"/>
                      <w:szCs w:val="21"/>
                      <w:highlight w:val="none"/>
                      <w:lang w:val="en-US" w:eastAsia="zh-CN"/>
                    </w:rPr>
                    <w:t>排放类型</w:t>
                  </w:r>
                </w:p>
              </w:tc>
              <w:tc>
                <w:tcPr>
                  <w:tcW w:w="845" w:type="pct"/>
                  <w:noWrap w:val="0"/>
                  <w:vAlign w:val="center"/>
                </w:tcPr>
                <w:p w14:paraId="3A0A64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无组织</w:t>
                  </w:r>
                </w:p>
              </w:tc>
              <w:tc>
                <w:tcPr>
                  <w:tcW w:w="506" w:type="pct"/>
                  <w:noWrap w:val="0"/>
                  <w:vAlign w:val="center"/>
                </w:tcPr>
                <w:p w14:paraId="087338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有组织</w:t>
                  </w:r>
                </w:p>
              </w:tc>
              <w:tc>
                <w:tcPr>
                  <w:tcW w:w="506" w:type="pct"/>
                  <w:noWrap w:val="0"/>
                  <w:vAlign w:val="center"/>
                </w:tcPr>
                <w:p w14:paraId="6AEF36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无组织</w:t>
                  </w:r>
                </w:p>
              </w:tc>
              <w:tc>
                <w:tcPr>
                  <w:tcW w:w="927" w:type="pct"/>
                  <w:noWrap w:val="0"/>
                  <w:vAlign w:val="center"/>
                </w:tcPr>
                <w:p w14:paraId="5FD05B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无组织</w:t>
                  </w:r>
                </w:p>
              </w:tc>
              <w:tc>
                <w:tcPr>
                  <w:tcW w:w="714" w:type="pct"/>
                  <w:noWrap w:val="0"/>
                  <w:vAlign w:val="center"/>
                </w:tcPr>
                <w:p w14:paraId="191B63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有组织</w:t>
                  </w:r>
                </w:p>
              </w:tc>
              <w:tc>
                <w:tcPr>
                  <w:tcW w:w="714" w:type="pct"/>
                  <w:noWrap w:val="0"/>
                  <w:vAlign w:val="center"/>
                </w:tcPr>
                <w:p w14:paraId="08D491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无组织</w:t>
                  </w:r>
                </w:p>
              </w:tc>
            </w:tr>
            <w:tr w14:paraId="6780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34B110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b/>
                      <w:bCs/>
                      <w:color w:val="auto"/>
                      <w:sz w:val="21"/>
                      <w:szCs w:val="21"/>
                      <w:highlight w:val="none"/>
                      <w:lang w:val="en-US" w:eastAsia="zh-CN"/>
                    </w:rPr>
                    <w:t>排气筒编号</w:t>
                  </w:r>
                </w:p>
              </w:tc>
              <w:tc>
                <w:tcPr>
                  <w:tcW w:w="845" w:type="pct"/>
                  <w:noWrap w:val="0"/>
                  <w:vAlign w:val="center"/>
                </w:tcPr>
                <w:p w14:paraId="1F9AC5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506" w:type="pct"/>
                  <w:noWrap w:val="0"/>
                  <w:vAlign w:val="center"/>
                </w:tcPr>
                <w:p w14:paraId="7BDEB6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DA003</w:t>
                  </w:r>
                </w:p>
              </w:tc>
              <w:tc>
                <w:tcPr>
                  <w:tcW w:w="506" w:type="pct"/>
                  <w:noWrap w:val="0"/>
                  <w:vAlign w:val="center"/>
                </w:tcPr>
                <w:p w14:paraId="6F3357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927" w:type="pct"/>
                  <w:noWrap w:val="0"/>
                  <w:vAlign w:val="center"/>
                </w:tcPr>
                <w:p w14:paraId="5D81FE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w:t>
                  </w:r>
                </w:p>
              </w:tc>
              <w:tc>
                <w:tcPr>
                  <w:tcW w:w="714" w:type="pct"/>
                  <w:noWrap w:val="0"/>
                  <w:vAlign w:val="center"/>
                </w:tcPr>
                <w:p w14:paraId="0F7815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DA003</w:t>
                  </w:r>
                </w:p>
              </w:tc>
              <w:tc>
                <w:tcPr>
                  <w:tcW w:w="714" w:type="pct"/>
                  <w:noWrap w:val="0"/>
                  <w:vAlign w:val="center"/>
                </w:tcPr>
                <w:p w14:paraId="5E6622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r>
            <w:tr w14:paraId="59E7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65F634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b/>
                      <w:bCs/>
                      <w:color w:val="auto"/>
                      <w:sz w:val="21"/>
                      <w:szCs w:val="21"/>
                      <w:highlight w:val="none"/>
                      <w:lang w:val="en-US" w:eastAsia="zh-CN"/>
                    </w:rPr>
                    <w:t>排放量</w:t>
                  </w:r>
                  <w:r>
                    <w:rPr>
                      <w:rFonts w:hint="eastAsia"/>
                      <w:b/>
                      <w:bCs/>
                      <w:color w:val="auto"/>
                      <w:lang w:val="en-US" w:eastAsia="zh-CN"/>
                    </w:rPr>
                    <w:t>t/a</w:t>
                  </w:r>
                </w:p>
              </w:tc>
              <w:tc>
                <w:tcPr>
                  <w:tcW w:w="845" w:type="pct"/>
                  <w:noWrap w:val="0"/>
                  <w:vAlign w:val="center"/>
                </w:tcPr>
                <w:p w14:paraId="5853E2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sz w:val="21"/>
                      <w:szCs w:val="21"/>
                      <w:highlight w:val="none"/>
                      <w:lang w:val="en-US" w:eastAsia="zh-CN"/>
                    </w:rPr>
                    <w:t>4</w:t>
                  </w:r>
                </w:p>
              </w:tc>
              <w:tc>
                <w:tcPr>
                  <w:tcW w:w="506" w:type="pct"/>
                  <w:noWrap w:val="0"/>
                  <w:vAlign w:val="center"/>
                </w:tcPr>
                <w:p w14:paraId="4855F8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2.55</w:t>
                  </w:r>
                </w:p>
              </w:tc>
              <w:tc>
                <w:tcPr>
                  <w:tcW w:w="506" w:type="pct"/>
                  <w:noWrap w:val="0"/>
                  <w:vAlign w:val="center"/>
                </w:tcPr>
                <w:p w14:paraId="21D4F3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lang w:val="en-US" w:eastAsia="zh-CN"/>
                    </w:rPr>
                  </w:pPr>
                  <w:r>
                    <w:rPr>
                      <w:rFonts w:hint="eastAsia" w:cs="Times New Roman"/>
                      <w:color w:val="auto"/>
                      <w:lang w:val="en-US" w:eastAsia="zh-CN"/>
                    </w:rPr>
                    <w:t>0.6</w:t>
                  </w:r>
                </w:p>
              </w:tc>
              <w:tc>
                <w:tcPr>
                  <w:tcW w:w="927" w:type="pct"/>
                  <w:noWrap w:val="0"/>
                  <w:vAlign w:val="center"/>
                </w:tcPr>
                <w:p w14:paraId="7BC821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sz w:val="21"/>
                      <w:szCs w:val="21"/>
                      <w:highlight w:val="none"/>
                      <w:lang w:val="en-US" w:eastAsia="zh-CN"/>
                    </w:rPr>
                    <w:t>2.38</w:t>
                  </w:r>
                </w:p>
              </w:tc>
              <w:tc>
                <w:tcPr>
                  <w:tcW w:w="714" w:type="pct"/>
                  <w:noWrap w:val="0"/>
                  <w:vAlign w:val="center"/>
                </w:tcPr>
                <w:p w14:paraId="1E4CB6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0.2023</w:t>
                  </w:r>
                </w:p>
              </w:tc>
              <w:tc>
                <w:tcPr>
                  <w:tcW w:w="714" w:type="pct"/>
                  <w:noWrap w:val="0"/>
                  <w:vAlign w:val="center"/>
                </w:tcPr>
                <w:p w14:paraId="57729D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lang w:val="en-US" w:eastAsia="zh-CN"/>
                    </w:rPr>
                  </w:pPr>
                  <w:r>
                    <w:rPr>
                      <w:rFonts w:hint="eastAsia" w:cs="Times New Roman"/>
                      <w:color w:val="auto"/>
                      <w:lang w:val="en-US" w:eastAsia="zh-CN"/>
                    </w:rPr>
                    <w:t>0.357</w:t>
                  </w:r>
                </w:p>
              </w:tc>
            </w:tr>
            <w:tr w14:paraId="29AC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5" w:type="pct"/>
                  <w:noWrap w:val="0"/>
                  <w:vAlign w:val="center"/>
                </w:tcPr>
                <w:p w14:paraId="543018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备注</w:t>
                  </w:r>
                </w:p>
              </w:tc>
              <w:tc>
                <w:tcPr>
                  <w:tcW w:w="4214" w:type="pct"/>
                  <w:gridSpan w:val="6"/>
                  <w:noWrap w:val="0"/>
                  <w:vAlign w:val="center"/>
                </w:tcPr>
                <w:p w14:paraId="396C5CF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lang w:val="en-US" w:eastAsia="zh-CN"/>
                    </w:rPr>
                    <w:t>技改前</w:t>
                  </w:r>
                  <w:r>
                    <w:rPr>
                      <w:rFonts w:hint="eastAsia" w:cs="Times New Roman"/>
                      <w:color w:val="auto"/>
                      <w:lang w:val="en-US" w:eastAsia="zh-CN"/>
                    </w:rPr>
                    <w:t>后</w:t>
                  </w:r>
                  <w:r>
                    <w:rPr>
                      <w:rFonts w:hint="eastAsia" w:ascii="Times New Roman" w:hAnsi="Times New Roman" w:eastAsia="宋体" w:cs="Times New Roman"/>
                      <w:color w:val="auto"/>
                      <w:lang w:val="en-US" w:eastAsia="zh-CN"/>
                    </w:rPr>
                    <w:t>，颗粒物未收集部分经车间内沉降约80%后在车间内无组织排放。</w:t>
                  </w:r>
                </w:p>
              </w:tc>
            </w:tr>
          </w:tbl>
          <w:p w14:paraId="76C847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lang w:val="en-US" w:eastAsia="zh-CN"/>
              </w:rPr>
            </w:pPr>
          </w:p>
          <w:p w14:paraId="1F94A5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B</w:t>
            </w:r>
            <w:r>
              <w:rPr>
                <w:rFonts w:hint="eastAsia"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砂处理废气</w:t>
            </w:r>
          </w:p>
          <w:p w14:paraId="4EF856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本次技改项目通过</w:t>
            </w:r>
            <w:r>
              <w:rPr>
                <w:rFonts w:hint="eastAsia" w:cs="Times New Roman"/>
                <w:color w:val="auto"/>
                <w:sz w:val="24"/>
                <w:szCs w:val="24"/>
                <w:highlight w:val="none"/>
                <w:lang w:val="en-US" w:eastAsia="zh-CN"/>
              </w:rPr>
              <w:t>新增</w:t>
            </w:r>
            <w:r>
              <w:rPr>
                <w:rFonts w:hint="eastAsia" w:ascii="Times New Roman" w:hAnsi="Times New Roman" w:eastAsia="宋体" w:cs="Times New Roman"/>
                <w:color w:val="auto"/>
                <w:sz w:val="24"/>
                <w:szCs w:val="32"/>
                <w:highlight w:val="none"/>
                <w:lang w:val="en-US" w:eastAsia="zh-CN"/>
              </w:rPr>
              <w:t>更换高效纤维布袋后，除尘效率提升至99.5%</w:t>
            </w:r>
            <w:r>
              <w:rPr>
                <w:rFonts w:hint="eastAsia" w:cs="Times New Roman"/>
                <w:color w:val="auto"/>
                <w:sz w:val="24"/>
                <w:szCs w:val="32"/>
                <w:highlight w:val="none"/>
                <w:lang w:val="en-US" w:eastAsia="zh-CN"/>
              </w:rPr>
              <w:t>，砂处理废气由无组织变为有组织</w:t>
            </w:r>
            <w:r>
              <w:rPr>
                <w:rFonts w:hint="eastAsia" w:ascii="Times New Roman" w:hAnsi="Times New Roman" w:eastAsia="宋体" w:cs="Times New Roman"/>
                <w:color w:val="auto"/>
                <w:sz w:val="24"/>
                <w:szCs w:val="32"/>
                <w:highlight w:val="none"/>
                <w:lang w:val="en-US" w:eastAsia="zh-CN"/>
              </w:rPr>
              <w:t>。技改前后现有项目砂处理废气产排情况见下表</w:t>
            </w:r>
            <w:r>
              <w:rPr>
                <w:rFonts w:hint="eastAsia" w:ascii="Times New Roman" w:hAnsi="Times New Roman" w:eastAsia="宋体" w:cs="Times New Roman"/>
                <w:color w:val="auto"/>
                <w:sz w:val="24"/>
                <w:szCs w:val="24"/>
                <w:highlight w:val="none"/>
                <w:lang w:val="en-US" w:eastAsia="zh-CN"/>
              </w:rPr>
              <w:t>：</w:t>
            </w:r>
          </w:p>
          <w:p w14:paraId="38224DB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表4-2  技改前后现有项目砂处理废气产排情况一览表</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5"/>
              <w:gridCol w:w="1505"/>
              <w:gridCol w:w="1506"/>
              <w:gridCol w:w="4"/>
              <w:gridCol w:w="1501"/>
              <w:gridCol w:w="1515"/>
            </w:tblGrid>
            <w:tr w14:paraId="1442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7166BC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ascii="Times New Roman" w:hAnsi="Times New Roman" w:eastAsia="宋体" w:cs="Times New Roman"/>
                      <w:b/>
                      <w:bCs/>
                      <w:color w:val="auto"/>
                      <w:sz w:val="21"/>
                      <w:szCs w:val="21"/>
                      <w:highlight w:val="none"/>
                      <w:lang w:val="en-US" w:eastAsia="zh-CN"/>
                    </w:rPr>
                    <w:t>工序</w:t>
                  </w:r>
                </w:p>
              </w:tc>
              <w:tc>
                <w:tcPr>
                  <w:tcW w:w="3451" w:type="pct"/>
                  <w:gridSpan w:val="5"/>
                  <w:noWrap w:val="0"/>
                  <w:vAlign w:val="center"/>
                </w:tcPr>
                <w:p w14:paraId="0FB7B9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color w:val="auto"/>
                      <w:lang w:val="en-US" w:eastAsia="zh-CN"/>
                    </w:rPr>
                    <w:t>砂处理</w:t>
                  </w:r>
                </w:p>
              </w:tc>
            </w:tr>
            <w:tr w14:paraId="1F485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75AF74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b/>
                      <w:bCs/>
                      <w:color w:val="auto"/>
                      <w:lang w:val="en-US" w:eastAsia="zh-CN"/>
                    </w:rPr>
                    <w:t>污染物</w:t>
                  </w:r>
                </w:p>
              </w:tc>
              <w:tc>
                <w:tcPr>
                  <w:tcW w:w="3451" w:type="pct"/>
                  <w:gridSpan w:val="5"/>
                  <w:noWrap w:val="0"/>
                  <w:vAlign w:val="center"/>
                </w:tcPr>
                <w:p w14:paraId="1D7E25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color w:val="auto"/>
                      <w:lang w:val="en-US" w:eastAsia="zh-CN"/>
                    </w:rPr>
                    <w:t>颗粒物</w:t>
                  </w:r>
                </w:p>
              </w:tc>
            </w:tr>
            <w:tr w14:paraId="5D98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794755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b/>
                      <w:bCs/>
                      <w:color w:val="auto"/>
                      <w:lang w:val="en-US" w:eastAsia="zh-CN"/>
                    </w:rPr>
                    <w:t>产生量t/a</w:t>
                  </w:r>
                </w:p>
              </w:tc>
              <w:tc>
                <w:tcPr>
                  <w:tcW w:w="3451" w:type="pct"/>
                  <w:gridSpan w:val="5"/>
                  <w:noWrap w:val="0"/>
                  <w:vAlign w:val="center"/>
                </w:tcPr>
                <w:p w14:paraId="0049FD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olor w:val="auto"/>
                      <w:lang w:val="en-US" w:eastAsia="zh-CN"/>
                    </w:rPr>
                    <w:t>160</w:t>
                  </w:r>
                </w:p>
              </w:tc>
            </w:tr>
            <w:tr w14:paraId="39B3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4C3E8B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ascii="Times New Roman" w:hAnsi="Times New Roman" w:eastAsia="宋体" w:cs="Times New Roman"/>
                      <w:b/>
                      <w:bCs/>
                      <w:color w:val="auto"/>
                      <w:kern w:val="2"/>
                      <w:sz w:val="21"/>
                      <w:szCs w:val="21"/>
                      <w:highlight w:val="none"/>
                      <w:lang w:val="en-US" w:eastAsia="zh-CN" w:bidi="ar-SA"/>
                    </w:rPr>
                    <w:t>收集措施</w:t>
                  </w:r>
                </w:p>
              </w:tc>
              <w:tc>
                <w:tcPr>
                  <w:tcW w:w="3451" w:type="pct"/>
                  <w:gridSpan w:val="5"/>
                  <w:noWrap w:val="0"/>
                  <w:vAlign w:val="center"/>
                </w:tcPr>
                <w:p w14:paraId="5428EC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color w:val="auto"/>
                      <w:lang w:val="en-US" w:eastAsia="zh-CN"/>
                    </w:rPr>
                    <w:t>集气罩</w:t>
                  </w:r>
                </w:p>
              </w:tc>
            </w:tr>
            <w:tr w14:paraId="575E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0D282C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收集率</w:t>
                  </w:r>
                </w:p>
              </w:tc>
              <w:tc>
                <w:tcPr>
                  <w:tcW w:w="3451" w:type="pct"/>
                  <w:gridSpan w:val="5"/>
                  <w:noWrap w:val="0"/>
                  <w:vAlign w:val="center"/>
                </w:tcPr>
                <w:p w14:paraId="634169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color w:val="auto"/>
                      <w:lang w:val="en-US" w:eastAsia="zh-CN"/>
                    </w:rPr>
                    <w:t>95%</w:t>
                  </w:r>
                </w:p>
              </w:tc>
            </w:tr>
            <w:tr w14:paraId="24B40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2D0CEC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收集风量m</w:t>
                  </w:r>
                  <w:r>
                    <w:rPr>
                      <w:rFonts w:hint="eastAsia" w:ascii="Times New Roman" w:hAnsi="Times New Roman" w:eastAsia="宋体" w:cs="Times New Roman"/>
                      <w:b/>
                      <w:bCs/>
                      <w:color w:val="auto"/>
                      <w:kern w:val="2"/>
                      <w:sz w:val="21"/>
                      <w:szCs w:val="21"/>
                      <w:highlight w:val="none"/>
                      <w:vertAlign w:val="superscript"/>
                      <w:lang w:val="en-US" w:eastAsia="zh-CN" w:bidi="ar-SA"/>
                    </w:rPr>
                    <w:t>3</w:t>
                  </w:r>
                  <w:r>
                    <w:rPr>
                      <w:rFonts w:hint="eastAsia" w:ascii="Times New Roman" w:hAnsi="Times New Roman" w:eastAsia="宋体" w:cs="Times New Roman"/>
                      <w:b/>
                      <w:bCs/>
                      <w:color w:val="auto"/>
                      <w:kern w:val="2"/>
                      <w:sz w:val="21"/>
                      <w:szCs w:val="21"/>
                      <w:highlight w:val="none"/>
                      <w:lang w:val="en-US" w:eastAsia="zh-CN" w:bidi="ar-SA"/>
                    </w:rPr>
                    <w:t>/h</w:t>
                  </w:r>
                </w:p>
              </w:tc>
              <w:tc>
                <w:tcPr>
                  <w:tcW w:w="3451" w:type="pct"/>
                  <w:gridSpan w:val="5"/>
                  <w:noWrap w:val="0"/>
                  <w:vAlign w:val="center"/>
                </w:tcPr>
                <w:p w14:paraId="33B377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7</w:t>
                  </w:r>
                  <w:r>
                    <w:rPr>
                      <w:rFonts w:hint="eastAsia" w:ascii="Times New Roman" w:hAnsi="Times New Roman" w:eastAsia="宋体" w:cs="Times New Roman"/>
                      <w:color w:val="auto"/>
                      <w:lang w:val="en-US" w:eastAsia="zh-CN"/>
                    </w:rPr>
                    <w:t>000</w:t>
                  </w:r>
                </w:p>
              </w:tc>
            </w:tr>
            <w:tr w14:paraId="7C8F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540C55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时间</w:t>
                  </w:r>
                </w:p>
              </w:tc>
              <w:tc>
                <w:tcPr>
                  <w:tcW w:w="1723" w:type="pct"/>
                  <w:gridSpan w:val="2"/>
                  <w:noWrap w:val="0"/>
                  <w:vAlign w:val="center"/>
                </w:tcPr>
                <w:p w14:paraId="1BAB3C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b/>
                      <w:bCs/>
                      <w:color w:val="auto"/>
                      <w:lang w:val="en-US" w:eastAsia="zh-CN"/>
                    </w:rPr>
                  </w:pPr>
                  <w:r>
                    <w:rPr>
                      <w:rFonts w:hint="eastAsia"/>
                      <w:b/>
                      <w:bCs/>
                      <w:color w:val="auto"/>
                      <w:lang w:val="en-US" w:eastAsia="zh-CN"/>
                    </w:rPr>
                    <w:t>技改前</w:t>
                  </w:r>
                </w:p>
              </w:tc>
              <w:tc>
                <w:tcPr>
                  <w:tcW w:w="1728" w:type="pct"/>
                  <w:gridSpan w:val="3"/>
                  <w:noWrap w:val="0"/>
                  <w:vAlign w:val="center"/>
                </w:tcPr>
                <w:p w14:paraId="0A2B1C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b/>
                      <w:bCs/>
                      <w:color w:val="auto"/>
                      <w:lang w:val="en-US" w:eastAsia="zh-CN"/>
                    </w:rPr>
                  </w:pPr>
                  <w:r>
                    <w:rPr>
                      <w:rFonts w:hint="eastAsia"/>
                      <w:b/>
                      <w:bCs/>
                      <w:color w:val="auto"/>
                      <w:lang w:val="en-US" w:eastAsia="zh-CN"/>
                    </w:rPr>
                    <w:t>技改后</w:t>
                  </w:r>
                </w:p>
              </w:tc>
            </w:tr>
            <w:tr w14:paraId="77233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512A13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ascii="Times New Roman" w:hAnsi="Times New Roman" w:eastAsia="宋体" w:cs="Times New Roman"/>
                      <w:b/>
                      <w:bCs/>
                      <w:color w:val="auto"/>
                      <w:sz w:val="21"/>
                      <w:szCs w:val="21"/>
                      <w:highlight w:val="none"/>
                      <w:lang w:val="en-US" w:eastAsia="zh-CN"/>
                    </w:rPr>
                    <w:t>去除率</w:t>
                  </w:r>
                </w:p>
              </w:tc>
              <w:tc>
                <w:tcPr>
                  <w:tcW w:w="1723" w:type="pct"/>
                  <w:gridSpan w:val="2"/>
                  <w:noWrap w:val="0"/>
                  <w:vAlign w:val="center"/>
                </w:tcPr>
                <w:p w14:paraId="33DAE6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kern w:val="2"/>
                      <w:sz w:val="21"/>
                      <w:szCs w:val="24"/>
                      <w:lang w:val="en-US" w:eastAsia="zh-CN" w:bidi="ar-SA"/>
                    </w:rPr>
                  </w:pPr>
                  <w:r>
                    <w:rPr>
                      <w:rFonts w:hint="eastAsia"/>
                      <w:color w:val="auto"/>
                      <w:lang w:val="en-US" w:eastAsia="zh-CN"/>
                    </w:rPr>
                    <w:t>99%</w:t>
                  </w:r>
                </w:p>
              </w:tc>
              <w:tc>
                <w:tcPr>
                  <w:tcW w:w="1728" w:type="pct"/>
                  <w:gridSpan w:val="3"/>
                  <w:noWrap w:val="0"/>
                  <w:vAlign w:val="center"/>
                </w:tcPr>
                <w:p w14:paraId="460738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kern w:val="2"/>
                      <w:sz w:val="21"/>
                      <w:szCs w:val="24"/>
                      <w:lang w:val="en-US" w:eastAsia="zh-CN" w:bidi="ar-SA"/>
                    </w:rPr>
                  </w:pPr>
                  <w:r>
                    <w:rPr>
                      <w:rFonts w:hint="eastAsia"/>
                      <w:color w:val="auto"/>
                      <w:lang w:val="en-US" w:eastAsia="zh-CN"/>
                    </w:rPr>
                    <w:t>99.5%</w:t>
                  </w:r>
                </w:p>
              </w:tc>
            </w:tr>
            <w:tr w14:paraId="034B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20CAEF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处理措施</w:t>
                  </w:r>
                </w:p>
              </w:tc>
              <w:tc>
                <w:tcPr>
                  <w:tcW w:w="1725" w:type="pct"/>
                  <w:gridSpan w:val="3"/>
                  <w:noWrap w:val="0"/>
                  <w:vAlign w:val="center"/>
                </w:tcPr>
                <w:p w14:paraId="4E1DF3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布袋除尘</w:t>
                  </w:r>
                </w:p>
              </w:tc>
              <w:tc>
                <w:tcPr>
                  <w:tcW w:w="1726" w:type="pct"/>
                  <w:gridSpan w:val="2"/>
                  <w:noWrap w:val="0"/>
                  <w:vAlign w:val="center"/>
                </w:tcPr>
                <w:p w14:paraId="6702E2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高效纤维布袋</w:t>
                  </w:r>
                  <w:r>
                    <w:rPr>
                      <w:rFonts w:hint="eastAsia" w:cs="Times New Roman"/>
                      <w:color w:val="auto"/>
                      <w:lang w:val="en-US" w:eastAsia="zh-CN"/>
                    </w:rPr>
                    <w:t>除尘</w:t>
                  </w:r>
                </w:p>
              </w:tc>
            </w:tr>
            <w:tr w14:paraId="4C20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5AED71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lang w:val="en-US" w:eastAsia="zh-CN"/>
                    </w:rPr>
                  </w:pPr>
                  <w:r>
                    <w:rPr>
                      <w:rFonts w:hint="eastAsia" w:ascii="Times New Roman" w:hAnsi="Times New Roman" w:eastAsia="宋体" w:cs="Times New Roman"/>
                      <w:b/>
                      <w:bCs/>
                      <w:color w:val="auto"/>
                      <w:kern w:val="2"/>
                      <w:sz w:val="21"/>
                      <w:szCs w:val="21"/>
                      <w:highlight w:val="none"/>
                      <w:lang w:val="en-US" w:eastAsia="zh-CN" w:bidi="ar-SA"/>
                    </w:rPr>
                    <w:t>处理措施编号</w:t>
                  </w:r>
                </w:p>
              </w:tc>
              <w:tc>
                <w:tcPr>
                  <w:tcW w:w="1725" w:type="pct"/>
                  <w:gridSpan w:val="3"/>
                  <w:noWrap w:val="0"/>
                  <w:vAlign w:val="center"/>
                </w:tcPr>
                <w:p w14:paraId="084CCA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TA002</w:t>
                  </w:r>
                </w:p>
              </w:tc>
              <w:tc>
                <w:tcPr>
                  <w:tcW w:w="1726" w:type="pct"/>
                  <w:gridSpan w:val="2"/>
                  <w:noWrap w:val="0"/>
                  <w:vAlign w:val="center"/>
                </w:tcPr>
                <w:p w14:paraId="52BBD3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TA002</w:t>
                  </w:r>
                </w:p>
              </w:tc>
            </w:tr>
            <w:tr w14:paraId="5592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7954EB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lang w:val="en-US" w:eastAsia="zh-CN"/>
                    </w:rPr>
                  </w:pPr>
                  <w:r>
                    <w:rPr>
                      <w:rFonts w:hint="eastAsia" w:ascii="Times New Roman" w:hAnsi="Times New Roman" w:eastAsia="宋体" w:cs="Times New Roman"/>
                      <w:b/>
                      <w:bCs/>
                      <w:color w:val="auto"/>
                      <w:sz w:val="21"/>
                      <w:szCs w:val="21"/>
                      <w:highlight w:val="none"/>
                      <w:lang w:val="en-US" w:eastAsia="zh-CN"/>
                    </w:rPr>
                    <w:t>排放类型</w:t>
                  </w:r>
                </w:p>
              </w:tc>
              <w:tc>
                <w:tcPr>
                  <w:tcW w:w="861" w:type="pct"/>
                  <w:noWrap w:val="0"/>
                  <w:vAlign w:val="center"/>
                </w:tcPr>
                <w:p w14:paraId="374600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有组织</w:t>
                  </w:r>
                </w:p>
              </w:tc>
              <w:tc>
                <w:tcPr>
                  <w:tcW w:w="861" w:type="pct"/>
                  <w:noWrap w:val="0"/>
                  <w:vAlign w:val="center"/>
                </w:tcPr>
                <w:p w14:paraId="49DFDA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无组织</w:t>
                  </w:r>
                </w:p>
              </w:tc>
              <w:tc>
                <w:tcPr>
                  <w:tcW w:w="861" w:type="pct"/>
                  <w:gridSpan w:val="2"/>
                  <w:noWrap w:val="0"/>
                  <w:vAlign w:val="center"/>
                </w:tcPr>
                <w:p w14:paraId="48255F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有组织</w:t>
                  </w:r>
                </w:p>
              </w:tc>
              <w:tc>
                <w:tcPr>
                  <w:tcW w:w="867" w:type="pct"/>
                  <w:noWrap w:val="0"/>
                  <w:vAlign w:val="center"/>
                </w:tcPr>
                <w:p w14:paraId="655FEA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无组织</w:t>
                  </w:r>
                </w:p>
              </w:tc>
            </w:tr>
            <w:tr w14:paraId="74A0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591EB8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lang w:val="en-US" w:eastAsia="zh-CN"/>
                    </w:rPr>
                  </w:pPr>
                  <w:r>
                    <w:rPr>
                      <w:rFonts w:hint="eastAsia" w:ascii="Times New Roman" w:hAnsi="Times New Roman" w:eastAsia="宋体" w:cs="Times New Roman"/>
                      <w:b/>
                      <w:bCs/>
                      <w:color w:val="auto"/>
                      <w:sz w:val="21"/>
                      <w:szCs w:val="21"/>
                      <w:highlight w:val="none"/>
                      <w:lang w:val="en-US" w:eastAsia="zh-CN"/>
                    </w:rPr>
                    <w:t>排气筒编号</w:t>
                  </w:r>
                </w:p>
              </w:tc>
              <w:tc>
                <w:tcPr>
                  <w:tcW w:w="861" w:type="pct"/>
                  <w:noWrap w:val="0"/>
                  <w:vAlign w:val="center"/>
                </w:tcPr>
                <w:p w14:paraId="3EDD35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DA002</w:t>
                  </w:r>
                </w:p>
              </w:tc>
              <w:tc>
                <w:tcPr>
                  <w:tcW w:w="861" w:type="pct"/>
                  <w:noWrap w:val="0"/>
                  <w:vAlign w:val="center"/>
                </w:tcPr>
                <w:p w14:paraId="25DD60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861" w:type="pct"/>
                  <w:gridSpan w:val="2"/>
                  <w:noWrap w:val="0"/>
                  <w:vAlign w:val="center"/>
                </w:tcPr>
                <w:p w14:paraId="616C21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DA002</w:t>
                  </w:r>
                </w:p>
              </w:tc>
              <w:tc>
                <w:tcPr>
                  <w:tcW w:w="867" w:type="pct"/>
                  <w:noWrap w:val="0"/>
                  <w:vAlign w:val="center"/>
                </w:tcPr>
                <w:p w14:paraId="62B0A2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w:t>
                  </w:r>
                </w:p>
              </w:tc>
            </w:tr>
            <w:tr w14:paraId="31C0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732684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lang w:val="en-US" w:eastAsia="zh-CN"/>
                    </w:rPr>
                  </w:pPr>
                  <w:r>
                    <w:rPr>
                      <w:rFonts w:hint="eastAsia" w:ascii="Times New Roman" w:hAnsi="Times New Roman" w:eastAsia="宋体" w:cs="Times New Roman"/>
                      <w:b/>
                      <w:bCs/>
                      <w:color w:val="auto"/>
                      <w:sz w:val="21"/>
                      <w:szCs w:val="21"/>
                      <w:highlight w:val="none"/>
                      <w:lang w:val="en-US" w:eastAsia="zh-CN"/>
                    </w:rPr>
                    <w:t>排放量</w:t>
                  </w:r>
                  <w:r>
                    <w:rPr>
                      <w:rFonts w:hint="eastAsia"/>
                      <w:b/>
                      <w:bCs/>
                      <w:color w:val="auto"/>
                      <w:lang w:val="en-US" w:eastAsia="zh-CN"/>
                    </w:rPr>
                    <w:t>t/a</w:t>
                  </w:r>
                </w:p>
              </w:tc>
              <w:tc>
                <w:tcPr>
                  <w:tcW w:w="861" w:type="pct"/>
                  <w:noWrap w:val="0"/>
                  <w:vAlign w:val="center"/>
                </w:tcPr>
                <w:p w14:paraId="7E7B2B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r>
                    <w:rPr>
                      <w:rFonts w:hint="eastAsia" w:cs="Times New Roman"/>
                      <w:color w:val="auto"/>
                      <w:lang w:val="en-US" w:eastAsia="zh-CN"/>
                    </w:rPr>
                    <w:t>52</w:t>
                  </w:r>
                </w:p>
              </w:tc>
              <w:tc>
                <w:tcPr>
                  <w:tcW w:w="861" w:type="pct"/>
                  <w:noWrap w:val="0"/>
                  <w:vAlign w:val="center"/>
                </w:tcPr>
                <w:p w14:paraId="6FC41C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r>
                    <w:rPr>
                      <w:rFonts w:hint="eastAsia" w:cs="Times New Roman"/>
                      <w:color w:val="auto"/>
                      <w:lang w:val="en-US" w:eastAsia="zh-CN"/>
                    </w:rPr>
                    <w:t>6</w:t>
                  </w:r>
                </w:p>
              </w:tc>
              <w:tc>
                <w:tcPr>
                  <w:tcW w:w="861" w:type="pct"/>
                  <w:gridSpan w:val="2"/>
                  <w:noWrap w:val="0"/>
                  <w:vAlign w:val="center"/>
                </w:tcPr>
                <w:p w14:paraId="60287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0.</w:t>
                  </w:r>
                  <w:r>
                    <w:rPr>
                      <w:rFonts w:hint="eastAsia" w:cs="Times New Roman"/>
                      <w:color w:val="auto"/>
                      <w:lang w:val="en-US" w:eastAsia="zh-CN"/>
                    </w:rPr>
                    <w:t>76</w:t>
                  </w:r>
                </w:p>
              </w:tc>
              <w:tc>
                <w:tcPr>
                  <w:tcW w:w="867" w:type="pct"/>
                  <w:noWrap w:val="0"/>
                  <w:vAlign w:val="center"/>
                </w:tcPr>
                <w:p w14:paraId="586374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r>
                    <w:rPr>
                      <w:rFonts w:hint="eastAsia" w:cs="Times New Roman"/>
                      <w:color w:val="auto"/>
                      <w:lang w:val="en-US" w:eastAsia="zh-CN"/>
                    </w:rPr>
                    <w:t>6</w:t>
                  </w:r>
                </w:p>
              </w:tc>
            </w:tr>
            <w:tr w14:paraId="6C75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8" w:type="pct"/>
                  <w:noWrap w:val="0"/>
                  <w:vAlign w:val="center"/>
                </w:tcPr>
                <w:p w14:paraId="64A0EA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备注</w:t>
                  </w:r>
                </w:p>
              </w:tc>
              <w:tc>
                <w:tcPr>
                  <w:tcW w:w="3451" w:type="pct"/>
                  <w:gridSpan w:val="5"/>
                  <w:noWrap w:val="0"/>
                  <w:vAlign w:val="center"/>
                </w:tcPr>
                <w:p w14:paraId="376B95E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未收集部分经车间内沉降约80%后在车间内无组织排放。</w:t>
                  </w:r>
                </w:p>
              </w:tc>
            </w:tr>
          </w:tbl>
          <w:p w14:paraId="3A8B82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根据企业提供的资料，现有排气筒（DA002）设计内径</w:t>
            </w:r>
            <w:r>
              <w:rPr>
                <w:rFonts w:hint="eastAsia" w:cs="Times New Roman"/>
                <w:color w:val="auto"/>
                <w:sz w:val="24"/>
                <w:szCs w:val="24"/>
                <w:highlight w:val="none"/>
                <w:lang w:val="en-US" w:eastAsia="zh-CN"/>
              </w:rPr>
              <w:t>0.4</w:t>
            </w:r>
            <w:r>
              <w:rPr>
                <w:rFonts w:hint="eastAsia" w:ascii="Times New Roman" w:hAnsi="Times New Roman" w:eastAsia="宋体" w:cs="Times New Roman"/>
                <w:color w:val="auto"/>
                <w:sz w:val="24"/>
                <w:szCs w:val="24"/>
                <w:highlight w:val="none"/>
                <w:lang w:val="en-US" w:eastAsia="zh-CN"/>
              </w:rPr>
              <w:t>m，技改后总风量</w:t>
            </w:r>
            <w:r>
              <w:rPr>
                <w:rFonts w:hint="eastAsia"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val="en-US" w:eastAsia="zh-CN"/>
              </w:rPr>
              <w:t>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/h，计算风速约为15.</w:t>
            </w:r>
            <w:r>
              <w:rPr>
                <w:rFonts w:hint="eastAsia" w:cs="Times New Roman"/>
                <w:color w:val="auto"/>
                <w:sz w:val="24"/>
                <w:szCs w:val="24"/>
                <w:highlight w:val="none"/>
                <w:lang w:val="en-US" w:eastAsia="zh-CN"/>
              </w:rPr>
              <w:t>47</w:t>
            </w:r>
            <w:r>
              <w:rPr>
                <w:rFonts w:hint="eastAsia" w:ascii="Times New Roman" w:hAnsi="Times New Roman" w:eastAsia="宋体" w:cs="Times New Roman"/>
                <w:color w:val="auto"/>
                <w:sz w:val="24"/>
                <w:szCs w:val="24"/>
                <w:highlight w:val="none"/>
                <w:lang w:val="en-US" w:eastAsia="zh-CN"/>
              </w:rPr>
              <w:t>m/s，故可不对该排气筒进行调整。</w:t>
            </w:r>
          </w:p>
          <w:p w14:paraId="515FE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7CF9A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71DD21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41B048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70457B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7D7FBE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522A42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4FFF83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pPr>
          </w:p>
          <w:p w14:paraId="51CF430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FF0000"/>
                <w:kern w:val="2"/>
                <w:sz w:val="24"/>
                <w:szCs w:val="24"/>
                <w:highlight w:val="none"/>
                <w:lang w:val="en-US" w:eastAsia="zh-CN" w:bidi="ar-SA"/>
              </w:rPr>
            </w:pPr>
          </w:p>
        </w:tc>
      </w:tr>
    </w:tbl>
    <w:p w14:paraId="29BF08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sectPr>
          <w:pgSz w:w="11907" w:h="16840"/>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tbl>
      <w:tblPr>
        <w:tblStyle w:val="36"/>
        <w:tblW w:w="502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49"/>
        <w:gridCol w:w="13769"/>
      </w:tblGrid>
      <w:tr w14:paraId="7B838A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8" w:type="pct"/>
            <w:tcBorders>
              <w:tl2br w:val="nil"/>
              <w:tr2bl w:val="nil"/>
            </w:tcBorders>
            <w:noWrap w:val="0"/>
            <w:tcMar>
              <w:left w:w="28" w:type="dxa"/>
              <w:right w:w="28" w:type="dxa"/>
            </w:tcMar>
            <w:vAlign w:val="center"/>
          </w:tcPr>
          <w:p w14:paraId="77BE98A8">
            <w:pPr>
              <w:adjustRightInd w:val="0"/>
              <w:snapToGrid w:val="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运营期环境影响和保护措施</w:t>
            </w:r>
          </w:p>
        </w:tc>
        <w:tc>
          <w:tcPr>
            <w:tcW w:w="4841" w:type="pct"/>
            <w:tcBorders>
              <w:tl2br w:val="nil"/>
              <w:tr2bl w:val="nil"/>
            </w:tcBorders>
            <w:noWrap w:val="0"/>
            <w:vAlign w:val="center"/>
          </w:tcPr>
          <w:p w14:paraId="2CB863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经核算，本项目建成后全厂废气产生及收集处理措施变化情况见下表。</w:t>
            </w:r>
          </w:p>
          <w:p w14:paraId="49407F9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2"/>
                <w:szCs w:val="22"/>
                <w:lang w:val="en-US" w:eastAsia="zh-CN"/>
              </w:rPr>
            </w:pPr>
            <w:r>
              <w:rPr>
                <w:rFonts w:hint="eastAsia" w:ascii="Times New Roman" w:hAnsi="Times New Roman" w:eastAsia="宋体" w:cs="Times New Roman"/>
                <w:b/>
                <w:bCs/>
                <w:color w:val="auto"/>
                <w:kern w:val="2"/>
                <w:sz w:val="22"/>
                <w:szCs w:val="22"/>
                <w:lang w:val="en-US" w:eastAsia="zh-CN"/>
              </w:rPr>
              <w:t>表4-3  本项目建成后全厂废气产生及收集处理措施变化情况一览表</w:t>
            </w:r>
          </w:p>
          <w:tbl>
            <w:tblPr>
              <w:tblStyle w:val="3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073"/>
              <w:gridCol w:w="1075"/>
              <w:gridCol w:w="994"/>
              <w:gridCol w:w="1205"/>
              <w:gridCol w:w="1151"/>
              <w:gridCol w:w="1197"/>
              <w:gridCol w:w="929"/>
              <w:gridCol w:w="1621"/>
              <w:gridCol w:w="800"/>
              <w:gridCol w:w="766"/>
              <w:gridCol w:w="1892"/>
            </w:tblGrid>
            <w:tr w14:paraId="1DB6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07" w:type="pct"/>
                  <w:noWrap w:val="0"/>
                  <w:vAlign w:val="center"/>
                </w:tcPr>
                <w:p w14:paraId="72E299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工序</w:t>
                  </w:r>
                </w:p>
              </w:tc>
              <w:tc>
                <w:tcPr>
                  <w:tcW w:w="396" w:type="pct"/>
                  <w:noWrap w:val="0"/>
                  <w:vAlign w:val="center"/>
                </w:tcPr>
                <w:p w14:paraId="751130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状态</w:t>
                  </w:r>
                </w:p>
              </w:tc>
              <w:tc>
                <w:tcPr>
                  <w:tcW w:w="397" w:type="pct"/>
                  <w:noWrap w:val="0"/>
                  <w:vAlign w:val="center"/>
                </w:tcPr>
                <w:p w14:paraId="7A5449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收集措施</w:t>
                  </w:r>
                </w:p>
              </w:tc>
              <w:tc>
                <w:tcPr>
                  <w:tcW w:w="367" w:type="pct"/>
                  <w:noWrap w:val="0"/>
                  <w:vAlign w:val="center"/>
                </w:tcPr>
                <w:p w14:paraId="5A05F3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收集风量m</w:t>
                  </w:r>
                  <w:r>
                    <w:rPr>
                      <w:rFonts w:hint="eastAsia" w:ascii="Times New Roman" w:hAnsi="Times New Roman" w:eastAsia="宋体" w:cs="Times New Roman"/>
                      <w:b/>
                      <w:bCs/>
                      <w:color w:val="auto"/>
                      <w:kern w:val="2"/>
                      <w:sz w:val="21"/>
                      <w:szCs w:val="21"/>
                      <w:highlight w:val="none"/>
                      <w:vertAlign w:val="superscript"/>
                      <w:lang w:val="en-US" w:eastAsia="zh-CN" w:bidi="ar-SA"/>
                    </w:rPr>
                    <w:t>3</w:t>
                  </w:r>
                  <w:r>
                    <w:rPr>
                      <w:rFonts w:hint="eastAsia" w:ascii="Times New Roman" w:hAnsi="Times New Roman" w:eastAsia="宋体" w:cs="Times New Roman"/>
                      <w:b/>
                      <w:bCs/>
                      <w:color w:val="auto"/>
                      <w:kern w:val="2"/>
                      <w:sz w:val="21"/>
                      <w:szCs w:val="21"/>
                      <w:highlight w:val="none"/>
                      <w:lang w:val="en-US" w:eastAsia="zh-CN" w:bidi="ar-SA"/>
                    </w:rPr>
                    <w:t>/h</w:t>
                  </w:r>
                </w:p>
              </w:tc>
              <w:tc>
                <w:tcPr>
                  <w:tcW w:w="445" w:type="pct"/>
                  <w:noWrap w:val="0"/>
                  <w:vAlign w:val="center"/>
                </w:tcPr>
                <w:p w14:paraId="170BE6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处理措施</w:t>
                  </w:r>
                </w:p>
              </w:tc>
              <w:tc>
                <w:tcPr>
                  <w:tcW w:w="425" w:type="pct"/>
                  <w:noWrap w:val="0"/>
                  <w:vAlign w:val="center"/>
                </w:tcPr>
                <w:p w14:paraId="289DAA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处理措施编号</w:t>
                  </w:r>
                </w:p>
              </w:tc>
              <w:tc>
                <w:tcPr>
                  <w:tcW w:w="442" w:type="pct"/>
                  <w:noWrap w:val="0"/>
                  <w:vAlign w:val="center"/>
                </w:tcPr>
                <w:p w14:paraId="6D2567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排放类型</w:t>
                  </w:r>
                </w:p>
              </w:tc>
              <w:tc>
                <w:tcPr>
                  <w:tcW w:w="343" w:type="pct"/>
                  <w:noWrap w:val="0"/>
                  <w:vAlign w:val="center"/>
                </w:tcPr>
                <w:p w14:paraId="7CEFC6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排气筒编号</w:t>
                  </w:r>
                </w:p>
              </w:tc>
              <w:tc>
                <w:tcPr>
                  <w:tcW w:w="598" w:type="pct"/>
                  <w:noWrap w:val="0"/>
                  <w:vAlign w:val="center"/>
                </w:tcPr>
                <w:p w14:paraId="6368B7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主要污染物</w:t>
                  </w:r>
                </w:p>
              </w:tc>
              <w:tc>
                <w:tcPr>
                  <w:tcW w:w="295" w:type="pct"/>
                  <w:noWrap w:val="0"/>
                  <w:vAlign w:val="center"/>
                </w:tcPr>
                <w:p w14:paraId="3DB91F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收集率</w:t>
                  </w:r>
                </w:p>
              </w:tc>
              <w:tc>
                <w:tcPr>
                  <w:tcW w:w="282" w:type="pct"/>
                  <w:noWrap w:val="0"/>
                  <w:vAlign w:val="center"/>
                </w:tcPr>
                <w:p w14:paraId="0747D7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去除率</w:t>
                  </w:r>
                </w:p>
              </w:tc>
              <w:tc>
                <w:tcPr>
                  <w:tcW w:w="698" w:type="pct"/>
                  <w:noWrap w:val="0"/>
                  <w:vAlign w:val="center"/>
                </w:tcPr>
                <w:p w14:paraId="421492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变化情况</w:t>
                  </w:r>
                </w:p>
              </w:tc>
            </w:tr>
            <w:tr w14:paraId="0E5A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07" w:type="pct"/>
                  <w:vMerge w:val="restart"/>
                  <w:noWrap w:val="0"/>
                  <w:vAlign w:val="center"/>
                </w:tcPr>
                <w:p w14:paraId="7B7DB7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熔化*</w:t>
                  </w:r>
                </w:p>
              </w:tc>
              <w:tc>
                <w:tcPr>
                  <w:tcW w:w="396" w:type="pct"/>
                  <w:noWrap w:val="0"/>
                  <w:vAlign w:val="center"/>
                </w:tcPr>
                <w:p w14:paraId="03BCFF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现有</w:t>
                  </w:r>
                </w:p>
              </w:tc>
              <w:tc>
                <w:tcPr>
                  <w:tcW w:w="397" w:type="pct"/>
                  <w:noWrap w:val="0"/>
                  <w:vAlign w:val="center"/>
                </w:tcPr>
                <w:p w14:paraId="47A463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集气罩</w:t>
                  </w:r>
                </w:p>
              </w:tc>
              <w:tc>
                <w:tcPr>
                  <w:tcW w:w="367" w:type="pct"/>
                  <w:noWrap w:val="0"/>
                  <w:vAlign w:val="center"/>
                </w:tcPr>
                <w:p w14:paraId="79A8A9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30</w:t>
                  </w:r>
                  <w:r>
                    <w:rPr>
                      <w:rFonts w:hint="eastAsia" w:ascii="Times New Roman" w:hAnsi="Times New Roman" w:eastAsia="宋体" w:cs="Times New Roman"/>
                      <w:color w:val="auto"/>
                      <w:kern w:val="2"/>
                      <w:sz w:val="21"/>
                      <w:szCs w:val="21"/>
                      <w:highlight w:val="none"/>
                      <w:lang w:val="en-US" w:eastAsia="zh-CN" w:bidi="ar-SA"/>
                    </w:rPr>
                    <w:t>00</w:t>
                  </w:r>
                </w:p>
              </w:tc>
              <w:tc>
                <w:tcPr>
                  <w:tcW w:w="445" w:type="pct"/>
                  <w:noWrap w:val="0"/>
                  <w:vAlign w:val="center"/>
                </w:tcPr>
                <w:p w14:paraId="2F9216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高温</w:t>
                  </w:r>
                  <w:r>
                    <w:rPr>
                      <w:rFonts w:hint="default" w:ascii="Times New Roman" w:hAnsi="Times New Roman" w:eastAsia="宋体" w:cs="Times New Roman"/>
                      <w:color w:val="auto"/>
                      <w:kern w:val="2"/>
                      <w:sz w:val="21"/>
                      <w:szCs w:val="21"/>
                      <w:highlight w:val="none"/>
                      <w:lang w:val="en-US" w:eastAsia="zh-CN" w:bidi="ar-SA"/>
                    </w:rPr>
                    <w:t>布袋</w:t>
                  </w:r>
                </w:p>
              </w:tc>
              <w:tc>
                <w:tcPr>
                  <w:tcW w:w="425" w:type="pct"/>
                  <w:noWrap w:val="0"/>
                  <w:vAlign w:val="center"/>
                </w:tcPr>
                <w:p w14:paraId="6285EC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TA001</w:t>
                  </w:r>
                </w:p>
              </w:tc>
              <w:tc>
                <w:tcPr>
                  <w:tcW w:w="442" w:type="pct"/>
                  <w:noWrap w:val="0"/>
                  <w:vAlign w:val="center"/>
                </w:tcPr>
                <w:p w14:paraId="169785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74B623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DA001</w:t>
                  </w:r>
                </w:p>
              </w:tc>
              <w:tc>
                <w:tcPr>
                  <w:tcW w:w="598" w:type="pct"/>
                  <w:noWrap w:val="0"/>
                  <w:vAlign w:val="center"/>
                </w:tcPr>
                <w:p w14:paraId="186F4D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55554F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90%</w:t>
                  </w:r>
                </w:p>
              </w:tc>
              <w:tc>
                <w:tcPr>
                  <w:tcW w:w="282" w:type="pct"/>
                  <w:noWrap w:val="0"/>
                  <w:vAlign w:val="center"/>
                </w:tcPr>
                <w:p w14:paraId="051650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99%</w:t>
                  </w:r>
                </w:p>
              </w:tc>
              <w:tc>
                <w:tcPr>
                  <w:tcW w:w="698" w:type="pct"/>
                  <w:vMerge w:val="restart"/>
                  <w:noWrap w:val="0"/>
                  <w:vAlign w:val="center"/>
                </w:tcPr>
                <w:p w14:paraId="0EBB2A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本次</w:t>
                  </w:r>
                  <w:r>
                    <w:rPr>
                      <w:rFonts w:hint="eastAsia" w:cs="Times New Roman"/>
                      <w:color w:val="auto"/>
                      <w:kern w:val="2"/>
                      <w:sz w:val="21"/>
                      <w:szCs w:val="21"/>
                      <w:highlight w:val="none"/>
                      <w:lang w:val="en-US" w:eastAsia="zh-CN" w:bidi="ar-SA"/>
                    </w:rPr>
                    <w:t>优化除尘</w:t>
                  </w:r>
                  <w:r>
                    <w:rPr>
                      <w:rFonts w:hint="eastAsia" w:ascii="Times New Roman" w:hAnsi="Times New Roman" w:eastAsia="宋体" w:cs="Times New Roman"/>
                      <w:color w:val="auto"/>
                      <w:kern w:val="2"/>
                      <w:sz w:val="21"/>
                      <w:szCs w:val="21"/>
                      <w:highlight w:val="none"/>
                      <w:lang w:val="en-US" w:eastAsia="zh-CN" w:bidi="ar-SA"/>
                    </w:rPr>
                    <w:t>措施，颗粒物去除率提升至99.5%</w:t>
                  </w:r>
                </w:p>
              </w:tc>
            </w:tr>
            <w:tr w14:paraId="14AA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07" w:type="pct"/>
                  <w:vMerge w:val="continue"/>
                  <w:noWrap w:val="0"/>
                  <w:vAlign w:val="center"/>
                </w:tcPr>
                <w:p w14:paraId="19F361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396" w:type="pct"/>
                  <w:noWrap w:val="0"/>
                  <w:vAlign w:val="center"/>
                </w:tcPr>
                <w:p w14:paraId="12616D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本次技改</w:t>
                  </w:r>
                </w:p>
              </w:tc>
              <w:tc>
                <w:tcPr>
                  <w:tcW w:w="397" w:type="pct"/>
                  <w:noWrap w:val="0"/>
                  <w:vAlign w:val="center"/>
                </w:tcPr>
                <w:p w14:paraId="69E2CF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集气罩</w:t>
                  </w:r>
                </w:p>
              </w:tc>
              <w:tc>
                <w:tcPr>
                  <w:tcW w:w="367" w:type="pct"/>
                  <w:noWrap w:val="0"/>
                  <w:vAlign w:val="center"/>
                </w:tcPr>
                <w:p w14:paraId="39AB58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5000</w:t>
                  </w:r>
                </w:p>
              </w:tc>
              <w:tc>
                <w:tcPr>
                  <w:tcW w:w="445" w:type="pct"/>
                  <w:noWrap w:val="0"/>
                  <w:vAlign w:val="center"/>
                </w:tcPr>
                <w:p w14:paraId="130C21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高温</w:t>
                  </w:r>
                  <w:r>
                    <w:rPr>
                      <w:rFonts w:hint="default" w:ascii="Times New Roman" w:hAnsi="Times New Roman" w:eastAsia="宋体" w:cs="Times New Roman"/>
                      <w:color w:val="auto"/>
                      <w:kern w:val="2"/>
                      <w:sz w:val="21"/>
                      <w:szCs w:val="21"/>
                      <w:highlight w:val="none"/>
                      <w:lang w:val="en-US" w:eastAsia="zh-CN" w:bidi="ar-SA"/>
                    </w:rPr>
                    <w:t>布袋</w:t>
                  </w:r>
                </w:p>
              </w:tc>
              <w:tc>
                <w:tcPr>
                  <w:tcW w:w="425" w:type="pct"/>
                  <w:noWrap w:val="0"/>
                  <w:vAlign w:val="center"/>
                </w:tcPr>
                <w:p w14:paraId="00F19E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TA001</w:t>
                  </w:r>
                </w:p>
              </w:tc>
              <w:tc>
                <w:tcPr>
                  <w:tcW w:w="442" w:type="pct"/>
                  <w:noWrap w:val="0"/>
                  <w:vAlign w:val="center"/>
                </w:tcPr>
                <w:p w14:paraId="1A32FC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11CD44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DA001</w:t>
                  </w:r>
                </w:p>
              </w:tc>
              <w:tc>
                <w:tcPr>
                  <w:tcW w:w="598" w:type="pct"/>
                  <w:noWrap w:val="0"/>
                  <w:vAlign w:val="center"/>
                </w:tcPr>
                <w:p w14:paraId="788FAB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4ED6B8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90%</w:t>
                  </w:r>
                </w:p>
              </w:tc>
              <w:tc>
                <w:tcPr>
                  <w:tcW w:w="282" w:type="pct"/>
                  <w:noWrap w:val="0"/>
                  <w:vAlign w:val="center"/>
                </w:tcPr>
                <w:p w14:paraId="5945EF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99.5%</w:t>
                  </w:r>
                </w:p>
              </w:tc>
              <w:tc>
                <w:tcPr>
                  <w:tcW w:w="698" w:type="pct"/>
                  <w:vMerge w:val="continue"/>
                  <w:noWrap w:val="0"/>
                  <w:vAlign w:val="center"/>
                </w:tcPr>
                <w:p w14:paraId="1AACB2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r>
            <w:tr w14:paraId="4680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07" w:type="pct"/>
                  <w:vMerge w:val="restart"/>
                  <w:noWrap w:val="0"/>
                  <w:vAlign w:val="center"/>
                </w:tcPr>
                <w:p w14:paraId="0B8AC5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砂处理</w:t>
                  </w:r>
                </w:p>
              </w:tc>
              <w:tc>
                <w:tcPr>
                  <w:tcW w:w="396" w:type="pct"/>
                  <w:vMerge w:val="restart"/>
                  <w:noWrap w:val="0"/>
                  <w:vAlign w:val="center"/>
                </w:tcPr>
                <w:p w14:paraId="330527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现有</w:t>
                  </w:r>
                </w:p>
              </w:tc>
              <w:tc>
                <w:tcPr>
                  <w:tcW w:w="397" w:type="pct"/>
                  <w:vMerge w:val="restart"/>
                  <w:noWrap w:val="0"/>
                  <w:vAlign w:val="center"/>
                </w:tcPr>
                <w:p w14:paraId="5C4FB6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集气罩</w:t>
                  </w:r>
                </w:p>
              </w:tc>
              <w:tc>
                <w:tcPr>
                  <w:tcW w:w="367" w:type="pct"/>
                  <w:vMerge w:val="restart"/>
                  <w:noWrap w:val="0"/>
                  <w:vAlign w:val="center"/>
                </w:tcPr>
                <w:p w14:paraId="0B2025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7000</w:t>
                  </w:r>
                </w:p>
              </w:tc>
              <w:tc>
                <w:tcPr>
                  <w:tcW w:w="445" w:type="pct"/>
                  <w:vMerge w:val="restart"/>
                  <w:shd w:val="clear" w:color="auto" w:fill="auto"/>
                  <w:noWrap w:val="0"/>
                  <w:vAlign w:val="center"/>
                </w:tcPr>
                <w:p w14:paraId="34AD67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布袋除尘</w:t>
                  </w:r>
                </w:p>
              </w:tc>
              <w:tc>
                <w:tcPr>
                  <w:tcW w:w="425" w:type="pct"/>
                  <w:vMerge w:val="restart"/>
                  <w:shd w:val="clear" w:color="auto" w:fill="auto"/>
                  <w:noWrap w:val="0"/>
                  <w:vAlign w:val="center"/>
                </w:tcPr>
                <w:p w14:paraId="1A88D2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TA002</w:t>
                  </w:r>
                </w:p>
              </w:tc>
              <w:tc>
                <w:tcPr>
                  <w:tcW w:w="442" w:type="pct"/>
                  <w:shd w:val="clear" w:color="auto" w:fill="auto"/>
                  <w:noWrap w:val="0"/>
                  <w:vAlign w:val="center"/>
                </w:tcPr>
                <w:p w14:paraId="4B3199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shd w:val="clear" w:color="auto" w:fill="auto"/>
                  <w:noWrap w:val="0"/>
                  <w:vAlign w:val="center"/>
                </w:tcPr>
                <w:p w14:paraId="0B5E20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DA002</w:t>
                  </w:r>
                </w:p>
              </w:tc>
              <w:tc>
                <w:tcPr>
                  <w:tcW w:w="598" w:type="pct"/>
                  <w:shd w:val="clear" w:color="auto" w:fill="auto"/>
                  <w:noWrap w:val="0"/>
                  <w:vAlign w:val="center"/>
                </w:tcPr>
                <w:p w14:paraId="16E838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shd w:val="clear" w:color="auto" w:fill="auto"/>
                  <w:noWrap w:val="0"/>
                  <w:vAlign w:val="center"/>
                </w:tcPr>
                <w:p w14:paraId="49EC93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95%</w:t>
                  </w:r>
                </w:p>
              </w:tc>
              <w:tc>
                <w:tcPr>
                  <w:tcW w:w="282" w:type="pct"/>
                  <w:shd w:val="clear" w:color="auto" w:fill="auto"/>
                  <w:noWrap w:val="0"/>
                  <w:vAlign w:val="center"/>
                </w:tcPr>
                <w:p w14:paraId="5EEF2F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w:t>
                  </w:r>
                </w:p>
              </w:tc>
              <w:tc>
                <w:tcPr>
                  <w:tcW w:w="698" w:type="pct"/>
                  <w:vMerge w:val="restart"/>
                  <w:noWrap w:val="0"/>
                  <w:vAlign w:val="center"/>
                </w:tcPr>
                <w:p w14:paraId="00448E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本次</w:t>
                  </w:r>
                  <w:r>
                    <w:rPr>
                      <w:rFonts w:hint="eastAsia" w:cs="Times New Roman"/>
                      <w:color w:val="auto"/>
                      <w:kern w:val="2"/>
                      <w:sz w:val="21"/>
                      <w:szCs w:val="21"/>
                      <w:highlight w:val="none"/>
                      <w:lang w:val="en-US" w:eastAsia="zh-CN" w:bidi="ar-SA"/>
                    </w:rPr>
                    <w:t>废气处理效率提升至99.5%</w:t>
                  </w:r>
                </w:p>
              </w:tc>
            </w:tr>
            <w:tr w14:paraId="4363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07" w:type="pct"/>
                  <w:vMerge w:val="continue"/>
                  <w:noWrap w:val="0"/>
                  <w:vAlign w:val="center"/>
                </w:tcPr>
                <w:p w14:paraId="387E88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396" w:type="pct"/>
                  <w:vMerge w:val="continue"/>
                  <w:noWrap w:val="0"/>
                  <w:vAlign w:val="center"/>
                </w:tcPr>
                <w:p w14:paraId="6D18EE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kern w:val="2"/>
                      <w:sz w:val="21"/>
                      <w:szCs w:val="21"/>
                      <w:highlight w:val="none"/>
                      <w:lang w:val="en-US" w:eastAsia="zh-CN" w:bidi="ar-SA"/>
                    </w:rPr>
                  </w:pPr>
                </w:p>
              </w:tc>
              <w:tc>
                <w:tcPr>
                  <w:tcW w:w="397" w:type="pct"/>
                  <w:vMerge w:val="continue"/>
                  <w:noWrap w:val="0"/>
                  <w:vAlign w:val="center"/>
                </w:tcPr>
                <w:p w14:paraId="1897AF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67" w:type="pct"/>
                  <w:vMerge w:val="continue"/>
                  <w:noWrap w:val="0"/>
                  <w:vAlign w:val="center"/>
                </w:tcPr>
                <w:p w14:paraId="3416A2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kern w:val="2"/>
                      <w:sz w:val="21"/>
                      <w:szCs w:val="21"/>
                      <w:highlight w:val="none"/>
                      <w:lang w:val="en-US" w:eastAsia="zh-CN" w:bidi="ar-SA"/>
                    </w:rPr>
                  </w:pPr>
                </w:p>
              </w:tc>
              <w:tc>
                <w:tcPr>
                  <w:tcW w:w="445" w:type="pct"/>
                  <w:vMerge w:val="continue"/>
                  <w:noWrap w:val="0"/>
                  <w:vAlign w:val="center"/>
                </w:tcPr>
                <w:p w14:paraId="129689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425" w:type="pct"/>
                  <w:vMerge w:val="continue"/>
                  <w:noWrap w:val="0"/>
                  <w:vAlign w:val="center"/>
                </w:tcPr>
                <w:p w14:paraId="55BB6E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442" w:type="pct"/>
                  <w:shd w:val="clear" w:color="auto" w:fill="auto"/>
                  <w:noWrap w:val="0"/>
                  <w:vAlign w:val="center"/>
                </w:tcPr>
                <w:p w14:paraId="5056A3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无组织</w:t>
                  </w:r>
                </w:p>
              </w:tc>
              <w:tc>
                <w:tcPr>
                  <w:tcW w:w="343" w:type="pct"/>
                  <w:shd w:val="clear" w:color="auto" w:fill="auto"/>
                  <w:noWrap w:val="0"/>
                  <w:vAlign w:val="center"/>
                </w:tcPr>
                <w:p w14:paraId="638FFD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598" w:type="pct"/>
                  <w:shd w:val="clear" w:color="auto" w:fill="auto"/>
                  <w:noWrap w:val="0"/>
                  <w:vAlign w:val="center"/>
                </w:tcPr>
                <w:p w14:paraId="03D903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shd w:val="clear" w:color="auto" w:fill="auto"/>
                  <w:noWrap w:val="0"/>
                  <w:vAlign w:val="center"/>
                </w:tcPr>
                <w:p w14:paraId="212B1C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282" w:type="pct"/>
                  <w:shd w:val="clear" w:color="auto" w:fill="auto"/>
                  <w:noWrap w:val="0"/>
                  <w:vAlign w:val="center"/>
                </w:tcPr>
                <w:p w14:paraId="455F3A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698" w:type="pct"/>
                  <w:vMerge w:val="continue"/>
                  <w:noWrap w:val="0"/>
                  <w:vAlign w:val="center"/>
                </w:tcPr>
                <w:p w14:paraId="2FBCF4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kern w:val="2"/>
                      <w:sz w:val="21"/>
                      <w:szCs w:val="21"/>
                      <w:highlight w:val="none"/>
                      <w:lang w:val="en-US" w:eastAsia="zh-CN" w:bidi="ar-SA"/>
                    </w:rPr>
                  </w:pPr>
                </w:p>
              </w:tc>
            </w:tr>
            <w:tr w14:paraId="4007F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07" w:type="pct"/>
                  <w:vMerge w:val="continue"/>
                  <w:noWrap w:val="0"/>
                  <w:vAlign w:val="center"/>
                </w:tcPr>
                <w:p w14:paraId="0BC31B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96" w:type="pct"/>
                  <w:vMerge w:val="restart"/>
                  <w:noWrap w:val="0"/>
                  <w:vAlign w:val="center"/>
                </w:tcPr>
                <w:p w14:paraId="19D8A1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本次技改</w:t>
                  </w:r>
                </w:p>
              </w:tc>
              <w:tc>
                <w:tcPr>
                  <w:tcW w:w="397" w:type="pct"/>
                  <w:vMerge w:val="restart"/>
                  <w:noWrap w:val="0"/>
                  <w:vAlign w:val="center"/>
                </w:tcPr>
                <w:p w14:paraId="0C9648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吸风收集</w:t>
                  </w:r>
                </w:p>
              </w:tc>
              <w:tc>
                <w:tcPr>
                  <w:tcW w:w="367" w:type="pct"/>
                  <w:vMerge w:val="restart"/>
                  <w:noWrap w:val="0"/>
                  <w:vAlign w:val="center"/>
                </w:tcPr>
                <w:p w14:paraId="398400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w:t>
                  </w:r>
                  <w:r>
                    <w:rPr>
                      <w:rFonts w:hint="eastAsia" w:ascii="Times New Roman" w:hAnsi="Times New Roman" w:eastAsia="宋体" w:cs="Times New Roman"/>
                      <w:color w:val="auto"/>
                      <w:kern w:val="2"/>
                      <w:sz w:val="21"/>
                      <w:szCs w:val="21"/>
                      <w:highlight w:val="none"/>
                      <w:lang w:val="en-US" w:eastAsia="zh-CN" w:bidi="ar-SA"/>
                    </w:rPr>
                    <w:t>000</w:t>
                  </w:r>
                </w:p>
              </w:tc>
              <w:tc>
                <w:tcPr>
                  <w:tcW w:w="445" w:type="pct"/>
                  <w:vMerge w:val="restart"/>
                  <w:noWrap w:val="0"/>
                  <w:vAlign w:val="center"/>
                </w:tcPr>
                <w:p w14:paraId="65F20A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布袋除尘</w:t>
                  </w:r>
                </w:p>
              </w:tc>
              <w:tc>
                <w:tcPr>
                  <w:tcW w:w="425" w:type="pct"/>
                  <w:vMerge w:val="restart"/>
                  <w:noWrap w:val="0"/>
                  <w:vAlign w:val="center"/>
                </w:tcPr>
                <w:p w14:paraId="026579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TA002</w:t>
                  </w:r>
                </w:p>
              </w:tc>
              <w:tc>
                <w:tcPr>
                  <w:tcW w:w="442" w:type="pct"/>
                  <w:noWrap w:val="0"/>
                  <w:vAlign w:val="center"/>
                </w:tcPr>
                <w:p w14:paraId="3ABA50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44E83E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DA002</w:t>
                  </w:r>
                </w:p>
              </w:tc>
              <w:tc>
                <w:tcPr>
                  <w:tcW w:w="598" w:type="pct"/>
                  <w:noWrap w:val="0"/>
                  <w:vAlign w:val="center"/>
                </w:tcPr>
                <w:p w14:paraId="105533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3C3984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95%</w:t>
                  </w:r>
                </w:p>
              </w:tc>
              <w:tc>
                <w:tcPr>
                  <w:tcW w:w="282" w:type="pct"/>
                  <w:noWrap w:val="0"/>
                  <w:vAlign w:val="center"/>
                </w:tcPr>
                <w:p w14:paraId="6ECB0D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w:t>
                  </w:r>
                </w:p>
              </w:tc>
              <w:tc>
                <w:tcPr>
                  <w:tcW w:w="698" w:type="pct"/>
                  <w:vMerge w:val="continue"/>
                  <w:noWrap w:val="0"/>
                  <w:vAlign w:val="center"/>
                </w:tcPr>
                <w:p w14:paraId="1926C6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r>
            <w:tr w14:paraId="30AC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07" w:type="pct"/>
                  <w:vMerge w:val="continue"/>
                  <w:noWrap w:val="0"/>
                  <w:vAlign w:val="center"/>
                </w:tcPr>
                <w:p w14:paraId="50516A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396" w:type="pct"/>
                  <w:vMerge w:val="continue"/>
                  <w:noWrap w:val="0"/>
                  <w:vAlign w:val="center"/>
                </w:tcPr>
                <w:p w14:paraId="317919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397" w:type="pct"/>
                  <w:vMerge w:val="continue"/>
                  <w:noWrap w:val="0"/>
                  <w:vAlign w:val="center"/>
                </w:tcPr>
                <w:p w14:paraId="03DFD9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FF0000"/>
                    </w:rPr>
                  </w:pPr>
                </w:p>
              </w:tc>
              <w:tc>
                <w:tcPr>
                  <w:tcW w:w="367" w:type="pct"/>
                  <w:vMerge w:val="continue"/>
                  <w:noWrap w:val="0"/>
                  <w:vAlign w:val="center"/>
                </w:tcPr>
                <w:p w14:paraId="71C42A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FF0000"/>
                    </w:rPr>
                  </w:pPr>
                </w:p>
              </w:tc>
              <w:tc>
                <w:tcPr>
                  <w:tcW w:w="445" w:type="pct"/>
                  <w:vMerge w:val="continue"/>
                  <w:noWrap w:val="0"/>
                  <w:vAlign w:val="center"/>
                </w:tcPr>
                <w:p w14:paraId="75F97B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425" w:type="pct"/>
                  <w:vMerge w:val="continue"/>
                  <w:noWrap w:val="0"/>
                  <w:vAlign w:val="center"/>
                </w:tcPr>
                <w:p w14:paraId="7D1C85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442" w:type="pct"/>
                  <w:noWrap w:val="0"/>
                  <w:vAlign w:val="center"/>
                </w:tcPr>
                <w:p w14:paraId="7C963F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无组织</w:t>
                  </w:r>
                </w:p>
              </w:tc>
              <w:tc>
                <w:tcPr>
                  <w:tcW w:w="343" w:type="pct"/>
                  <w:noWrap w:val="0"/>
                  <w:vAlign w:val="center"/>
                </w:tcPr>
                <w:p w14:paraId="2182BF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598" w:type="pct"/>
                  <w:noWrap w:val="0"/>
                  <w:vAlign w:val="center"/>
                </w:tcPr>
                <w:p w14:paraId="794ECA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3D1E61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282" w:type="pct"/>
                  <w:noWrap w:val="0"/>
                  <w:vAlign w:val="center"/>
                </w:tcPr>
                <w:p w14:paraId="4438C6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698" w:type="pct"/>
                  <w:vMerge w:val="continue"/>
                  <w:noWrap w:val="0"/>
                  <w:vAlign w:val="center"/>
                </w:tcPr>
                <w:p w14:paraId="50E072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z w:val="21"/>
                      <w:szCs w:val="21"/>
                      <w:highlight w:val="none"/>
                      <w:lang w:val="en-US" w:eastAsia="zh-CN"/>
                    </w:rPr>
                  </w:pPr>
                </w:p>
              </w:tc>
            </w:tr>
            <w:tr w14:paraId="395C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07" w:type="pct"/>
                  <w:vMerge w:val="restart"/>
                  <w:noWrap w:val="0"/>
                  <w:vAlign w:val="center"/>
                </w:tcPr>
                <w:p w14:paraId="79A5DB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造型/</w:t>
                  </w:r>
                  <w:r>
                    <w:rPr>
                      <w:rFonts w:hint="eastAsia" w:ascii="Times New Roman" w:hAnsi="Times New Roman" w:eastAsia="宋体" w:cs="Times New Roman"/>
                      <w:color w:val="auto"/>
                      <w:sz w:val="21"/>
                      <w:szCs w:val="21"/>
                      <w:highlight w:val="none"/>
                      <w:lang w:val="en-US" w:eastAsia="zh-CN"/>
                    </w:rPr>
                    <w:t>浇铸</w:t>
                  </w:r>
                </w:p>
              </w:tc>
              <w:tc>
                <w:tcPr>
                  <w:tcW w:w="396" w:type="pct"/>
                  <w:vMerge w:val="restart"/>
                  <w:noWrap w:val="0"/>
                  <w:vAlign w:val="center"/>
                </w:tcPr>
                <w:p w14:paraId="5A5979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本次技改</w:t>
                  </w:r>
                </w:p>
              </w:tc>
              <w:tc>
                <w:tcPr>
                  <w:tcW w:w="397" w:type="pct"/>
                  <w:vMerge w:val="restart"/>
                  <w:noWrap w:val="0"/>
                  <w:vAlign w:val="center"/>
                </w:tcPr>
                <w:p w14:paraId="25D5B5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侧吸收集</w:t>
                  </w:r>
                </w:p>
              </w:tc>
              <w:tc>
                <w:tcPr>
                  <w:tcW w:w="367" w:type="pct"/>
                  <w:vMerge w:val="restart"/>
                  <w:noWrap w:val="0"/>
                  <w:vAlign w:val="center"/>
                </w:tcPr>
                <w:p w14:paraId="62E252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w:t>
                  </w:r>
                  <w:r>
                    <w:rPr>
                      <w:rFonts w:hint="eastAsia" w:ascii="Times New Roman" w:hAnsi="Times New Roman" w:eastAsia="宋体" w:cs="Times New Roman"/>
                      <w:color w:val="auto"/>
                      <w:kern w:val="2"/>
                      <w:sz w:val="21"/>
                      <w:szCs w:val="21"/>
                      <w:highlight w:val="none"/>
                      <w:lang w:val="en-US" w:eastAsia="zh-CN" w:bidi="ar-SA"/>
                    </w:rPr>
                    <w:t>000</w:t>
                  </w:r>
                </w:p>
              </w:tc>
              <w:tc>
                <w:tcPr>
                  <w:tcW w:w="445" w:type="pct"/>
                  <w:vMerge w:val="restart"/>
                  <w:noWrap w:val="0"/>
                  <w:vAlign w:val="center"/>
                </w:tcPr>
                <w:p w14:paraId="0857A0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布袋+二级活性炭</w:t>
                  </w:r>
                </w:p>
              </w:tc>
              <w:tc>
                <w:tcPr>
                  <w:tcW w:w="425" w:type="pct"/>
                  <w:vMerge w:val="restart"/>
                  <w:noWrap w:val="0"/>
                  <w:vAlign w:val="center"/>
                </w:tcPr>
                <w:p w14:paraId="0ABA0D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TA00</w:t>
                  </w:r>
                  <w:r>
                    <w:rPr>
                      <w:rFonts w:hint="eastAsia"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2</w:t>
                  </w:r>
                </w:p>
              </w:tc>
              <w:tc>
                <w:tcPr>
                  <w:tcW w:w="442" w:type="pct"/>
                  <w:noWrap w:val="0"/>
                  <w:vAlign w:val="center"/>
                </w:tcPr>
                <w:p w14:paraId="5B0739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064FC8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4</w:t>
                  </w:r>
                </w:p>
              </w:tc>
              <w:tc>
                <w:tcPr>
                  <w:tcW w:w="598" w:type="pct"/>
                  <w:noWrap w:val="0"/>
                  <w:vAlign w:val="center"/>
                </w:tcPr>
                <w:p w14:paraId="172449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74293D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100%</w:t>
                  </w:r>
                </w:p>
              </w:tc>
              <w:tc>
                <w:tcPr>
                  <w:tcW w:w="282" w:type="pct"/>
                  <w:noWrap w:val="0"/>
                  <w:vAlign w:val="center"/>
                </w:tcPr>
                <w:p w14:paraId="27AC85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99.5%</w:t>
                  </w:r>
                </w:p>
              </w:tc>
              <w:tc>
                <w:tcPr>
                  <w:tcW w:w="698" w:type="pct"/>
                  <w:vMerge w:val="restart"/>
                  <w:noWrap w:val="0"/>
                  <w:vAlign w:val="center"/>
                </w:tcPr>
                <w:p w14:paraId="70C30D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新建</w:t>
                  </w:r>
                  <w:r>
                    <w:rPr>
                      <w:rFonts w:hint="eastAsia" w:cs="Times New Roman"/>
                      <w:color w:val="auto"/>
                      <w:kern w:val="2"/>
                      <w:sz w:val="21"/>
                      <w:szCs w:val="21"/>
                      <w:highlight w:val="none"/>
                      <w:lang w:val="en-US" w:eastAsia="zh-CN" w:bidi="ar-SA"/>
                    </w:rPr>
                    <w:t>废气处理设施</w:t>
                  </w:r>
                </w:p>
              </w:tc>
            </w:tr>
            <w:tr w14:paraId="3783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7" w:type="pct"/>
                  <w:vMerge w:val="continue"/>
                  <w:noWrap w:val="0"/>
                  <w:vAlign w:val="center"/>
                </w:tcPr>
                <w:p w14:paraId="7467FB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396" w:type="pct"/>
                  <w:vMerge w:val="continue"/>
                  <w:noWrap w:val="0"/>
                  <w:vAlign w:val="center"/>
                </w:tcPr>
                <w:p w14:paraId="42C6DD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97" w:type="pct"/>
                  <w:vMerge w:val="continue"/>
                  <w:noWrap w:val="0"/>
                  <w:vAlign w:val="center"/>
                </w:tcPr>
                <w:p w14:paraId="7876CC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67" w:type="pct"/>
                  <w:vMerge w:val="continue"/>
                  <w:noWrap w:val="0"/>
                  <w:vAlign w:val="center"/>
                </w:tcPr>
                <w:p w14:paraId="7152A5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45" w:type="pct"/>
                  <w:vMerge w:val="continue"/>
                  <w:noWrap w:val="0"/>
                  <w:vAlign w:val="center"/>
                </w:tcPr>
                <w:p w14:paraId="5C9291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25" w:type="pct"/>
                  <w:vMerge w:val="continue"/>
                  <w:noWrap w:val="0"/>
                  <w:vAlign w:val="center"/>
                </w:tcPr>
                <w:p w14:paraId="0A009C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442" w:type="pct"/>
                  <w:noWrap w:val="0"/>
                  <w:vAlign w:val="center"/>
                </w:tcPr>
                <w:p w14:paraId="5A5C52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61D79F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4</w:t>
                  </w:r>
                </w:p>
              </w:tc>
              <w:tc>
                <w:tcPr>
                  <w:tcW w:w="598" w:type="pct"/>
                  <w:noWrap w:val="0"/>
                  <w:vAlign w:val="center"/>
                </w:tcPr>
                <w:p w14:paraId="03BB88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挥发性有机物</w:t>
                  </w:r>
                </w:p>
              </w:tc>
              <w:tc>
                <w:tcPr>
                  <w:tcW w:w="295" w:type="pct"/>
                  <w:noWrap w:val="0"/>
                  <w:vAlign w:val="center"/>
                </w:tcPr>
                <w:p w14:paraId="0037B9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100%</w:t>
                  </w:r>
                </w:p>
              </w:tc>
              <w:tc>
                <w:tcPr>
                  <w:tcW w:w="282" w:type="pct"/>
                  <w:noWrap w:val="0"/>
                  <w:vAlign w:val="center"/>
                </w:tcPr>
                <w:p w14:paraId="5E8416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90%</w:t>
                  </w:r>
                </w:p>
              </w:tc>
              <w:tc>
                <w:tcPr>
                  <w:tcW w:w="698" w:type="pct"/>
                  <w:vMerge w:val="continue"/>
                  <w:noWrap w:val="0"/>
                  <w:vAlign w:val="center"/>
                </w:tcPr>
                <w:p w14:paraId="4A6529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6AE5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307" w:type="pct"/>
                  <w:vMerge w:val="restart"/>
                  <w:noWrap w:val="0"/>
                  <w:vAlign w:val="center"/>
                </w:tcPr>
                <w:p w14:paraId="33B70F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制芯（射芯）</w:t>
                  </w:r>
                </w:p>
              </w:tc>
              <w:tc>
                <w:tcPr>
                  <w:tcW w:w="396" w:type="pct"/>
                  <w:vMerge w:val="restart"/>
                  <w:noWrap w:val="0"/>
                  <w:vAlign w:val="center"/>
                </w:tcPr>
                <w:p w14:paraId="4D3823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本次技改</w:t>
                  </w:r>
                </w:p>
              </w:tc>
              <w:tc>
                <w:tcPr>
                  <w:tcW w:w="397" w:type="pct"/>
                  <w:vMerge w:val="restart"/>
                  <w:noWrap w:val="0"/>
                  <w:vAlign w:val="center"/>
                </w:tcPr>
                <w:p w14:paraId="0D6C69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集气罩</w:t>
                  </w:r>
                </w:p>
              </w:tc>
              <w:tc>
                <w:tcPr>
                  <w:tcW w:w="367" w:type="pct"/>
                  <w:vMerge w:val="restart"/>
                  <w:noWrap w:val="0"/>
                  <w:vAlign w:val="center"/>
                </w:tcPr>
                <w:p w14:paraId="7275C2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80</w:t>
                  </w:r>
                  <w:r>
                    <w:rPr>
                      <w:rFonts w:hint="eastAsia" w:ascii="Times New Roman" w:hAnsi="Times New Roman" w:eastAsia="宋体" w:cs="Times New Roman"/>
                      <w:color w:val="auto"/>
                      <w:kern w:val="2"/>
                      <w:sz w:val="21"/>
                      <w:szCs w:val="21"/>
                      <w:highlight w:val="none"/>
                      <w:lang w:val="en-US" w:eastAsia="zh-CN" w:bidi="ar-SA"/>
                    </w:rPr>
                    <w:t>00</w:t>
                  </w:r>
                </w:p>
              </w:tc>
              <w:tc>
                <w:tcPr>
                  <w:tcW w:w="445" w:type="pct"/>
                  <w:vMerge w:val="restart"/>
                  <w:noWrap w:val="0"/>
                  <w:vAlign w:val="center"/>
                </w:tcPr>
                <w:p w14:paraId="0A9502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布袋+二级活性炭</w:t>
                  </w:r>
                </w:p>
              </w:tc>
              <w:tc>
                <w:tcPr>
                  <w:tcW w:w="425" w:type="pct"/>
                  <w:vMerge w:val="restart"/>
                  <w:noWrap w:val="0"/>
                  <w:vAlign w:val="center"/>
                </w:tcPr>
                <w:p w14:paraId="43A066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TA00</w:t>
                  </w:r>
                  <w:r>
                    <w:rPr>
                      <w:rFonts w:hint="eastAsia"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val="en-US" w:eastAsia="zh-CN"/>
                    </w:rPr>
                    <w:t>-1</w:t>
                  </w:r>
                </w:p>
              </w:tc>
              <w:tc>
                <w:tcPr>
                  <w:tcW w:w="442" w:type="pct"/>
                  <w:shd w:val="clear" w:color="auto" w:fill="auto"/>
                  <w:noWrap w:val="0"/>
                  <w:vAlign w:val="center"/>
                </w:tcPr>
                <w:p w14:paraId="3C6DD2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shd w:val="clear" w:color="auto" w:fill="auto"/>
                  <w:noWrap w:val="0"/>
                  <w:vAlign w:val="center"/>
                </w:tcPr>
                <w:p w14:paraId="384D5A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4</w:t>
                  </w:r>
                </w:p>
              </w:tc>
              <w:tc>
                <w:tcPr>
                  <w:tcW w:w="598" w:type="pct"/>
                  <w:shd w:val="clear" w:color="auto" w:fill="auto"/>
                  <w:noWrap w:val="0"/>
                  <w:vAlign w:val="center"/>
                </w:tcPr>
                <w:p w14:paraId="0127FA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shd w:val="clear" w:color="auto" w:fill="auto"/>
                  <w:noWrap w:val="0"/>
                  <w:vAlign w:val="center"/>
                </w:tcPr>
                <w:p w14:paraId="48CB71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90%</w:t>
                  </w:r>
                </w:p>
              </w:tc>
              <w:tc>
                <w:tcPr>
                  <w:tcW w:w="282" w:type="pct"/>
                  <w:shd w:val="clear" w:color="auto" w:fill="auto"/>
                  <w:noWrap w:val="0"/>
                  <w:vAlign w:val="center"/>
                </w:tcPr>
                <w:p w14:paraId="17F35E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99.5%</w:t>
                  </w:r>
                </w:p>
              </w:tc>
              <w:tc>
                <w:tcPr>
                  <w:tcW w:w="698" w:type="pct"/>
                  <w:vMerge w:val="restart"/>
                  <w:noWrap w:val="0"/>
                  <w:vAlign w:val="center"/>
                </w:tcPr>
                <w:p w14:paraId="0555ED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本次新增收集措施</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处理措施</w:t>
                  </w:r>
                </w:p>
              </w:tc>
            </w:tr>
            <w:tr w14:paraId="2B77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07" w:type="pct"/>
                  <w:vMerge w:val="continue"/>
                  <w:noWrap w:val="0"/>
                  <w:vAlign w:val="center"/>
                </w:tcPr>
                <w:p w14:paraId="7A4A03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396" w:type="pct"/>
                  <w:vMerge w:val="continue"/>
                  <w:noWrap w:val="0"/>
                  <w:vAlign w:val="center"/>
                </w:tcPr>
                <w:p w14:paraId="52E50E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97" w:type="pct"/>
                  <w:vMerge w:val="continue"/>
                  <w:noWrap w:val="0"/>
                  <w:vAlign w:val="center"/>
                </w:tcPr>
                <w:p w14:paraId="758588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67" w:type="pct"/>
                  <w:vMerge w:val="continue"/>
                  <w:noWrap w:val="0"/>
                  <w:vAlign w:val="center"/>
                </w:tcPr>
                <w:p w14:paraId="5CE532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45" w:type="pct"/>
                  <w:vMerge w:val="continue"/>
                  <w:noWrap w:val="0"/>
                  <w:vAlign w:val="center"/>
                </w:tcPr>
                <w:p w14:paraId="6F067C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425" w:type="pct"/>
                  <w:vMerge w:val="continue"/>
                  <w:noWrap w:val="0"/>
                  <w:vAlign w:val="center"/>
                </w:tcPr>
                <w:p w14:paraId="63CE75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442" w:type="pct"/>
                  <w:noWrap w:val="0"/>
                  <w:vAlign w:val="center"/>
                </w:tcPr>
                <w:p w14:paraId="6521CA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无组织</w:t>
                  </w:r>
                </w:p>
              </w:tc>
              <w:tc>
                <w:tcPr>
                  <w:tcW w:w="343" w:type="pct"/>
                  <w:noWrap w:val="0"/>
                  <w:vAlign w:val="center"/>
                </w:tcPr>
                <w:p w14:paraId="5D17F4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598" w:type="pct"/>
                  <w:noWrap w:val="0"/>
                  <w:vAlign w:val="center"/>
                </w:tcPr>
                <w:p w14:paraId="4527D6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7E0219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282" w:type="pct"/>
                  <w:noWrap w:val="0"/>
                  <w:vAlign w:val="center"/>
                </w:tcPr>
                <w:p w14:paraId="320160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698" w:type="pct"/>
                  <w:vMerge w:val="continue"/>
                  <w:noWrap w:val="0"/>
                  <w:vAlign w:val="center"/>
                </w:tcPr>
                <w:p w14:paraId="378FAF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p>
              </w:tc>
            </w:tr>
            <w:tr w14:paraId="5E16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07" w:type="pct"/>
                  <w:vMerge w:val="continue"/>
                  <w:noWrap w:val="0"/>
                  <w:vAlign w:val="center"/>
                </w:tcPr>
                <w:p w14:paraId="07DD7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396" w:type="pct"/>
                  <w:vMerge w:val="continue"/>
                  <w:noWrap w:val="0"/>
                  <w:vAlign w:val="center"/>
                </w:tcPr>
                <w:p w14:paraId="1A38DF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97" w:type="pct"/>
                  <w:vMerge w:val="continue"/>
                  <w:noWrap w:val="0"/>
                  <w:vAlign w:val="center"/>
                </w:tcPr>
                <w:p w14:paraId="54833E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67" w:type="pct"/>
                  <w:vMerge w:val="continue"/>
                  <w:noWrap w:val="0"/>
                  <w:vAlign w:val="center"/>
                </w:tcPr>
                <w:p w14:paraId="1355EE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45" w:type="pct"/>
                  <w:vMerge w:val="continue"/>
                  <w:noWrap w:val="0"/>
                  <w:vAlign w:val="center"/>
                </w:tcPr>
                <w:p w14:paraId="7D589E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425" w:type="pct"/>
                  <w:vMerge w:val="continue"/>
                  <w:noWrap w:val="0"/>
                  <w:vAlign w:val="center"/>
                </w:tcPr>
                <w:p w14:paraId="1B731C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442" w:type="pct"/>
                  <w:noWrap w:val="0"/>
                  <w:vAlign w:val="center"/>
                </w:tcPr>
                <w:p w14:paraId="317753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593AF4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4</w:t>
                  </w:r>
                </w:p>
              </w:tc>
              <w:tc>
                <w:tcPr>
                  <w:tcW w:w="598" w:type="pct"/>
                  <w:noWrap w:val="0"/>
                  <w:vAlign w:val="center"/>
                </w:tcPr>
                <w:p w14:paraId="2D4919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挥发性有机物</w:t>
                  </w:r>
                </w:p>
              </w:tc>
              <w:tc>
                <w:tcPr>
                  <w:tcW w:w="295" w:type="pct"/>
                  <w:noWrap w:val="0"/>
                  <w:vAlign w:val="center"/>
                </w:tcPr>
                <w:p w14:paraId="41D758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90%</w:t>
                  </w:r>
                </w:p>
              </w:tc>
              <w:tc>
                <w:tcPr>
                  <w:tcW w:w="282" w:type="pct"/>
                  <w:noWrap w:val="0"/>
                  <w:vAlign w:val="center"/>
                </w:tcPr>
                <w:p w14:paraId="7C6BBF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90%</w:t>
                  </w:r>
                </w:p>
              </w:tc>
              <w:tc>
                <w:tcPr>
                  <w:tcW w:w="698" w:type="pct"/>
                  <w:vMerge w:val="continue"/>
                  <w:noWrap w:val="0"/>
                  <w:vAlign w:val="center"/>
                </w:tcPr>
                <w:p w14:paraId="048F19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p>
              </w:tc>
            </w:tr>
            <w:tr w14:paraId="3CEE2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07" w:type="pct"/>
                  <w:vMerge w:val="continue"/>
                  <w:noWrap w:val="0"/>
                  <w:vAlign w:val="center"/>
                </w:tcPr>
                <w:p w14:paraId="32A646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396" w:type="pct"/>
                  <w:vMerge w:val="continue"/>
                  <w:noWrap w:val="0"/>
                  <w:vAlign w:val="center"/>
                </w:tcPr>
                <w:p w14:paraId="1D219B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97" w:type="pct"/>
                  <w:vMerge w:val="continue"/>
                  <w:noWrap w:val="0"/>
                  <w:vAlign w:val="center"/>
                </w:tcPr>
                <w:p w14:paraId="00C9C4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67" w:type="pct"/>
                  <w:vMerge w:val="continue"/>
                  <w:noWrap w:val="0"/>
                  <w:vAlign w:val="center"/>
                </w:tcPr>
                <w:p w14:paraId="6CC2ED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45" w:type="pct"/>
                  <w:vMerge w:val="continue"/>
                  <w:noWrap w:val="0"/>
                  <w:vAlign w:val="center"/>
                </w:tcPr>
                <w:p w14:paraId="48D19D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425" w:type="pct"/>
                  <w:vMerge w:val="continue"/>
                  <w:noWrap w:val="0"/>
                  <w:vAlign w:val="center"/>
                </w:tcPr>
                <w:p w14:paraId="3BE299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442" w:type="pct"/>
                  <w:noWrap w:val="0"/>
                  <w:vAlign w:val="center"/>
                </w:tcPr>
                <w:p w14:paraId="5A9866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无组织</w:t>
                  </w:r>
                </w:p>
              </w:tc>
              <w:tc>
                <w:tcPr>
                  <w:tcW w:w="343" w:type="pct"/>
                  <w:noWrap w:val="0"/>
                  <w:vAlign w:val="center"/>
                </w:tcPr>
                <w:p w14:paraId="7F10A6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598" w:type="pct"/>
                  <w:noWrap w:val="0"/>
                  <w:vAlign w:val="center"/>
                </w:tcPr>
                <w:p w14:paraId="0EFC9A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挥发性有机物</w:t>
                  </w:r>
                </w:p>
              </w:tc>
              <w:tc>
                <w:tcPr>
                  <w:tcW w:w="295" w:type="pct"/>
                  <w:noWrap w:val="0"/>
                  <w:vAlign w:val="center"/>
                </w:tcPr>
                <w:p w14:paraId="37AE70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282" w:type="pct"/>
                  <w:noWrap w:val="0"/>
                  <w:vAlign w:val="center"/>
                </w:tcPr>
                <w:p w14:paraId="14C3C0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698" w:type="pct"/>
                  <w:vMerge w:val="continue"/>
                  <w:noWrap w:val="0"/>
                  <w:vAlign w:val="center"/>
                </w:tcPr>
                <w:p w14:paraId="622FE8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p>
              </w:tc>
            </w:tr>
            <w:tr w14:paraId="11DF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307" w:type="pct"/>
                  <w:vMerge w:val="restart"/>
                  <w:noWrap w:val="0"/>
                  <w:vAlign w:val="center"/>
                </w:tcPr>
                <w:p w14:paraId="4018CC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抛丸、打磨</w:t>
                  </w:r>
                </w:p>
              </w:tc>
              <w:tc>
                <w:tcPr>
                  <w:tcW w:w="396" w:type="pct"/>
                  <w:noWrap w:val="0"/>
                  <w:vAlign w:val="center"/>
                </w:tcPr>
                <w:p w14:paraId="10F87B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现有</w:t>
                  </w:r>
                </w:p>
              </w:tc>
              <w:tc>
                <w:tcPr>
                  <w:tcW w:w="397" w:type="pct"/>
                  <w:vMerge w:val="restart"/>
                  <w:noWrap w:val="0"/>
                  <w:vAlign w:val="center"/>
                </w:tcPr>
                <w:p w14:paraId="56C016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367" w:type="pct"/>
                  <w:vMerge w:val="restart"/>
                  <w:noWrap w:val="0"/>
                  <w:vAlign w:val="center"/>
                </w:tcPr>
                <w:p w14:paraId="7A8B39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1</w:t>
                  </w:r>
                  <w:r>
                    <w:rPr>
                      <w:rFonts w:hint="eastAsia" w:ascii="Times New Roman" w:hAnsi="Times New Roman" w:eastAsia="宋体" w:cs="Times New Roman"/>
                      <w:color w:val="auto"/>
                      <w:kern w:val="2"/>
                      <w:sz w:val="21"/>
                      <w:szCs w:val="21"/>
                      <w:highlight w:val="none"/>
                      <w:lang w:val="en-US" w:eastAsia="zh-CN" w:bidi="ar-SA"/>
                    </w:rPr>
                    <w:t>000</w:t>
                  </w:r>
                </w:p>
              </w:tc>
              <w:tc>
                <w:tcPr>
                  <w:tcW w:w="445" w:type="pct"/>
                  <w:vMerge w:val="restart"/>
                  <w:noWrap w:val="0"/>
                  <w:vAlign w:val="center"/>
                </w:tcPr>
                <w:p w14:paraId="40858B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自带布袋除尘器/布袋除尘器</w:t>
                  </w:r>
                </w:p>
              </w:tc>
              <w:tc>
                <w:tcPr>
                  <w:tcW w:w="425" w:type="pct"/>
                  <w:noWrap w:val="0"/>
                  <w:vAlign w:val="center"/>
                </w:tcPr>
                <w:p w14:paraId="790474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TA003-2、TA003-3</w:t>
                  </w:r>
                </w:p>
              </w:tc>
              <w:tc>
                <w:tcPr>
                  <w:tcW w:w="442" w:type="pct"/>
                  <w:noWrap w:val="0"/>
                  <w:vAlign w:val="center"/>
                </w:tcPr>
                <w:p w14:paraId="7CEDCD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有组织</w:t>
                  </w:r>
                </w:p>
              </w:tc>
              <w:tc>
                <w:tcPr>
                  <w:tcW w:w="343" w:type="pct"/>
                  <w:noWrap w:val="0"/>
                  <w:vAlign w:val="center"/>
                </w:tcPr>
                <w:p w14:paraId="523023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DA003</w:t>
                  </w:r>
                </w:p>
              </w:tc>
              <w:tc>
                <w:tcPr>
                  <w:tcW w:w="598" w:type="pct"/>
                  <w:noWrap w:val="0"/>
                  <w:vAlign w:val="center"/>
                </w:tcPr>
                <w:p w14:paraId="7B2B7B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95" w:type="pct"/>
                  <w:noWrap w:val="0"/>
                  <w:vAlign w:val="center"/>
                </w:tcPr>
                <w:p w14:paraId="715FEF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95%</w:t>
                  </w:r>
                </w:p>
              </w:tc>
              <w:tc>
                <w:tcPr>
                  <w:tcW w:w="282" w:type="pct"/>
                  <w:noWrap w:val="0"/>
                  <w:vAlign w:val="center"/>
                </w:tcPr>
                <w:p w14:paraId="52557E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w:t>
                  </w:r>
                </w:p>
              </w:tc>
              <w:tc>
                <w:tcPr>
                  <w:tcW w:w="698" w:type="pct"/>
                  <w:vMerge w:val="restart"/>
                  <w:noWrap w:val="0"/>
                  <w:vAlign w:val="center"/>
                </w:tcPr>
                <w:p w14:paraId="1A7C29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本次技改项目依托现有装置；</w:t>
                  </w:r>
                  <w:r>
                    <w:rPr>
                      <w:rFonts w:hint="eastAsia" w:cs="Times New Roman"/>
                      <w:color w:val="auto"/>
                      <w:kern w:val="2"/>
                      <w:sz w:val="21"/>
                      <w:szCs w:val="21"/>
                      <w:highlight w:val="none"/>
                      <w:lang w:val="en-US" w:eastAsia="zh-CN" w:bidi="ar-SA"/>
                    </w:rPr>
                    <w:t>抛丸增加两根排气筒单独集气排放，</w:t>
                  </w:r>
                  <w:r>
                    <w:rPr>
                      <w:rFonts w:hint="eastAsia" w:ascii="Times New Roman" w:hAnsi="Times New Roman" w:eastAsia="宋体" w:cs="Times New Roman"/>
                      <w:color w:val="auto"/>
                      <w:kern w:val="2"/>
                      <w:sz w:val="21"/>
                      <w:szCs w:val="21"/>
                      <w:highlight w:val="none"/>
                      <w:lang w:val="en-US" w:eastAsia="zh-CN" w:bidi="ar-SA"/>
                    </w:rPr>
                    <w:t>颗粒物去除率提升至99.5%</w:t>
                  </w:r>
                </w:p>
              </w:tc>
            </w:tr>
            <w:tr w14:paraId="420E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307" w:type="pct"/>
                  <w:vMerge w:val="continue"/>
                  <w:noWrap w:val="0"/>
                  <w:vAlign w:val="center"/>
                </w:tcPr>
                <w:p w14:paraId="670250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396" w:type="pct"/>
                  <w:noWrap w:val="0"/>
                  <w:vAlign w:val="center"/>
                </w:tcPr>
                <w:p w14:paraId="0E4A0B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ascii="Times New Roman" w:hAnsi="Times New Roman" w:eastAsia="宋体" w:cs="Times New Roman"/>
                      <w:color w:val="auto"/>
                      <w:kern w:val="2"/>
                      <w:sz w:val="21"/>
                      <w:szCs w:val="21"/>
                      <w:highlight w:val="none"/>
                      <w:lang w:val="en-US" w:eastAsia="zh-CN" w:bidi="ar-SA"/>
                    </w:rPr>
                    <w:t>本次技改</w:t>
                  </w:r>
                </w:p>
              </w:tc>
              <w:tc>
                <w:tcPr>
                  <w:tcW w:w="397" w:type="pct"/>
                  <w:vMerge w:val="continue"/>
                  <w:noWrap w:val="0"/>
                  <w:vAlign w:val="center"/>
                </w:tcPr>
                <w:p w14:paraId="6FF5CA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FF0000"/>
                    </w:rPr>
                  </w:pPr>
                </w:p>
              </w:tc>
              <w:tc>
                <w:tcPr>
                  <w:tcW w:w="367" w:type="pct"/>
                  <w:vMerge w:val="continue"/>
                  <w:noWrap w:val="0"/>
                  <w:vAlign w:val="center"/>
                </w:tcPr>
                <w:p w14:paraId="46E3A9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FF0000"/>
                    </w:rPr>
                  </w:pPr>
                </w:p>
              </w:tc>
              <w:tc>
                <w:tcPr>
                  <w:tcW w:w="445" w:type="pct"/>
                  <w:vMerge w:val="continue"/>
                  <w:noWrap w:val="0"/>
                  <w:vAlign w:val="center"/>
                </w:tcPr>
                <w:p w14:paraId="7A6B83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425" w:type="pct"/>
                  <w:noWrap w:val="0"/>
                  <w:vAlign w:val="center"/>
                </w:tcPr>
                <w:p w14:paraId="332DE1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color w:val="auto"/>
                      <w:lang w:val="en-US" w:eastAsia="zh-CN"/>
                    </w:rPr>
                    <w:t>TA003、TA005、TA006</w:t>
                  </w:r>
                </w:p>
              </w:tc>
              <w:tc>
                <w:tcPr>
                  <w:tcW w:w="442" w:type="pct"/>
                  <w:noWrap w:val="0"/>
                  <w:vAlign w:val="center"/>
                </w:tcPr>
                <w:p w14:paraId="159AA9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color w:val="auto"/>
                      <w:lang w:val="en-US" w:eastAsia="zh-CN"/>
                    </w:rPr>
                    <w:t>有组织</w:t>
                  </w:r>
                </w:p>
              </w:tc>
              <w:tc>
                <w:tcPr>
                  <w:tcW w:w="343" w:type="pct"/>
                  <w:noWrap w:val="0"/>
                  <w:vAlign w:val="center"/>
                </w:tcPr>
                <w:p w14:paraId="14F09E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lang w:val="en-US" w:eastAsia="zh-CN"/>
                    </w:rPr>
                  </w:pPr>
                  <w:r>
                    <w:rPr>
                      <w:rFonts w:hint="eastAsia"/>
                      <w:color w:val="auto"/>
                      <w:lang w:val="en-US" w:eastAsia="zh-CN"/>
                    </w:rPr>
                    <w:t>DA003DA005DA006</w:t>
                  </w:r>
                </w:p>
              </w:tc>
              <w:tc>
                <w:tcPr>
                  <w:tcW w:w="598" w:type="pct"/>
                  <w:noWrap w:val="0"/>
                  <w:vAlign w:val="center"/>
                </w:tcPr>
                <w:p w14:paraId="04555F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r>
                    <w:rPr>
                      <w:rFonts w:hint="eastAsia"/>
                      <w:color w:val="auto"/>
                      <w:lang w:val="en-US" w:eastAsia="zh-CN"/>
                    </w:rPr>
                    <w:t>颗粒物</w:t>
                  </w:r>
                </w:p>
              </w:tc>
              <w:tc>
                <w:tcPr>
                  <w:tcW w:w="295" w:type="pct"/>
                  <w:noWrap w:val="0"/>
                  <w:vAlign w:val="center"/>
                </w:tcPr>
                <w:p w14:paraId="46E607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95%</w:t>
                  </w:r>
                </w:p>
              </w:tc>
              <w:tc>
                <w:tcPr>
                  <w:tcW w:w="282" w:type="pct"/>
                  <w:noWrap w:val="0"/>
                  <w:vAlign w:val="center"/>
                </w:tcPr>
                <w:p w14:paraId="001BFA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99.5%</w:t>
                  </w:r>
                </w:p>
              </w:tc>
              <w:tc>
                <w:tcPr>
                  <w:tcW w:w="698" w:type="pct"/>
                  <w:vMerge w:val="continue"/>
                  <w:noWrap w:val="0"/>
                  <w:vAlign w:val="center"/>
                </w:tcPr>
                <w:p w14:paraId="24B3A7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z w:val="21"/>
                      <w:szCs w:val="21"/>
                      <w:highlight w:val="none"/>
                      <w:lang w:val="en-US" w:eastAsia="zh-CN"/>
                    </w:rPr>
                  </w:pPr>
                </w:p>
              </w:tc>
            </w:tr>
          </w:tbl>
          <w:p w14:paraId="2745C6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经核算，本项目建成后全厂有组织废气产生排放情况见下表。</w:t>
            </w:r>
          </w:p>
          <w:p w14:paraId="61EF6B9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kern w:val="2"/>
                <w:sz w:val="22"/>
                <w:szCs w:val="22"/>
                <w:lang w:val="en-US" w:eastAsia="zh-CN"/>
              </w:rPr>
              <w:t>表4-4  全厂有组织废气产生排放情况一览表</w:t>
            </w:r>
          </w:p>
          <w:tbl>
            <w:tblPr>
              <w:tblStyle w:val="36"/>
              <w:tblW w:w="135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1"/>
              <w:gridCol w:w="718"/>
              <w:gridCol w:w="629"/>
              <w:gridCol w:w="770"/>
              <w:gridCol w:w="769"/>
              <w:gridCol w:w="416"/>
              <w:gridCol w:w="817"/>
              <w:gridCol w:w="1069"/>
              <w:gridCol w:w="617"/>
              <w:gridCol w:w="682"/>
              <w:gridCol w:w="700"/>
              <w:gridCol w:w="629"/>
              <w:gridCol w:w="873"/>
              <w:gridCol w:w="613"/>
              <w:gridCol w:w="664"/>
              <w:gridCol w:w="716"/>
              <w:gridCol w:w="805"/>
              <w:gridCol w:w="629"/>
              <w:gridCol w:w="806"/>
            </w:tblGrid>
            <w:tr w14:paraId="0F5E4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631" w:type="dxa"/>
                  <w:vMerge w:val="restart"/>
                  <w:tcBorders>
                    <w:top w:val="single" w:color="000000" w:sz="4" w:space="0"/>
                    <w:left w:val="single" w:color="000000" w:sz="4" w:space="0"/>
                    <w:bottom w:val="single" w:color="000000" w:sz="4" w:space="0"/>
                    <w:right w:val="single" w:color="000000" w:sz="4" w:space="0"/>
                  </w:tcBorders>
                  <w:noWrap w:val="0"/>
                  <w:vAlign w:val="center"/>
                </w:tcPr>
                <w:p w14:paraId="4246234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产污环节</w:t>
                  </w:r>
                </w:p>
              </w:tc>
              <w:tc>
                <w:tcPr>
                  <w:tcW w:w="718" w:type="dxa"/>
                  <w:vMerge w:val="restart"/>
                  <w:tcBorders>
                    <w:top w:val="single" w:color="000000" w:sz="4" w:space="0"/>
                    <w:left w:val="single" w:color="000000" w:sz="4" w:space="0"/>
                    <w:bottom w:val="single" w:color="000000" w:sz="4" w:space="0"/>
                    <w:right w:val="single" w:color="000000" w:sz="4" w:space="0"/>
                  </w:tcBorders>
                  <w:noWrap w:val="0"/>
                  <w:vAlign w:val="center"/>
                </w:tcPr>
                <w:p w14:paraId="44D1183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污染物种类</w:t>
                  </w:r>
                </w:p>
              </w:tc>
              <w:tc>
                <w:tcPr>
                  <w:tcW w:w="2168" w:type="dxa"/>
                  <w:gridSpan w:val="3"/>
                  <w:tcBorders>
                    <w:top w:val="single" w:color="000000" w:sz="4" w:space="0"/>
                    <w:left w:val="single" w:color="000000" w:sz="4" w:space="0"/>
                    <w:bottom w:val="single" w:color="000000" w:sz="4" w:space="0"/>
                    <w:right w:val="single" w:color="000000" w:sz="4" w:space="0"/>
                  </w:tcBorders>
                  <w:noWrap w:val="0"/>
                  <w:vAlign w:val="center"/>
                </w:tcPr>
                <w:p w14:paraId="5EA7853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污染物产生情况</w:t>
                  </w:r>
                </w:p>
              </w:tc>
              <w:tc>
                <w:tcPr>
                  <w:tcW w:w="416" w:type="dxa"/>
                  <w:vMerge w:val="restart"/>
                  <w:tcBorders>
                    <w:top w:val="single" w:color="000000" w:sz="4" w:space="0"/>
                    <w:left w:val="single" w:color="000000" w:sz="4" w:space="0"/>
                    <w:bottom w:val="single" w:color="000000" w:sz="4" w:space="0"/>
                    <w:right w:val="single" w:color="000000" w:sz="4" w:space="0"/>
                  </w:tcBorders>
                  <w:noWrap w:val="0"/>
                  <w:vAlign w:val="center"/>
                </w:tcPr>
                <w:p w14:paraId="38AFD98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排放形式</w:t>
                  </w:r>
                </w:p>
              </w:tc>
              <w:tc>
                <w:tcPr>
                  <w:tcW w:w="5387" w:type="dxa"/>
                  <w:gridSpan w:val="7"/>
                  <w:tcBorders>
                    <w:top w:val="single" w:color="000000" w:sz="4" w:space="0"/>
                    <w:left w:val="single" w:color="000000" w:sz="4" w:space="0"/>
                    <w:bottom w:val="single" w:color="000000" w:sz="4" w:space="0"/>
                    <w:right w:val="single" w:color="000000" w:sz="4" w:space="0"/>
                  </w:tcBorders>
                  <w:noWrap w:val="0"/>
                  <w:vAlign w:val="center"/>
                </w:tcPr>
                <w:p w14:paraId="325598E2">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主要污染治理设施</w:t>
                  </w:r>
                </w:p>
              </w:tc>
              <w:tc>
                <w:tcPr>
                  <w:tcW w:w="2798" w:type="dxa"/>
                  <w:gridSpan w:val="4"/>
                  <w:tcBorders>
                    <w:top w:val="single" w:color="000000" w:sz="4" w:space="0"/>
                    <w:left w:val="single" w:color="000000" w:sz="4" w:space="0"/>
                    <w:bottom w:val="single" w:color="000000" w:sz="4" w:space="0"/>
                    <w:right w:val="single" w:color="000000" w:sz="4" w:space="0"/>
                  </w:tcBorders>
                  <w:noWrap w:val="0"/>
                  <w:vAlign w:val="center"/>
                </w:tcPr>
                <w:p w14:paraId="7B87F81A">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污染物排放情况</w:t>
                  </w:r>
                </w:p>
              </w:tc>
              <w:tc>
                <w:tcPr>
                  <w:tcW w:w="629" w:type="dxa"/>
                  <w:vMerge w:val="restart"/>
                  <w:tcBorders>
                    <w:top w:val="single" w:color="000000" w:sz="4" w:space="0"/>
                    <w:left w:val="single" w:color="000000" w:sz="4" w:space="0"/>
                    <w:bottom w:val="single" w:color="000000" w:sz="4" w:space="0"/>
                    <w:right w:val="single" w:color="000000" w:sz="4" w:space="0"/>
                  </w:tcBorders>
                  <w:noWrap w:val="0"/>
                  <w:vAlign w:val="center"/>
                </w:tcPr>
                <w:p w14:paraId="3B73248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排污口编号</w:t>
                  </w:r>
                </w:p>
              </w:tc>
              <w:tc>
                <w:tcPr>
                  <w:tcW w:w="806" w:type="dxa"/>
                  <w:vMerge w:val="restart"/>
                  <w:tcBorders>
                    <w:top w:val="single" w:color="000000" w:sz="4" w:space="0"/>
                    <w:left w:val="single" w:color="000000" w:sz="4" w:space="0"/>
                    <w:bottom w:val="single" w:color="000000" w:sz="4" w:space="0"/>
                    <w:right w:val="single" w:color="000000" w:sz="4" w:space="0"/>
                  </w:tcBorders>
                  <w:noWrap w:val="0"/>
                  <w:vAlign w:val="center"/>
                </w:tcPr>
                <w:p w14:paraId="40468E38">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排放标准</w:t>
                  </w:r>
                  <w:r>
                    <w:rPr>
                      <w:rStyle w:val="130"/>
                      <w:rFonts w:eastAsia="宋体"/>
                      <w:color w:val="auto"/>
                      <w:sz w:val="18"/>
                      <w:szCs w:val="18"/>
                      <w:lang w:val="en-US" w:eastAsia="zh-CN" w:bidi="ar"/>
                    </w:rPr>
                    <w:t>mg/m</w:t>
                  </w:r>
                  <w:r>
                    <w:rPr>
                      <w:rStyle w:val="131"/>
                      <w:rFonts w:ascii="宋体" w:hAnsi="宋体" w:eastAsia="宋体" w:cs="宋体"/>
                      <w:color w:val="auto"/>
                      <w:sz w:val="18"/>
                      <w:szCs w:val="18"/>
                      <w:lang w:val="en-US" w:eastAsia="zh-CN" w:bidi="ar"/>
                    </w:rPr>
                    <w:t>3</w:t>
                  </w:r>
                </w:p>
              </w:tc>
            </w:tr>
            <w:tr w14:paraId="1ED85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9746C2">
                  <w:pPr>
                    <w:jc w:val="center"/>
                    <w:rPr>
                      <w:rFonts w:hint="eastAsia" w:ascii="宋体" w:hAnsi="宋体" w:eastAsia="宋体" w:cs="宋体"/>
                      <w:b/>
                      <w:bCs/>
                      <w:i w:val="0"/>
                      <w:iCs w:val="0"/>
                      <w:color w:val="FF0000"/>
                      <w:sz w:val="18"/>
                      <w:szCs w:val="18"/>
                      <w:u w:val="none"/>
                    </w:rPr>
                  </w:pPr>
                </w:p>
              </w:tc>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C11D4F">
                  <w:pPr>
                    <w:jc w:val="center"/>
                    <w:rPr>
                      <w:rFonts w:hint="eastAsia" w:ascii="宋体" w:hAnsi="宋体" w:eastAsia="宋体" w:cs="宋体"/>
                      <w:b/>
                      <w:bCs/>
                      <w:i w:val="0"/>
                      <w:iCs w:val="0"/>
                      <w:color w:val="FF0000"/>
                      <w:sz w:val="18"/>
                      <w:szCs w:val="18"/>
                      <w:u w:val="none"/>
                    </w:rPr>
                  </w:pPr>
                </w:p>
              </w:tc>
              <w:tc>
                <w:tcPr>
                  <w:tcW w:w="629" w:type="dxa"/>
                  <w:vMerge w:val="restart"/>
                  <w:tcBorders>
                    <w:top w:val="single" w:color="000000" w:sz="4" w:space="0"/>
                    <w:left w:val="single" w:color="000000" w:sz="4" w:space="0"/>
                    <w:bottom w:val="single" w:color="000000" w:sz="4" w:space="0"/>
                    <w:right w:val="single" w:color="000000" w:sz="4" w:space="0"/>
                  </w:tcBorders>
                  <w:noWrap w:val="0"/>
                  <w:vAlign w:val="center"/>
                </w:tcPr>
                <w:p w14:paraId="45A97D36">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产生量</w:t>
                  </w:r>
                  <w:r>
                    <w:rPr>
                      <w:rStyle w:val="130"/>
                      <w:rFonts w:eastAsia="宋体"/>
                      <w:color w:val="auto"/>
                      <w:sz w:val="18"/>
                      <w:szCs w:val="18"/>
                      <w:lang w:val="en-US" w:eastAsia="zh-CN" w:bidi="ar"/>
                    </w:rPr>
                    <w:t>t/a</w:t>
                  </w:r>
                </w:p>
              </w:tc>
              <w:tc>
                <w:tcPr>
                  <w:tcW w:w="770" w:type="dxa"/>
                  <w:vMerge w:val="restart"/>
                  <w:tcBorders>
                    <w:top w:val="single" w:color="000000" w:sz="4" w:space="0"/>
                    <w:left w:val="single" w:color="000000" w:sz="4" w:space="0"/>
                    <w:bottom w:val="single" w:color="000000" w:sz="4" w:space="0"/>
                    <w:right w:val="single" w:color="000000" w:sz="4" w:space="0"/>
                  </w:tcBorders>
                  <w:noWrap w:val="0"/>
                  <w:vAlign w:val="center"/>
                </w:tcPr>
                <w:p w14:paraId="2A0C495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产生速率</w:t>
                  </w:r>
                  <w:r>
                    <w:rPr>
                      <w:rStyle w:val="130"/>
                      <w:rFonts w:eastAsia="宋体"/>
                      <w:color w:val="auto"/>
                      <w:sz w:val="18"/>
                      <w:szCs w:val="18"/>
                      <w:lang w:val="en-US" w:eastAsia="zh-CN" w:bidi="ar"/>
                    </w:rPr>
                    <w:t>kg/h</w:t>
                  </w:r>
                </w:p>
              </w:tc>
              <w:tc>
                <w:tcPr>
                  <w:tcW w:w="769" w:type="dxa"/>
                  <w:vMerge w:val="restart"/>
                  <w:tcBorders>
                    <w:top w:val="single" w:color="000000" w:sz="4" w:space="0"/>
                    <w:left w:val="single" w:color="000000" w:sz="4" w:space="0"/>
                    <w:bottom w:val="single" w:color="000000" w:sz="4" w:space="0"/>
                    <w:right w:val="single" w:color="000000" w:sz="4" w:space="0"/>
                  </w:tcBorders>
                  <w:noWrap w:val="0"/>
                  <w:vAlign w:val="center"/>
                </w:tcPr>
                <w:p w14:paraId="7EC4DBAA">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产生浓度</w:t>
                  </w:r>
                  <w:r>
                    <w:rPr>
                      <w:rStyle w:val="130"/>
                      <w:rFonts w:eastAsia="宋体"/>
                      <w:color w:val="auto"/>
                      <w:sz w:val="18"/>
                      <w:szCs w:val="18"/>
                      <w:lang w:val="en-US" w:eastAsia="zh-CN" w:bidi="ar"/>
                    </w:rPr>
                    <w:t>mg/m</w:t>
                  </w:r>
                  <w:r>
                    <w:rPr>
                      <w:rStyle w:val="131"/>
                      <w:rFonts w:ascii="宋体" w:hAnsi="宋体" w:eastAsia="宋体" w:cs="宋体"/>
                      <w:color w:val="auto"/>
                      <w:sz w:val="18"/>
                      <w:szCs w:val="18"/>
                      <w:lang w:val="en-US" w:eastAsia="zh-CN" w:bidi="ar"/>
                    </w:rPr>
                    <w:t>3</w:t>
                  </w:r>
                </w:p>
              </w:tc>
              <w:tc>
                <w:tcPr>
                  <w:tcW w:w="4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F68039">
                  <w:pPr>
                    <w:jc w:val="center"/>
                    <w:rPr>
                      <w:rFonts w:hint="eastAsia" w:ascii="宋体" w:hAnsi="宋体" w:eastAsia="宋体" w:cs="宋体"/>
                      <w:b/>
                      <w:bCs/>
                      <w:i w:val="0"/>
                      <w:iCs w:val="0"/>
                      <w:color w:val="auto"/>
                      <w:sz w:val="18"/>
                      <w:szCs w:val="18"/>
                      <w:u w:val="none"/>
                    </w:rPr>
                  </w:pPr>
                </w:p>
              </w:tc>
              <w:tc>
                <w:tcPr>
                  <w:tcW w:w="817" w:type="dxa"/>
                  <w:vMerge w:val="restart"/>
                  <w:tcBorders>
                    <w:top w:val="single" w:color="000000" w:sz="4" w:space="0"/>
                    <w:left w:val="single" w:color="000000" w:sz="4" w:space="0"/>
                    <w:bottom w:val="single" w:color="000000" w:sz="4" w:space="0"/>
                    <w:right w:val="single" w:color="000000" w:sz="4" w:space="0"/>
                  </w:tcBorders>
                  <w:noWrap w:val="0"/>
                  <w:vAlign w:val="center"/>
                </w:tcPr>
                <w:p w14:paraId="438CD28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收集措施</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68BEB83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治理措施</w:t>
                  </w:r>
                </w:p>
              </w:tc>
              <w:tc>
                <w:tcPr>
                  <w:tcW w:w="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430F44E1">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编号</w:t>
                  </w:r>
                </w:p>
              </w:tc>
              <w:tc>
                <w:tcPr>
                  <w:tcW w:w="682" w:type="dxa"/>
                  <w:vMerge w:val="restart"/>
                  <w:tcBorders>
                    <w:top w:val="single" w:color="000000" w:sz="4" w:space="0"/>
                    <w:left w:val="single" w:color="000000" w:sz="4" w:space="0"/>
                    <w:bottom w:val="single" w:color="000000" w:sz="4" w:space="0"/>
                    <w:right w:val="single" w:color="000000" w:sz="4" w:space="0"/>
                  </w:tcBorders>
                  <w:noWrap w:val="0"/>
                  <w:vAlign w:val="center"/>
                </w:tcPr>
                <w:p w14:paraId="2BEAA19F">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风量</w:t>
                  </w:r>
                  <w:r>
                    <w:rPr>
                      <w:rStyle w:val="130"/>
                      <w:rFonts w:eastAsia="宋体"/>
                      <w:color w:val="auto"/>
                      <w:sz w:val="18"/>
                      <w:szCs w:val="18"/>
                      <w:lang w:val="en-US" w:eastAsia="zh-CN" w:bidi="ar"/>
                    </w:rPr>
                    <w:t>m</w:t>
                  </w:r>
                  <w:r>
                    <w:rPr>
                      <w:rStyle w:val="131"/>
                      <w:rFonts w:ascii="宋体" w:hAnsi="宋体" w:eastAsia="宋体" w:cs="宋体"/>
                      <w:color w:val="auto"/>
                      <w:sz w:val="18"/>
                      <w:szCs w:val="18"/>
                      <w:lang w:val="en-US" w:eastAsia="zh-CN" w:bidi="ar"/>
                    </w:rPr>
                    <w:t>3</w:t>
                  </w:r>
                  <w:r>
                    <w:rPr>
                      <w:rStyle w:val="130"/>
                      <w:rFonts w:eastAsia="宋体"/>
                      <w:color w:val="auto"/>
                      <w:sz w:val="18"/>
                      <w:szCs w:val="18"/>
                      <w:lang w:val="en-US" w:eastAsia="zh-CN" w:bidi="ar"/>
                    </w:rPr>
                    <w:t>/h</w:t>
                  </w:r>
                </w:p>
              </w:tc>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77AE0D32">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收集效率</w:t>
                  </w:r>
                  <w:r>
                    <w:rPr>
                      <w:rStyle w:val="130"/>
                      <w:rFonts w:eastAsia="宋体"/>
                      <w:color w:val="auto"/>
                      <w:sz w:val="18"/>
                      <w:szCs w:val="18"/>
                      <w:lang w:val="en-US" w:eastAsia="zh-CN" w:bidi="ar"/>
                    </w:rPr>
                    <w:t>%</w:t>
                  </w:r>
                </w:p>
              </w:tc>
              <w:tc>
                <w:tcPr>
                  <w:tcW w:w="629" w:type="dxa"/>
                  <w:vMerge w:val="restart"/>
                  <w:tcBorders>
                    <w:top w:val="single" w:color="000000" w:sz="4" w:space="0"/>
                    <w:left w:val="single" w:color="000000" w:sz="4" w:space="0"/>
                    <w:bottom w:val="single" w:color="000000" w:sz="4" w:space="0"/>
                    <w:right w:val="single" w:color="000000" w:sz="4" w:space="0"/>
                  </w:tcBorders>
                  <w:noWrap w:val="0"/>
                  <w:vAlign w:val="center"/>
                </w:tcPr>
                <w:p w14:paraId="5B2AC173">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去除效率</w:t>
                  </w:r>
                  <w:r>
                    <w:rPr>
                      <w:rStyle w:val="130"/>
                      <w:rFonts w:eastAsia="宋体"/>
                      <w:color w:val="auto"/>
                      <w:sz w:val="18"/>
                      <w:szCs w:val="18"/>
                      <w:lang w:val="en-US" w:eastAsia="zh-CN" w:bidi="ar"/>
                    </w:rPr>
                    <w:t>%</w:t>
                  </w:r>
                </w:p>
              </w:tc>
              <w:tc>
                <w:tcPr>
                  <w:tcW w:w="873" w:type="dxa"/>
                  <w:vMerge w:val="restart"/>
                  <w:tcBorders>
                    <w:top w:val="single" w:color="000000" w:sz="4" w:space="0"/>
                    <w:left w:val="single" w:color="000000" w:sz="4" w:space="0"/>
                    <w:bottom w:val="single" w:color="000000" w:sz="4" w:space="0"/>
                    <w:right w:val="single" w:color="000000" w:sz="4" w:space="0"/>
                  </w:tcBorders>
                  <w:noWrap w:val="0"/>
                  <w:vAlign w:val="center"/>
                </w:tcPr>
                <w:p w14:paraId="0EA81E1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是否为可行技术</w:t>
                  </w:r>
                </w:p>
              </w:tc>
              <w:tc>
                <w:tcPr>
                  <w:tcW w:w="613" w:type="dxa"/>
                  <w:vMerge w:val="restart"/>
                  <w:tcBorders>
                    <w:top w:val="single" w:color="000000" w:sz="4" w:space="0"/>
                    <w:left w:val="single" w:color="000000" w:sz="4" w:space="0"/>
                    <w:bottom w:val="single" w:color="000000" w:sz="4" w:space="0"/>
                    <w:right w:val="single" w:color="000000" w:sz="4" w:space="0"/>
                  </w:tcBorders>
                  <w:noWrap w:val="0"/>
                  <w:vAlign w:val="center"/>
                </w:tcPr>
                <w:p w14:paraId="7F16562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工作时间</w:t>
                  </w:r>
                  <w:r>
                    <w:rPr>
                      <w:rStyle w:val="130"/>
                      <w:rFonts w:eastAsia="宋体"/>
                      <w:color w:val="auto"/>
                      <w:sz w:val="18"/>
                      <w:szCs w:val="18"/>
                      <w:lang w:val="en-US" w:eastAsia="zh-CN" w:bidi="ar"/>
                    </w:rPr>
                    <w:t>h/a</w:t>
                  </w:r>
                </w:p>
              </w:tc>
              <w:tc>
                <w:tcPr>
                  <w:tcW w:w="664" w:type="dxa"/>
                  <w:vMerge w:val="restart"/>
                  <w:tcBorders>
                    <w:top w:val="single" w:color="000000" w:sz="4" w:space="0"/>
                    <w:left w:val="single" w:color="000000" w:sz="4" w:space="0"/>
                    <w:bottom w:val="single" w:color="000000" w:sz="4" w:space="0"/>
                    <w:right w:val="single" w:color="000000" w:sz="4" w:space="0"/>
                  </w:tcBorders>
                  <w:noWrap w:val="0"/>
                  <w:vAlign w:val="center"/>
                </w:tcPr>
                <w:p w14:paraId="0FC9BC11">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排放量</w:t>
                  </w:r>
                  <w:r>
                    <w:rPr>
                      <w:rStyle w:val="130"/>
                      <w:rFonts w:eastAsia="宋体"/>
                      <w:color w:val="auto"/>
                      <w:sz w:val="18"/>
                      <w:szCs w:val="18"/>
                      <w:lang w:val="en-US" w:eastAsia="zh-CN" w:bidi="ar"/>
                    </w:rPr>
                    <w:t>t/a</w:t>
                  </w:r>
                </w:p>
              </w:tc>
              <w:tc>
                <w:tcPr>
                  <w:tcW w:w="716" w:type="dxa"/>
                  <w:vMerge w:val="restart"/>
                  <w:tcBorders>
                    <w:top w:val="single" w:color="000000" w:sz="4" w:space="0"/>
                    <w:left w:val="single" w:color="000000" w:sz="4" w:space="0"/>
                    <w:bottom w:val="single" w:color="000000" w:sz="4" w:space="0"/>
                    <w:right w:val="single" w:color="000000" w:sz="4" w:space="0"/>
                  </w:tcBorders>
                  <w:noWrap w:val="0"/>
                  <w:vAlign w:val="center"/>
                </w:tcPr>
                <w:p w14:paraId="01BBF6DA">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排放速率</w:t>
                  </w:r>
                  <w:r>
                    <w:rPr>
                      <w:rStyle w:val="130"/>
                      <w:rFonts w:eastAsia="宋体"/>
                      <w:color w:val="auto"/>
                      <w:sz w:val="18"/>
                      <w:szCs w:val="18"/>
                      <w:lang w:val="en-US" w:eastAsia="zh-CN" w:bidi="ar"/>
                    </w:rPr>
                    <w:t>kg/h</w:t>
                  </w:r>
                </w:p>
              </w:tc>
              <w:tc>
                <w:tcPr>
                  <w:tcW w:w="805" w:type="dxa"/>
                  <w:vMerge w:val="restart"/>
                  <w:tcBorders>
                    <w:top w:val="single" w:color="000000" w:sz="4" w:space="0"/>
                    <w:left w:val="single" w:color="000000" w:sz="4" w:space="0"/>
                    <w:bottom w:val="single" w:color="000000" w:sz="4" w:space="0"/>
                    <w:right w:val="single" w:color="000000" w:sz="4" w:space="0"/>
                  </w:tcBorders>
                  <w:noWrap w:val="0"/>
                  <w:vAlign w:val="center"/>
                </w:tcPr>
                <w:p w14:paraId="6F326772">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排放浓度</w:t>
                  </w:r>
                  <w:r>
                    <w:rPr>
                      <w:rStyle w:val="130"/>
                      <w:rFonts w:eastAsia="宋体"/>
                      <w:color w:val="auto"/>
                      <w:sz w:val="18"/>
                      <w:szCs w:val="18"/>
                      <w:lang w:val="en-US" w:eastAsia="zh-CN" w:bidi="ar"/>
                    </w:rPr>
                    <w:t>mg/m</w:t>
                  </w:r>
                  <w:r>
                    <w:rPr>
                      <w:rStyle w:val="131"/>
                      <w:rFonts w:ascii="宋体" w:hAnsi="宋体" w:eastAsia="宋体" w:cs="宋体"/>
                      <w:color w:val="auto"/>
                      <w:sz w:val="18"/>
                      <w:szCs w:val="18"/>
                      <w:lang w:val="en-US" w:eastAsia="zh-CN" w:bidi="ar"/>
                    </w:rPr>
                    <w:t>3</w:t>
                  </w:r>
                </w:p>
              </w:tc>
              <w:tc>
                <w:tcPr>
                  <w:tcW w:w="62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9DB472">
                  <w:pPr>
                    <w:jc w:val="center"/>
                    <w:rPr>
                      <w:rFonts w:hint="eastAsia" w:ascii="宋体" w:hAnsi="宋体" w:eastAsia="宋体" w:cs="宋体"/>
                      <w:b/>
                      <w:bCs/>
                      <w:i w:val="0"/>
                      <w:iCs w:val="0"/>
                      <w:color w:val="FF0000"/>
                      <w:sz w:val="18"/>
                      <w:szCs w:val="18"/>
                      <w:u w:val="none"/>
                    </w:rPr>
                  </w:pPr>
                </w:p>
              </w:tc>
              <w:tc>
                <w:tcPr>
                  <w:tcW w:w="8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CFDD96">
                  <w:pPr>
                    <w:jc w:val="center"/>
                    <w:rPr>
                      <w:rFonts w:hint="eastAsia" w:ascii="宋体" w:hAnsi="宋体" w:eastAsia="宋体" w:cs="宋体"/>
                      <w:b/>
                      <w:bCs/>
                      <w:i w:val="0"/>
                      <w:iCs w:val="0"/>
                      <w:color w:val="FF0000"/>
                      <w:sz w:val="18"/>
                      <w:szCs w:val="18"/>
                      <w:u w:val="none"/>
                    </w:rPr>
                  </w:pPr>
                </w:p>
              </w:tc>
            </w:tr>
            <w:tr w14:paraId="07C2A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D4CF83">
                  <w:pPr>
                    <w:jc w:val="center"/>
                    <w:rPr>
                      <w:rFonts w:hint="eastAsia" w:ascii="宋体" w:hAnsi="宋体" w:eastAsia="宋体" w:cs="宋体"/>
                      <w:b/>
                      <w:bCs/>
                      <w:i w:val="0"/>
                      <w:iCs w:val="0"/>
                      <w:color w:val="FF0000"/>
                      <w:sz w:val="18"/>
                      <w:szCs w:val="18"/>
                      <w:u w:val="none"/>
                    </w:rPr>
                  </w:pPr>
                </w:p>
              </w:tc>
              <w:tc>
                <w:tcPr>
                  <w:tcW w:w="7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C28037">
                  <w:pPr>
                    <w:jc w:val="center"/>
                    <w:rPr>
                      <w:rFonts w:hint="eastAsia" w:ascii="宋体" w:hAnsi="宋体" w:eastAsia="宋体" w:cs="宋体"/>
                      <w:b/>
                      <w:bCs/>
                      <w:i w:val="0"/>
                      <w:iCs w:val="0"/>
                      <w:color w:val="FF0000"/>
                      <w:sz w:val="18"/>
                      <w:szCs w:val="18"/>
                      <w:u w:val="none"/>
                    </w:rPr>
                  </w:pPr>
                </w:p>
              </w:tc>
              <w:tc>
                <w:tcPr>
                  <w:tcW w:w="62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AF9C8">
                  <w:pPr>
                    <w:jc w:val="center"/>
                    <w:rPr>
                      <w:rFonts w:hint="eastAsia" w:ascii="宋体" w:hAnsi="宋体" w:eastAsia="宋体" w:cs="宋体"/>
                      <w:b/>
                      <w:bCs/>
                      <w:i w:val="0"/>
                      <w:iCs w:val="0"/>
                      <w:color w:val="FF0000"/>
                      <w:sz w:val="18"/>
                      <w:szCs w:val="18"/>
                      <w:u w:val="none"/>
                    </w:rPr>
                  </w:pPr>
                </w:p>
              </w:tc>
              <w:tc>
                <w:tcPr>
                  <w:tcW w:w="7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8AD046">
                  <w:pPr>
                    <w:jc w:val="center"/>
                    <w:rPr>
                      <w:rFonts w:hint="eastAsia" w:ascii="宋体" w:hAnsi="宋体" w:eastAsia="宋体" w:cs="宋体"/>
                      <w:b/>
                      <w:bCs/>
                      <w:i w:val="0"/>
                      <w:iCs w:val="0"/>
                      <w:color w:val="FF0000"/>
                      <w:sz w:val="18"/>
                      <w:szCs w:val="18"/>
                      <w:u w:val="none"/>
                    </w:rPr>
                  </w:pPr>
                </w:p>
              </w:tc>
              <w:tc>
                <w:tcPr>
                  <w:tcW w:w="7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5DAB43">
                  <w:pPr>
                    <w:jc w:val="center"/>
                    <w:rPr>
                      <w:rFonts w:hint="eastAsia" w:ascii="宋体" w:hAnsi="宋体" w:eastAsia="宋体" w:cs="宋体"/>
                      <w:b/>
                      <w:bCs/>
                      <w:i w:val="0"/>
                      <w:iCs w:val="0"/>
                      <w:color w:val="FF0000"/>
                      <w:sz w:val="18"/>
                      <w:szCs w:val="18"/>
                      <w:u w:val="none"/>
                    </w:rPr>
                  </w:pPr>
                </w:p>
              </w:tc>
              <w:tc>
                <w:tcPr>
                  <w:tcW w:w="4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D0EC8E">
                  <w:pPr>
                    <w:jc w:val="center"/>
                    <w:rPr>
                      <w:rFonts w:hint="eastAsia" w:ascii="宋体" w:hAnsi="宋体" w:eastAsia="宋体" w:cs="宋体"/>
                      <w:b/>
                      <w:bCs/>
                      <w:i w:val="0"/>
                      <w:iCs w:val="0"/>
                      <w:color w:val="FF0000"/>
                      <w:sz w:val="18"/>
                      <w:szCs w:val="18"/>
                      <w:u w:val="none"/>
                    </w:rPr>
                  </w:pPr>
                </w:p>
              </w:tc>
              <w:tc>
                <w:tcPr>
                  <w:tcW w:w="8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CBDBEF">
                  <w:pPr>
                    <w:jc w:val="center"/>
                    <w:rPr>
                      <w:rFonts w:hint="eastAsia" w:ascii="宋体" w:hAnsi="宋体" w:eastAsia="宋体" w:cs="宋体"/>
                      <w:b/>
                      <w:bCs/>
                      <w:i w:val="0"/>
                      <w:iCs w:val="0"/>
                      <w:color w:val="FF0000"/>
                      <w:sz w:val="18"/>
                      <w:szCs w:val="18"/>
                      <w:u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52563D">
                  <w:pPr>
                    <w:jc w:val="center"/>
                    <w:rPr>
                      <w:rFonts w:hint="eastAsia" w:ascii="宋体" w:hAnsi="宋体" w:eastAsia="宋体" w:cs="宋体"/>
                      <w:b/>
                      <w:bCs/>
                      <w:i w:val="0"/>
                      <w:iCs w:val="0"/>
                      <w:color w:val="FF0000"/>
                      <w:sz w:val="18"/>
                      <w:szCs w:val="18"/>
                      <w:u w:val="none"/>
                    </w:rPr>
                  </w:pPr>
                </w:p>
              </w:tc>
              <w:tc>
                <w:tcPr>
                  <w:tcW w:w="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1B2056">
                  <w:pPr>
                    <w:jc w:val="center"/>
                    <w:rPr>
                      <w:rFonts w:hint="eastAsia" w:ascii="宋体" w:hAnsi="宋体" w:eastAsia="宋体" w:cs="宋体"/>
                      <w:b/>
                      <w:bCs/>
                      <w:i w:val="0"/>
                      <w:iCs w:val="0"/>
                      <w:color w:val="FF0000"/>
                      <w:sz w:val="18"/>
                      <w:szCs w:val="18"/>
                      <w:u w:val="none"/>
                    </w:rPr>
                  </w:pPr>
                </w:p>
              </w:tc>
              <w:tc>
                <w:tcPr>
                  <w:tcW w:w="6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C5E4D8">
                  <w:pPr>
                    <w:jc w:val="center"/>
                    <w:rPr>
                      <w:rFonts w:hint="eastAsia" w:ascii="宋体" w:hAnsi="宋体" w:eastAsia="宋体" w:cs="宋体"/>
                      <w:b/>
                      <w:bCs/>
                      <w:i w:val="0"/>
                      <w:iCs w:val="0"/>
                      <w:color w:val="FF0000"/>
                      <w:sz w:val="18"/>
                      <w:szCs w:val="18"/>
                      <w:u w:val="none"/>
                    </w:rPr>
                  </w:pPr>
                </w:p>
              </w:tc>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5AF532">
                  <w:pPr>
                    <w:jc w:val="center"/>
                    <w:rPr>
                      <w:rFonts w:hint="eastAsia" w:ascii="宋体" w:hAnsi="宋体" w:eastAsia="宋体" w:cs="宋体"/>
                      <w:b/>
                      <w:bCs/>
                      <w:i w:val="0"/>
                      <w:iCs w:val="0"/>
                      <w:color w:val="FF0000"/>
                      <w:sz w:val="18"/>
                      <w:szCs w:val="18"/>
                      <w:u w:val="none"/>
                    </w:rPr>
                  </w:pPr>
                </w:p>
              </w:tc>
              <w:tc>
                <w:tcPr>
                  <w:tcW w:w="62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573130">
                  <w:pPr>
                    <w:jc w:val="center"/>
                    <w:rPr>
                      <w:rFonts w:hint="eastAsia" w:ascii="宋体" w:hAnsi="宋体" w:eastAsia="宋体" w:cs="宋体"/>
                      <w:b/>
                      <w:bCs/>
                      <w:i w:val="0"/>
                      <w:iCs w:val="0"/>
                      <w:color w:val="FF0000"/>
                      <w:sz w:val="18"/>
                      <w:szCs w:val="18"/>
                      <w:u w:val="none"/>
                    </w:rPr>
                  </w:pPr>
                </w:p>
              </w:tc>
              <w:tc>
                <w:tcPr>
                  <w:tcW w:w="8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737FD">
                  <w:pPr>
                    <w:jc w:val="center"/>
                    <w:rPr>
                      <w:rFonts w:hint="eastAsia" w:ascii="宋体" w:hAnsi="宋体" w:eastAsia="宋体" w:cs="宋体"/>
                      <w:b/>
                      <w:bCs/>
                      <w:i w:val="0"/>
                      <w:iCs w:val="0"/>
                      <w:color w:val="FF0000"/>
                      <w:sz w:val="18"/>
                      <w:szCs w:val="18"/>
                      <w:u w:val="none"/>
                    </w:rPr>
                  </w:pPr>
                </w:p>
              </w:tc>
              <w:tc>
                <w:tcPr>
                  <w:tcW w:w="613" w:type="dxa"/>
                  <w:vMerge w:val="continue"/>
                  <w:tcBorders>
                    <w:top w:val="single" w:color="000000" w:sz="4" w:space="0"/>
                    <w:left w:val="single" w:color="000000" w:sz="4" w:space="0"/>
                    <w:bottom w:val="single" w:color="auto" w:sz="4" w:space="0"/>
                    <w:right w:val="single" w:color="000000" w:sz="4" w:space="0"/>
                  </w:tcBorders>
                  <w:noWrap w:val="0"/>
                  <w:vAlign w:val="center"/>
                </w:tcPr>
                <w:p w14:paraId="7DAD49CC">
                  <w:pPr>
                    <w:jc w:val="center"/>
                    <w:rPr>
                      <w:rFonts w:hint="eastAsia" w:ascii="宋体" w:hAnsi="宋体" w:eastAsia="宋体" w:cs="宋体"/>
                      <w:b/>
                      <w:bCs/>
                      <w:i w:val="0"/>
                      <w:iCs w:val="0"/>
                      <w:color w:val="FF0000"/>
                      <w:sz w:val="18"/>
                      <w:szCs w:val="18"/>
                      <w:u w:val="none"/>
                    </w:rPr>
                  </w:pPr>
                </w:p>
              </w:tc>
              <w:tc>
                <w:tcPr>
                  <w:tcW w:w="66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9AF3EA">
                  <w:pPr>
                    <w:jc w:val="center"/>
                    <w:rPr>
                      <w:rFonts w:hint="eastAsia" w:ascii="宋体" w:hAnsi="宋体" w:eastAsia="宋体" w:cs="宋体"/>
                      <w:b/>
                      <w:bCs/>
                      <w:i w:val="0"/>
                      <w:iCs w:val="0"/>
                      <w:color w:val="FF0000"/>
                      <w:sz w:val="18"/>
                      <w:szCs w:val="18"/>
                      <w:u w:val="none"/>
                    </w:rPr>
                  </w:pPr>
                </w:p>
              </w:tc>
              <w:tc>
                <w:tcPr>
                  <w:tcW w:w="7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D63693">
                  <w:pPr>
                    <w:jc w:val="center"/>
                    <w:rPr>
                      <w:rFonts w:hint="eastAsia" w:ascii="宋体" w:hAnsi="宋体" w:eastAsia="宋体" w:cs="宋体"/>
                      <w:b/>
                      <w:bCs/>
                      <w:i w:val="0"/>
                      <w:iCs w:val="0"/>
                      <w:color w:val="FF0000"/>
                      <w:sz w:val="18"/>
                      <w:szCs w:val="18"/>
                      <w:u w:val="none"/>
                    </w:rPr>
                  </w:pPr>
                </w:p>
              </w:tc>
              <w:tc>
                <w:tcPr>
                  <w:tcW w:w="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EA7EED">
                  <w:pPr>
                    <w:jc w:val="center"/>
                    <w:rPr>
                      <w:rFonts w:hint="eastAsia" w:ascii="宋体" w:hAnsi="宋体" w:eastAsia="宋体" w:cs="宋体"/>
                      <w:b/>
                      <w:bCs/>
                      <w:i w:val="0"/>
                      <w:iCs w:val="0"/>
                      <w:color w:val="FF0000"/>
                      <w:sz w:val="18"/>
                      <w:szCs w:val="18"/>
                      <w:u w:val="none"/>
                    </w:rPr>
                  </w:pPr>
                </w:p>
              </w:tc>
              <w:tc>
                <w:tcPr>
                  <w:tcW w:w="62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36089">
                  <w:pPr>
                    <w:jc w:val="center"/>
                    <w:rPr>
                      <w:rFonts w:hint="eastAsia" w:ascii="宋体" w:hAnsi="宋体" w:eastAsia="宋体" w:cs="宋体"/>
                      <w:b/>
                      <w:bCs/>
                      <w:i w:val="0"/>
                      <w:iCs w:val="0"/>
                      <w:color w:val="FF0000"/>
                      <w:sz w:val="18"/>
                      <w:szCs w:val="18"/>
                      <w:u w:val="none"/>
                    </w:rPr>
                  </w:pPr>
                </w:p>
              </w:tc>
              <w:tc>
                <w:tcPr>
                  <w:tcW w:w="8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0BE59C">
                  <w:pPr>
                    <w:jc w:val="center"/>
                    <w:rPr>
                      <w:rFonts w:hint="eastAsia" w:ascii="宋体" w:hAnsi="宋体" w:eastAsia="宋体" w:cs="宋体"/>
                      <w:b/>
                      <w:bCs/>
                      <w:i w:val="0"/>
                      <w:iCs w:val="0"/>
                      <w:color w:val="FF0000"/>
                      <w:sz w:val="18"/>
                      <w:szCs w:val="18"/>
                      <w:u w:val="none"/>
                    </w:rPr>
                  </w:pPr>
                </w:p>
              </w:tc>
            </w:tr>
            <w:tr w14:paraId="75C8D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1"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46C5E1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砂处理</w:t>
                  </w:r>
                </w:p>
              </w:tc>
              <w:tc>
                <w:tcPr>
                  <w:tcW w:w="718" w:type="dxa"/>
                  <w:tcBorders>
                    <w:top w:val="single" w:color="000000" w:sz="4" w:space="0"/>
                    <w:left w:val="single" w:color="000000" w:sz="4" w:space="0"/>
                    <w:bottom w:val="single" w:color="auto" w:sz="4" w:space="0"/>
                    <w:right w:val="single" w:color="000000" w:sz="4" w:space="0"/>
                  </w:tcBorders>
                  <w:noWrap w:val="0"/>
                  <w:vAlign w:val="center"/>
                </w:tcPr>
                <w:p w14:paraId="48D439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7FB3056F">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16</w:t>
                  </w:r>
                  <w:r>
                    <w:rPr>
                      <w:rFonts w:hint="eastAsia" w:cs="Times New Roman"/>
                      <w:i w:val="0"/>
                      <w:iCs w:val="0"/>
                      <w:color w:val="auto"/>
                      <w:kern w:val="0"/>
                      <w:sz w:val="18"/>
                      <w:szCs w:val="18"/>
                      <w:u w:val="none"/>
                      <w:lang w:val="en-US" w:eastAsia="zh-CN" w:bidi="ar"/>
                    </w:rPr>
                    <w:t>0</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61ACFADB">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w:t>
                  </w:r>
                  <w:r>
                    <w:rPr>
                      <w:rFonts w:hint="eastAsia" w:cs="Times New Roman"/>
                      <w:i w:val="0"/>
                      <w:iCs w:val="0"/>
                      <w:color w:val="000000"/>
                      <w:kern w:val="0"/>
                      <w:sz w:val="18"/>
                      <w:szCs w:val="18"/>
                      <w:u w:val="none"/>
                      <w:lang w:val="en-US" w:eastAsia="zh-CN" w:bidi="ar"/>
                    </w:rPr>
                    <w:t>7</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C0A3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3528.57</w:t>
                  </w:r>
                </w:p>
              </w:tc>
              <w:tc>
                <w:tcPr>
                  <w:tcW w:w="416" w:type="dxa"/>
                  <w:vMerge w:val="restart"/>
                  <w:tcBorders>
                    <w:top w:val="single" w:color="000000" w:sz="4" w:space="0"/>
                    <w:left w:val="single" w:color="000000" w:sz="4" w:space="0"/>
                    <w:right w:val="single" w:color="000000" w:sz="4" w:space="0"/>
                  </w:tcBorders>
                  <w:noWrap w:val="0"/>
                  <w:vAlign w:val="center"/>
                </w:tcPr>
                <w:p w14:paraId="6C367440">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auto"/>
                      <w:kern w:val="0"/>
                      <w:sz w:val="18"/>
                      <w:szCs w:val="18"/>
                      <w:u w:val="none"/>
                      <w:lang w:val="en-US" w:eastAsia="zh-CN" w:bidi="ar"/>
                    </w:rPr>
                    <w:t>有组织</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66F603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吸风收集</w:t>
                  </w:r>
                </w:p>
              </w:tc>
              <w:tc>
                <w:tcPr>
                  <w:tcW w:w="1069" w:type="dxa"/>
                  <w:tcBorders>
                    <w:top w:val="single" w:color="000000" w:sz="4" w:space="0"/>
                    <w:left w:val="single" w:color="000000" w:sz="4" w:space="0"/>
                    <w:bottom w:val="single" w:color="000000" w:sz="4" w:space="0"/>
                    <w:right w:val="single" w:color="000000" w:sz="4" w:space="0"/>
                  </w:tcBorders>
                  <w:noWrap w:val="0"/>
                  <w:vAlign w:val="center"/>
                </w:tcPr>
                <w:p w14:paraId="5E35D9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布袋除尘器</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635F16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TA002</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464239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eastAsia" w:cs="Times New Roman"/>
                      <w:i w:val="0"/>
                      <w:iCs w:val="0"/>
                      <w:color w:val="auto"/>
                      <w:kern w:val="0"/>
                      <w:sz w:val="18"/>
                      <w:szCs w:val="18"/>
                      <w:u w:val="none"/>
                      <w:lang w:val="en-US" w:eastAsia="zh-CN" w:bidi="ar"/>
                    </w:rPr>
                    <w:t>7</w:t>
                  </w:r>
                  <w:r>
                    <w:rPr>
                      <w:rFonts w:hint="default" w:ascii="Times New Roman" w:hAnsi="Times New Roman" w:eastAsia="宋体" w:cs="Times New Roman"/>
                      <w:i w:val="0"/>
                      <w:iCs w:val="0"/>
                      <w:color w:val="auto"/>
                      <w:kern w:val="0"/>
                      <w:sz w:val="18"/>
                      <w:szCs w:val="18"/>
                      <w:u w:val="none"/>
                      <w:lang w:val="en-US" w:eastAsia="zh-CN" w:bidi="ar"/>
                    </w:rPr>
                    <w:t>000</w:t>
                  </w: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170D82E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95%</w:t>
                  </w: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70A734D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tcBorders>
                    <w:top w:val="single" w:color="000000" w:sz="4" w:space="0"/>
                    <w:left w:val="single" w:color="000000" w:sz="4" w:space="0"/>
                    <w:bottom w:val="single" w:color="000000" w:sz="4" w:space="0"/>
                    <w:right w:val="single" w:color="auto" w:sz="4" w:space="0"/>
                  </w:tcBorders>
                  <w:noWrap w:val="0"/>
                  <w:vAlign w:val="center"/>
                </w:tcPr>
                <w:p w14:paraId="2D1AD7A8">
                  <w:pPr>
                    <w:jc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是</w:t>
                  </w:r>
                </w:p>
              </w:tc>
              <w:tc>
                <w:tcPr>
                  <w:tcW w:w="613" w:type="dxa"/>
                  <w:vMerge w:val="restart"/>
                  <w:tcBorders>
                    <w:top w:val="single" w:color="auto" w:sz="4" w:space="0"/>
                    <w:left w:val="single" w:color="auto" w:sz="4" w:space="0"/>
                    <w:bottom w:val="single" w:color="auto" w:sz="4" w:space="0"/>
                    <w:right w:val="single" w:color="auto" w:sz="4" w:space="0"/>
                  </w:tcBorders>
                  <w:noWrap w:val="0"/>
                  <w:vAlign w:val="center"/>
                </w:tcPr>
                <w:p w14:paraId="705DC4F2">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6480</w:t>
                  </w:r>
                </w:p>
              </w:tc>
              <w:tc>
                <w:tcPr>
                  <w:tcW w:w="664" w:type="dxa"/>
                  <w:tcBorders>
                    <w:top w:val="single" w:color="000000" w:sz="4" w:space="0"/>
                    <w:left w:val="single" w:color="auto" w:sz="4" w:space="0"/>
                    <w:bottom w:val="single" w:color="000000" w:sz="4" w:space="0"/>
                    <w:right w:val="single" w:color="000000" w:sz="4" w:space="0"/>
                  </w:tcBorders>
                  <w:noWrap w:val="0"/>
                  <w:vAlign w:val="center"/>
                </w:tcPr>
                <w:p w14:paraId="02EF799A">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lang w:val="en-US"/>
                    </w:rPr>
                  </w:pPr>
                  <w:r>
                    <w:rPr>
                      <w:rFonts w:hint="default" w:ascii="Times New Roman" w:hAnsi="Times New Roman" w:eastAsia="宋体" w:cs="Times New Roman"/>
                      <w:i w:val="0"/>
                      <w:iCs w:val="0"/>
                      <w:color w:val="auto"/>
                      <w:kern w:val="0"/>
                      <w:sz w:val="18"/>
                      <w:szCs w:val="18"/>
                      <w:u w:val="none"/>
                      <w:lang w:val="en-US" w:eastAsia="zh-CN" w:bidi="ar"/>
                    </w:rPr>
                    <w:t>0.</w:t>
                  </w:r>
                  <w:r>
                    <w:rPr>
                      <w:rFonts w:hint="eastAsia" w:cs="Times New Roman"/>
                      <w:i w:val="0"/>
                      <w:iCs w:val="0"/>
                      <w:color w:val="auto"/>
                      <w:kern w:val="0"/>
                      <w:sz w:val="18"/>
                      <w:szCs w:val="18"/>
                      <w:u w:val="none"/>
                      <w:lang w:val="en-US" w:eastAsia="zh-CN" w:bidi="ar"/>
                    </w:rPr>
                    <w:t>76</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65B8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0.117</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5963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16.7</w:t>
                  </w: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6759589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DA002</w:t>
                  </w:r>
                </w:p>
              </w:tc>
              <w:tc>
                <w:tcPr>
                  <w:tcW w:w="806" w:type="dxa"/>
                  <w:tcBorders>
                    <w:top w:val="single" w:color="000000" w:sz="4" w:space="0"/>
                    <w:left w:val="single" w:color="000000" w:sz="4" w:space="0"/>
                    <w:right w:val="single" w:color="000000" w:sz="4" w:space="0"/>
                  </w:tcBorders>
                  <w:noWrap w:val="0"/>
                  <w:vAlign w:val="center"/>
                </w:tcPr>
                <w:p w14:paraId="1699454F">
                  <w:pPr>
                    <w:jc w:val="center"/>
                    <w:rPr>
                      <w:rFonts w:hint="default" w:ascii="Times New Roman" w:hAnsi="Times New Roman" w:eastAsia="宋体" w:cs="Times New Roman"/>
                      <w:i w:val="0"/>
                      <w:iCs w:val="0"/>
                      <w:color w:val="auto"/>
                      <w:sz w:val="18"/>
                      <w:szCs w:val="18"/>
                      <w:u w:val="none"/>
                      <w:lang w:val="en-US" w:eastAsia="zh-CN"/>
                    </w:rPr>
                  </w:pPr>
                  <w:r>
                    <w:rPr>
                      <w:rFonts w:hint="eastAsia" w:ascii="Times New Roman" w:hAnsi="Times New Roman" w:eastAsia="宋体" w:cs="Times New Roman"/>
                      <w:i w:val="0"/>
                      <w:iCs w:val="0"/>
                      <w:color w:val="auto"/>
                      <w:sz w:val="18"/>
                      <w:szCs w:val="18"/>
                      <w:u w:val="none"/>
                      <w:lang w:val="en-US" w:eastAsia="zh-CN"/>
                    </w:rPr>
                    <w:t>30</w:t>
                  </w:r>
                </w:p>
              </w:tc>
            </w:tr>
            <w:tr w14:paraId="7A54B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31" w:type="dxa"/>
                  <w:tcBorders>
                    <w:left w:val="single" w:color="000000" w:sz="4" w:space="0"/>
                    <w:right w:val="single" w:color="auto" w:sz="4" w:space="0"/>
                  </w:tcBorders>
                  <w:noWrap w:val="0"/>
                  <w:vAlign w:val="center"/>
                </w:tcPr>
                <w:p w14:paraId="23FE6B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熔化</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1D758E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629" w:type="dxa"/>
                  <w:tcBorders>
                    <w:top w:val="single" w:color="000000" w:sz="4" w:space="0"/>
                    <w:left w:val="single" w:color="auto" w:sz="4" w:space="0"/>
                    <w:bottom w:val="single" w:color="000000" w:sz="4" w:space="0"/>
                    <w:right w:val="single" w:color="000000" w:sz="4" w:space="0"/>
                  </w:tcBorders>
                  <w:noWrap w:val="0"/>
                  <w:vAlign w:val="center"/>
                </w:tcPr>
                <w:p w14:paraId="6616AB5F">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lang w:val="en-US"/>
                    </w:rPr>
                  </w:pPr>
                  <w:r>
                    <w:rPr>
                      <w:rFonts w:hint="eastAsia" w:cs="Times New Roman"/>
                      <w:i w:val="0"/>
                      <w:iCs w:val="0"/>
                      <w:color w:val="auto"/>
                      <w:kern w:val="0"/>
                      <w:sz w:val="18"/>
                      <w:szCs w:val="18"/>
                      <w:u w:val="none"/>
                      <w:lang w:val="en-US" w:eastAsia="zh-CN" w:bidi="ar"/>
                    </w:rPr>
                    <w:t>4.79</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7D308CD2">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w:t>
                  </w:r>
                  <w:r>
                    <w:rPr>
                      <w:rFonts w:hint="eastAsia" w:cs="Times New Roman"/>
                      <w:i w:val="0"/>
                      <w:iCs w:val="0"/>
                      <w:color w:val="000000"/>
                      <w:kern w:val="0"/>
                      <w:sz w:val="18"/>
                      <w:szCs w:val="18"/>
                      <w:u w:val="none"/>
                      <w:lang w:val="en-US" w:eastAsia="zh-CN" w:bidi="ar"/>
                    </w:rPr>
                    <w:t>4</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498E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148</w:t>
                  </w:r>
                </w:p>
              </w:tc>
              <w:tc>
                <w:tcPr>
                  <w:tcW w:w="416" w:type="dxa"/>
                  <w:vMerge w:val="continue"/>
                  <w:tcBorders>
                    <w:left w:val="single" w:color="000000" w:sz="4" w:space="0"/>
                    <w:right w:val="single" w:color="000000" w:sz="4" w:space="0"/>
                  </w:tcBorders>
                  <w:noWrap w:val="0"/>
                  <w:vAlign w:val="center"/>
                </w:tcPr>
                <w:p w14:paraId="39566C7E">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41AC43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集气罩</w:t>
                  </w:r>
                </w:p>
              </w:tc>
              <w:tc>
                <w:tcPr>
                  <w:tcW w:w="1069" w:type="dxa"/>
                  <w:tcBorders>
                    <w:top w:val="single" w:color="000000" w:sz="4" w:space="0"/>
                    <w:left w:val="single" w:color="000000" w:sz="4" w:space="0"/>
                    <w:bottom w:val="single" w:color="000000" w:sz="4" w:space="0"/>
                    <w:right w:val="single" w:color="000000" w:sz="4" w:space="0"/>
                  </w:tcBorders>
                  <w:noWrap w:val="0"/>
                  <w:vAlign w:val="center"/>
                </w:tcPr>
                <w:p w14:paraId="0DACE6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布袋除尘</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50EFC7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TA001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1243F0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lang w:val="en-US"/>
                    </w:rPr>
                  </w:pPr>
                  <w:r>
                    <w:rPr>
                      <w:rFonts w:hint="eastAsia" w:cs="Times New Roman"/>
                      <w:i w:val="0"/>
                      <w:iCs w:val="0"/>
                      <w:color w:val="auto"/>
                      <w:kern w:val="0"/>
                      <w:sz w:val="18"/>
                      <w:szCs w:val="18"/>
                      <w:u w:val="none"/>
                      <w:lang w:val="en-US" w:eastAsia="zh-CN" w:bidi="ar"/>
                    </w:rPr>
                    <w:t>5000</w:t>
                  </w: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2B1A087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7653720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tcBorders>
                    <w:top w:val="single" w:color="000000" w:sz="4" w:space="0"/>
                    <w:left w:val="single" w:color="000000" w:sz="4" w:space="0"/>
                    <w:bottom w:val="single" w:color="000000" w:sz="4" w:space="0"/>
                    <w:right w:val="single" w:color="auto" w:sz="4" w:space="0"/>
                  </w:tcBorders>
                  <w:noWrap w:val="0"/>
                  <w:vAlign w:val="center"/>
                </w:tcPr>
                <w:p w14:paraId="3A4D7E6C">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6C91E23F">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000000" w:sz="4" w:space="0"/>
                    <w:left w:val="single" w:color="auto" w:sz="4" w:space="0"/>
                    <w:bottom w:val="single" w:color="000000" w:sz="4" w:space="0"/>
                    <w:right w:val="single" w:color="000000" w:sz="4" w:space="0"/>
                  </w:tcBorders>
                  <w:noWrap w:val="0"/>
                  <w:vAlign w:val="center"/>
                </w:tcPr>
                <w:p w14:paraId="2B290312">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lang w:val="en-US"/>
                    </w:rPr>
                  </w:pPr>
                  <w:r>
                    <w:rPr>
                      <w:rFonts w:hint="default" w:ascii="Times New Roman" w:hAnsi="Times New Roman" w:eastAsia="宋体" w:cs="Times New Roman"/>
                      <w:i w:val="0"/>
                      <w:iCs w:val="0"/>
                      <w:color w:val="auto"/>
                      <w:kern w:val="0"/>
                      <w:sz w:val="18"/>
                      <w:szCs w:val="18"/>
                      <w:u w:val="none"/>
                      <w:lang w:val="en-US" w:eastAsia="zh-CN" w:bidi="ar"/>
                    </w:rPr>
                    <w:t>0.022</w:t>
                  </w:r>
                  <w:r>
                    <w:rPr>
                      <w:rFonts w:hint="eastAsia" w:cs="Times New Roman"/>
                      <w:i w:val="0"/>
                      <w:iCs w:val="0"/>
                      <w:color w:val="auto"/>
                      <w:kern w:val="0"/>
                      <w:sz w:val="18"/>
                      <w:szCs w:val="18"/>
                      <w:u w:val="none"/>
                      <w:lang w:val="en-US" w:eastAsia="zh-CN" w:bidi="ar"/>
                    </w:rPr>
                    <w:t>75</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09A5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0.0035</w:t>
                  </w:r>
                </w:p>
              </w:tc>
              <w:tc>
                <w:tcPr>
                  <w:tcW w:w="805"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7FB2F7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0.7</w:t>
                  </w: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526CAA4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DA001</w:t>
                  </w:r>
                </w:p>
              </w:tc>
              <w:tc>
                <w:tcPr>
                  <w:tcW w:w="806" w:type="dxa"/>
                  <w:tcBorders>
                    <w:top w:val="single" w:color="000000" w:sz="4" w:space="0"/>
                    <w:left w:val="single" w:color="000000" w:sz="4" w:space="0"/>
                    <w:right w:val="single" w:color="000000" w:sz="4" w:space="0"/>
                  </w:tcBorders>
                  <w:noWrap w:val="0"/>
                  <w:vAlign w:val="center"/>
                </w:tcPr>
                <w:p w14:paraId="0917776F">
                  <w:pPr>
                    <w:jc w:val="center"/>
                    <w:rPr>
                      <w:rFonts w:hint="default" w:ascii="Times New Roman" w:hAnsi="Times New Roman" w:eastAsia="宋体" w:cs="Times New Roman"/>
                      <w:i w:val="0"/>
                      <w:iCs w:val="0"/>
                      <w:color w:val="auto"/>
                      <w:sz w:val="18"/>
                      <w:szCs w:val="18"/>
                      <w:u w:val="none"/>
                      <w:lang w:val="en-US" w:eastAsia="zh-CN"/>
                    </w:rPr>
                  </w:pPr>
                  <w:r>
                    <w:rPr>
                      <w:rFonts w:hint="eastAsia" w:ascii="Times New Roman" w:hAnsi="Times New Roman" w:eastAsia="宋体" w:cs="Times New Roman"/>
                      <w:i w:val="0"/>
                      <w:iCs w:val="0"/>
                      <w:color w:val="auto"/>
                      <w:sz w:val="18"/>
                      <w:szCs w:val="18"/>
                      <w:u w:val="none"/>
                      <w:lang w:val="en-US" w:eastAsia="zh-CN"/>
                    </w:rPr>
                    <w:t>30</w:t>
                  </w:r>
                </w:p>
              </w:tc>
            </w:tr>
            <w:tr w14:paraId="6FCB0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631" w:type="dxa"/>
                  <w:vMerge w:val="restart"/>
                  <w:tcBorders>
                    <w:top w:val="single" w:color="000000" w:sz="4" w:space="0"/>
                    <w:left w:val="single" w:color="000000" w:sz="4" w:space="0"/>
                    <w:right w:val="single" w:color="000000" w:sz="4" w:space="0"/>
                  </w:tcBorders>
                  <w:noWrap w:val="0"/>
                  <w:vAlign w:val="center"/>
                </w:tcPr>
                <w:p w14:paraId="4B7B13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造型/</w:t>
                  </w:r>
                  <w:r>
                    <w:rPr>
                      <w:rFonts w:hint="eastAsia" w:ascii="宋体" w:hAnsi="宋体" w:eastAsia="宋体" w:cs="宋体"/>
                      <w:i w:val="0"/>
                      <w:iCs w:val="0"/>
                      <w:color w:val="auto"/>
                      <w:kern w:val="0"/>
                      <w:sz w:val="18"/>
                      <w:szCs w:val="18"/>
                      <w:u w:val="none"/>
                      <w:lang w:val="en-US" w:eastAsia="zh-CN" w:bidi="ar"/>
                    </w:rPr>
                    <w:t>浇铸</w:t>
                  </w:r>
                </w:p>
              </w:tc>
              <w:tc>
                <w:tcPr>
                  <w:tcW w:w="718" w:type="dxa"/>
                  <w:tcBorders>
                    <w:top w:val="single" w:color="auto" w:sz="4" w:space="0"/>
                    <w:left w:val="single" w:color="000000" w:sz="4" w:space="0"/>
                    <w:right w:val="single" w:color="000000" w:sz="4" w:space="0"/>
                  </w:tcBorders>
                  <w:noWrap w:val="0"/>
                  <w:vAlign w:val="center"/>
                </w:tcPr>
                <w:p w14:paraId="15C3CF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629" w:type="dxa"/>
                  <w:tcBorders>
                    <w:top w:val="single" w:color="000000" w:sz="4" w:space="0"/>
                    <w:left w:val="single" w:color="000000" w:sz="4" w:space="0"/>
                    <w:right w:val="single" w:color="000000" w:sz="4" w:space="0"/>
                  </w:tcBorders>
                  <w:noWrap w:val="0"/>
                  <w:vAlign w:val="center"/>
                </w:tcPr>
                <w:p w14:paraId="3109D8B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20.067</w:t>
                  </w:r>
                </w:p>
              </w:tc>
              <w:tc>
                <w:tcPr>
                  <w:tcW w:w="770" w:type="dxa"/>
                  <w:tcBorders>
                    <w:top w:val="single" w:color="000000" w:sz="4" w:space="0"/>
                    <w:left w:val="single" w:color="000000" w:sz="4" w:space="0"/>
                    <w:right w:val="single" w:color="000000" w:sz="4" w:space="0"/>
                  </w:tcBorders>
                  <w:noWrap w:val="0"/>
                  <w:vAlign w:val="center"/>
                </w:tcPr>
                <w:p w14:paraId="0F59E5A2">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r>
                    <w:rPr>
                      <w:rFonts w:hint="eastAsia" w:cs="Times New Roman"/>
                      <w:i w:val="0"/>
                      <w:iCs w:val="0"/>
                      <w:color w:val="000000"/>
                      <w:kern w:val="0"/>
                      <w:sz w:val="18"/>
                      <w:szCs w:val="18"/>
                      <w:u w:val="none"/>
                      <w:lang w:val="en-US" w:eastAsia="zh-CN" w:bidi="ar"/>
                    </w:rPr>
                    <w:t>1</w:t>
                  </w:r>
                </w:p>
              </w:tc>
              <w:tc>
                <w:tcPr>
                  <w:tcW w:w="769" w:type="dxa"/>
                  <w:tcBorders>
                    <w:top w:val="single" w:color="000000" w:sz="4" w:space="0"/>
                    <w:left w:val="single" w:color="000000" w:sz="4" w:space="0"/>
                    <w:right w:val="single" w:color="000000" w:sz="4" w:space="0"/>
                  </w:tcBorders>
                  <w:shd w:val="clear" w:color="auto" w:fill="auto"/>
                  <w:noWrap w:val="0"/>
                  <w:vAlign w:val="center"/>
                </w:tcPr>
                <w:p w14:paraId="7322824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0"/>
                      <w:sz w:val="18"/>
                      <w:szCs w:val="18"/>
                      <w:u w:val="none"/>
                      <w:lang w:val="en-US" w:eastAsia="zh-CN" w:bidi="ar"/>
                    </w:rPr>
                    <w:t>203.67</w:t>
                  </w:r>
                </w:p>
              </w:tc>
              <w:tc>
                <w:tcPr>
                  <w:tcW w:w="416" w:type="dxa"/>
                  <w:vMerge w:val="continue"/>
                  <w:tcBorders>
                    <w:left w:val="single" w:color="000000" w:sz="4" w:space="0"/>
                    <w:right w:val="single" w:color="000000" w:sz="4" w:space="0"/>
                  </w:tcBorders>
                  <w:noWrap w:val="0"/>
                  <w:vAlign w:val="center"/>
                </w:tcPr>
                <w:p w14:paraId="4698BDAE">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p>
              </w:tc>
              <w:tc>
                <w:tcPr>
                  <w:tcW w:w="817" w:type="dxa"/>
                  <w:vMerge w:val="restart"/>
                  <w:tcBorders>
                    <w:top w:val="single" w:color="000000" w:sz="4" w:space="0"/>
                    <w:left w:val="single" w:color="000000" w:sz="4" w:space="0"/>
                    <w:bottom w:val="single" w:color="000000" w:sz="4" w:space="0"/>
                    <w:right w:val="single" w:color="000000" w:sz="4" w:space="0"/>
                  </w:tcBorders>
                  <w:noWrap w:val="0"/>
                  <w:vAlign w:val="center"/>
                </w:tcPr>
                <w:p w14:paraId="754430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侧吸</w:t>
                  </w:r>
                  <w:r>
                    <w:rPr>
                      <w:rFonts w:hint="eastAsia" w:ascii="宋体" w:hAnsi="宋体" w:eastAsia="宋体" w:cs="宋体"/>
                      <w:i w:val="0"/>
                      <w:iCs w:val="0"/>
                      <w:color w:val="auto"/>
                      <w:kern w:val="0"/>
                      <w:sz w:val="18"/>
                      <w:szCs w:val="18"/>
                      <w:u w:val="none"/>
                      <w:lang w:val="en-US" w:eastAsia="zh-CN" w:bidi="ar"/>
                    </w:rPr>
                    <w:t>收集</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209482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布袋除尘+二级活性炭吸附</w:t>
                  </w:r>
                </w:p>
              </w:tc>
              <w:tc>
                <w:tcPr>
                  <w:tcW w:w="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651A388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TA00</w:t>
                  </w:r>
                  <w:r>
                    <w:rPr>
                      <w:rFonts w:hint="eastAsia" w:cs="Times New Roman"/>
                      <w:i w:val="0"/>
                      <w:iCs w:val="0"/>
                      <w:color w:val="auto"/>
                      <w:kern w:val="0"/>
                      <w:sz w:val="18"/>
                      <w:szCs w:val="18"/>
                      <w:u w:val="none"/>
                      <w:lang w:val="en-US" w:eastAsia="zh-CN" w:bidi="ar"/>
                    </w:rPr>
                    <w:t>4</w:t>
                  </w:r>
                  <w:r>
                    <w:rPr>
                      <w:rFonts w:hint="default" w:ascii="Times New Roman" w:hAnsi="Times New Roman" w:eastAsia="宋体" w:cs="Times New Roman"/>
                      <w:i w:val="0"/>
                      <w:iCs w:val="0"/>
                      <w:color w:val="auto"/>
                      <w:kern w:val="0"/>
                      <w:sz w:val="18"/>
                      <w:szCs w:val="18"/>
                      <w:u w:val="none"/>
                      <w:lang w:val="en-US" w:eastAsia="zh-CN" w:bidi="ar"/>
                    </w:rPr>
                    <w:t>-</w:t>
                  </w:r>
                  <w:r>
                    <w:rPr>
                      <w:rFonts w:hint="eastAsia" w:cs="Times New Roman"/>
                      <w:i w:val="0"/>
                      <w:iCs w:val="0"/>
                      <w:color w:val="auto"/>
                      <w:kern w:val="0"/>
                      <w:sz w:val="18"/>
                      <w:szCs w:val="18"/>
                      <w:u w:val="none"/>
                      <w:lang w:val="en-US" w:eastAsia="zh-CN" w:bidi="ar"/>
                    </w:rPr>
                    <w:t>2</w:t>
                  </w:r>
                </w:p>
              </w:tc>
              <w:tc>
                <w:tcPr>
                  <w:tcW w:w="682" w:type="dxa"/>
                  <w:vMerge w:val="restart"/>
                  <w:tcBorders>
                    <w:top w:val="single" w:color="000000" w:sz="4" w:space="0"/>
                    <w:left w:val="single" w:color="000000" w:sz="4" w:space="0"/>
                    <w:bottom w:val="single" w:color="000000" w:sz="4" w:space="0"/>
                    <w:right w:val="single" w:color="000000" w:sz="4" w:space="0"/>
                  </w:tcBorders>
                  <w:noWrap w:val="0"/>
                  <w:vAlign w:val="center"/>
                </w:tcPr>
                <w:p w14:paraId="1781921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eastAsia" w:cs="Times New Roman"/>
                      <w:i w:val="0"/>
                      <w:iCs w:val="0"/>
                      <w:color w:val="auto"/>
                      <w:kern w:val="0"/>
                      <w:sz w:val="18"/>
                      <w:szCs w:val="18"/>
                      <w:u w:val="none"/>
                      <w:lang w:val="en-US" w:eastAsia="zh-CN" w:bidi="ar"/>
                    </w:rPr>
                    <w:t>15</w:t>
                  </w:r>
                  <w:r>
                    <w:rPr>
                      <w:rFonts w:hint="default" w:ascii="Times New Roman" w:hAnsi="Times New Roman" w:eastAsia="宋体" w:cs="Times New Roman"/>
                      <w:i w:val="0"/>
                      <w:iCs w:val="0"/>
                      <w:color w:val="auto"/>
                      <w:kern w:val="0"/>
                      <w:sz w:val="18"/>
                      <w:szCs w:val="18"/>
                      <w:u w:val="none"/>
                      <w:lang w:val="en-US" w:eastAsia="zh-CN" w:bidi="ar"/>
                    </w:rPr>
                    <w:t>000</w:t>
                  </w:r>
                </w:p>
              </w:tc>
              <w:tc>
                <w:tcPr>
                  <w:tcW w:w="700" w:type="dxa"/>
                  <w:vMerge w:val="restart"/>
                  <w:tcBorders>
                    <w:top w:val="single" w:color="000000" w:sz="4" w:space="0"/>
                    <w:left w:val="single" w:color="000000" w:sz="4" w:space="0"/>
                    <w:bottom w:val="single" w:color="000000" w:sz="4" w:space="0"/>
                    <w:right w:val="single" w:color="000000" w:sz="4" w:space="0"/>
                  </w:tcBorders>
                  <w:noWrap w:val="0"/>
                  <w:vAlign w:val="center"/>
                </w:tcPr>
                <w:p w14:paraId="7AF5A25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eastAsia" w:cs="Times New Roman"/>
                      <w:i w:val="0"/>
                      <w:iCs w:val="0"/>
                      <w:color w:val="auto"/>
                      <w:kern w:val="0"/>
                      <w:sz w:val="18"/>
                      <w:szCs w:val="18"/>
                      <w:u w:val="none"/>
                      <w:lang w:val="en-US" w:eastAsia="zh-CN" w:bidi="ar"/>
                    </w:rPr>
                    <w:t>85</w:t>
                  </w:r>
                  <w:r>
                    <w:rPr>
                      <w:rFonts w:hint="default" w:ascii="Times New Roman" w:hAnsi="Times New Roman" w:eastAsia="宋体" w:cs="Times New Roman"/>
                      <w:i w:val="0"/>
                      <w:iCs w:val="0"/>
                      <w:color w:val="auto"/>
                      <w:kern w:val="0"/>
                      <w:sz w:val="18"/>
                      <w:szCs w:val="18"/>
                      <w:u w:val="none"/>
                      <w:lang w:val="en-US" w:eastAsia="zh-CN" w:bidi="ar"/>
                    </w:rPr>
                    <w:t>%</w:t>
                  </w:r>
                </w:p>
              </w:tc>
              <w:tc>
                <w:tcPr>
                  <w:tcW w:w="629" w:type="dxa"/>
                  <w:tcBorders>
                    <w:top w:val="single" w:color="000000" w:sz="4" w:space="0"/>
                    <w:left w:val="single" w:color="000000" w:sz="4" w:space="0"/>
                    <w:right w:val="single" w:color="000000" w:sz="4" w:space="0"/>
                  </w:tcBorders>
                  <w:noWrap w:val="0"/>
                  <w:vAlign w:val="center"/>
                </w:tcPr>
                <w:p w14:paraId="648755E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tcBorders>
                    <w:top w:val="single" w:color="000000" w:sz="4" w:space="0"/>
                    <w:left w:val="single" w:color="000000" w:sz="4" w:space="0"/>
                    <w:right w:val="single" w:color="auto" w:sz="4" w:space="0"/>
                  </w:tcBorders>
                  <w:noWrap w:val="0"/>
                  <w:vAlign w:val="center"/>
                </w:tcPr>
                <w:p w14:paraId="4EDBFA31">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71877070">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000000" w:sz="4" w:space="0"/>
                    <w:left w:val="single" w:color="auto" w:sz="4" w:space="0"/>
                    <w:right w:val="single" w:color="000000" w:sz="4" w:space="0"/>
                  </w:tcBorders>
                  <w:noWrap w:val="0"/>
                  <w:vAlign w:val="center"/>
                </w:tcPr>
                <w:p w14:paraId="5B53295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2.55</w:t>
                  </w:r>
                </w:p>
              </w:tc>
              <w:tc>
                <w:tcPr>
                  <w:tcW w:w="71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CCF6EF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0.3935</w:t>
                  </w:r>
                </w:p>
              </w:tc>
              <w:tc>
                <w:tcPr>
                  <w:tcW w:w="8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C1ABF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17.2</w:t>
                  </w:r>
                </w:p>
              </w:tc>
              <w:tc>
                <w:tcPr>
                  <w:tcW w:w="629" w:type="dxa"/>
                  <w:vMerge w:val="restart"/>
                  <w:tcBorders>
                    <w:top w:val="single" w:color="000000" w:sz="4" w:space="0"/>
                    <w:left w:val="single" w:color="auto" w:sz="4" w:space="0"/>
                    <w:right w:val="single" w:color="auto" w:sz="4" w:space="0"/>
                  </w:tcBorders>
                  <w:noWrap w:val="0"/>
                  <w:vAlign w:val="center"/>
                </w:tcPr>
                <w:p w14:paraId="5146C2C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lang w:val="en-US"/>
                    </w:rPr>
                  </w:pPr>
                  <w:r>
                    <w:rPr>
                      <w:rFonts w:hint="default" w:ascii="Times New Roman" w:hAnsi="Times New Roman" w:eastAsia="宋体" w:cs="Times New Roman"/>
                      <w:i w:val="0"/>
                      <w:iCs w:val="0"/>
                      <w:color w:val="auto"/>
                      <w:sz w:val="18"/>
                      <w:szCs w:val="18"/>
                      <w:u w:val="none"/>
                      <w:lang w:val="en-US" w:eastAsia="zh-CN"/>
                    </w:rPr>
                    <w:t>DA00</w:t>
                  </w:r>
                  <w:r>
                    <w:rPr>
                      <w:rFonts w:hint="eastAsia" w:cs="Times New Roman"/>
                      <w:i w:val="0"/>
                      <w:iCs w:val="0"/>
                      <w:color w:val="auto"/>
                      <w:sz w:val="18"/>
                      <w:szCs w:val="18"/>
                      <w:u w:val="none"/>
                      <w:lang w:val="en-US" w:eastAsia="zh-CN"/>
                    </w:rPr>
                    <w:t>4</w:t>
                  </w:r>
                </w:p>
              </w:tc>
              <w:tc>
                <w:tcPr>
                  <w:tcW w:w="806" w:type="dxa"/>
                  <w:vMerge w:val="restart"/>
                  <w:tcBorders>
                    <w:top w:val="single" w:color="auto" w:sz="4" w:space="0"/>
                    <w:left w:val="single" w:color="auto" w:sz="4" w:space="0"/>
                    <w:bottom w:val="single" w:color="auto" w:sz="4" w:space="0"/>
                    <w:right w:val="single" w:color="auto" w:sz="4" w:space="0"/>
                  </w:tcBorders>
                  <w:noWrap w:val="0"/>
                  <w:vAlign w:val="center"/>
                </w:tcPr>
                <w:p w14:paraId="61F6BA4C">
                  <w:pPr>
                    <w:jc w:val="center"/>
                    <w:rPr>
                      <w:rFonts w:hint="eastAsia" w:ascii="Times New Roman" w:hAnsi="Times New Roman" w:eastAsia="宋体" w:cs="Times New Roman"/>
                      <w:i w:val="0"/>
                      <w:iCs w:val="0"/>
                      <w:color w:val="auto"/>
                      <w:sz w:val="18"/>
                      <w:szCs w:val="18"/>
                      <w:u w:val="none"/>
                      <w:lang w:val="en-US" w:eastAsia="zh-CN"/>
                    </w:rPr>
                  </w:pPr>
                  <w:r>
                    <w:rPr>
                      <w:rFonts w:hint="eastAsia" w:ascii="Times New Roman" w:hAnsi="Times New Roman" w:eastAsia="宋体" w:cs="Times New Roman"/>
                      <w:i w:val="0"/>
                      <w:iCs w:val="0"/>
                      <w:color w:val="auto"/>
                      <w:sz w:val="18"/>
                      <w:szCs w:val="18"/>
                      <w:u w:val="none"/>
                      <w:lang w:val="en-US" w:eastAsia="zh-CN"/>
                    </w:rPr>
                    <w:t>颗粒物30</w:t>
                  </w:r>
                </w:p>
                <w:p w14:paraId="19FAADA9">
                  <w:pPr>
                    <w:jc w:val="center"/>
                    <w:rPr>
                      <w:rFonts w:hint="eastAsia" w:ascii="Times New Roman" w:hAnsi="Times New Roman" w:eastAsia="宋体" w:cs="Times New Roman"/>
                      <w:i w:val="0"/>
                      <w:iCs w:val="0"/>
                      <w:color w:val="auto"/>
                      <w:sz w:val="18"/>
                      <w:szCs w:val="18"/>
                      <w:u w:val="none"/>
                      <w:lang w:val="en-US" w:eastAsia="zh-CN"/>
                    </w:rPr>
                  </w:pPr>
                </w:p>
                <w:p w14:paraId="26CA1B93">
                  <w:pPr>
                    <w:jc w:val="center"/>
                    <w:rPr>
                      <w:rFonts w:hint="default" w:ascii="宋体" w:hAnsi="宋体" w:eastAsia="宋体" w:cs="宋体"/>
                      <w:i w:val="0"/>
                      <w:iCs w:val="0"/>
                      <w:color w:val="auto"/>
                      <w:sz w:val="18"/>
                      <w:szCs w:val="18"/>
                      <w:u w:val="none"/>
                      <w:lang w:val="en-US" w:eastAsia="zh-CN"/>
                    </w:rPr>
                  </w:pPr>
                  <w:r>
                    <w:rPr>
                      <w:rFonts w:hint="eastAsia" w:ascii="Times New Roman" w:hAnsi="Times New Roman" w:eastAsia="宋体" w:cs="Times New Roman"/>
                      <w:i w:val="0"/>
                      <w:iCs w:val="0"/>
                      <w:color w:val="auto"/>
                      <w:sz w:val="18"/>
                      <w:szCs w:val="18"/>
                      <w:u w:val="none"/>
                      <w:lang w:val="en-US" w:eastAsia="zh-CN"/>
                    </w:rPr>
                    <w:t>挥发性有机物120</w:t>
                  </w:r>
                </w:p>
              </w:tc>
            </w:tr>
            <w:tr w14:paraId="337C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631" w:type="dxa"/>
                  <w:vMerge w:val="continue"/>
                  <w:tcBorders>
                    <w:left w:val="single" w:color="000000" w:sz="4" w:space="0"/>
                    <w:bottom w:val="single" w:color="000000" w:sz="4" w:space="0"/>
                    <w:right w:val="single" w:color="000000" w:sz="4" w:space="0"/>
                  </w:tcBorders>
                  <w:noWrap w:val="0"/>
                  <w:vAlign w:val="center"/>
                </w:tcPr>
                <w:p w14:paraId="3344CEFA">
                  <w:pPr>
                    <w:jc w:val="center"/>
                    <w:rPr>
                      <w:rFonts w:hint="eastAsia" w:ascii="宋体" w:hAnsi="宋体" w:eastAsia="宋体" w:cs="宋体"/>
                      <w:i w:val="0"/>
                      <w:iCs w:val="0"/>
                      <w:color w:val="auto"/>
                      <w:sz w:val="18"/>
                      <w:szCs w:val="18"/>
                      <w:u w:val="none"/>
                    </w:rPr>
                  </w:pPr>
                </w:p>
              </w:tc>
              <w:tc>
                <w:tcPr>
                  <w:tcW w:w="718" w:type="dxa"/>
                  <w:tcBorders>
                    <w:top w:val="single" w:color="000000" w:sz="4" w:space="0"/>
                    <w:left w:val="single" w:color="000000" w:sz="4" w:space="0"/>
                    <w:bottom w:val="single" w:color="000000" w:sz="4" w:space="0"/>
                    <w:right w:val="single" w:color="000000" w:sz="4" w:space="0"/>
                  </w:tcBorders>
                  <w:noWrap w:val="0"/>
                  <w:vAlign w:val="center"/>
                </w:tcPr>
                <w:p w14:paraId="6F0C64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挥发性有机物</w:t>
                  </w: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628F812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2.380</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533EFB7A">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0.367</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833A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0"/>
                      <w:sz w:val="18"/>
                      <w:szCs w:val="18"/>
                      <w:u w:val="none"/>
                      <w:lang w:val="en-US" w:eastAsia="zh-CN" w:bidi="ar"/>
                    </w:rPr>
                    <w:t>24.47</w:t>
                  </w:r>
                </w:p>
              </w:tc>
              <w:tc>
                <w:tcPr>
                  <w:tcW w:w="416" w:type="dxa"/>
                  <w:vMerge w:val="continue"/>
                  <w:tcBorders>
                    <w:left w:val="single" w:color="000000" w:sz="4" w:space="0"/>
                    <w:right w:val="single" w:color="000000" w:sz="4" w:space="0"/>
                  </w:tcBorders>
                  <w:noWrap w:val="0"/>
                  <w:vAlign w:val="center"/>
                </w:tcPr>
                <w:p w14:paraId="53B2B4DE">
                  <w:pPr>
                    <w:jc w:val="center"/>
                    <w:rPr>
                      <w:rFonts w:hint="eastAsia" w:ascii="宋体" w:hAnsi="宋体" w:eastAsia="宋体" w:cs="宋体"/>
                      <w:i w:val="0"/>
                      <w:iCs w:val="0"/>
                      <w:color w:val="FF0000"/>
                      <w:sz w:val="18"/>
                      <w:szCs w:val="18"/>
                      <w:u w:val="none"/>
                    </w:rPr>
                  </w:pPr>
                </w:p>
              </w:tc>
              <w:tc>
                <w:tcPr>
                  <w:tcW w:w="8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1AAB25">
                  <w:pPr>
                    <w:jc w:val="center"/>
                    <w:rPr>
                      <w:rFonts w:hint="eastAsia" w:ascii="宋体" w:hAnsi="宋体" w:eastAsia="宋体" w:cs="宋体"/>
                      <w:i w:val="0"/>
                      <w:iCs w:val="0"/>
                      <w:color w:val="auto"/>
                      <w:sz w:val="18"/>
                      <w:szCs w:val="18"/>
                      <w:u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F35311">
                  <w:pPr>
                    <w:jc w:val="center"/>
                    <w:rPr>
                      <w:rFonts w:hint="eastAsia" w:ascii="宋体" w:hAnsi="宋体" w:eastAsia="宋体" w:cs="宋体"/>
                      <w:i w:val="0"/>
                      <w:iCs w:val="0"/>
                      <w:color w:val="auto"/>
                      <w:sz w:val="18"/>
                      <w:szCs w:val="18"/>
                      <w:u w:val="none"/>
                    </w:rPr>
                  </w:pPr>
                </w:p>
              </w:tc>
              <w:tc>
                <w:tcPr>
                  <w:tcW w:w="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97369F">
                  <w:pPr>
                    <w:jc w:val="center"/>
                    <w:rPr>
                      <w:rFonts w:hint="default" w:ascii="Times New Roman" w:hAnsi="Times New Roman" w:eastAsia="宋体" w:cs="Times New Roman"/>
                      <w:i w:val="0"/>
                      <w:iCs w:val="0"/>
                      <w:color w:val="auto"/>
                      <w:sz w:val="18"/>
                      <w:szCs w:val="18"/>
                      <w:u w:val="none"/>
                    </w:rPr>
                  </w:pPr>
                </w:p>
              </w:tc>
              <w:tc>
                <w:tcPr>
                  <w:tcW w:w="6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786A33">
                  <w:pPr>
                    <w:jc w:val="center"/>
                    <w:rPr>
                      <w:rFonts w:hint="default" w:ascii="Times New Roman" w:hAnsi="Times New Roman" w:eastAsia="宋体" w:cs="Times New Roman"/>
                      <w:i w:val="0"/>
                      <w:iCs w:val="0"/>
                      <w:color w:val="auto"/>
                      <w:sz w:val="18"/>
                      <w:szCs w:val="18"/>
                      <w:u w:val="none"/>
                    </w:rPr>
                  </w:pPr>
                </w:p>
              </w:tc>
              <w:tc>
                <w:tcPr>
                  <w:tcW w:w="7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15B4EB">
                  <w:pPr>
                    <w:jc w:val="center"/>
                    <w:rPr>
                      <w:rFonts w:hint="default" w:ascii="Times New Roman" w:hAnsi="Times New Roman" w:eastAsia="宋体" w:cs="Times New Roman"/>
                      <w:i w:val="0"/>
                      <w:iCs w:val="0"/>
                      <w:color w:val="auto"/>
                      <w:sz w:val="18"/>
                      <w:szCs w:val="18"/>
                      <w:u w:val="none"/>
                    </w:rPr>
                  </w:pPr>
                </w:p>
              </w:tc>
              <w:tc>
                <w:tcPr>
                  <w:tcW w:w="629" w:type="dxa"/>
                  <w:tcBorders>
                    <w:top w:val="single" w:color="000000" w:sz="4" w:space="0"/>
                    <w:left w:val="single" w:color="000000" w:sz="4" w:space="0"/>
                    <w:bottom w:val="single" w:color="000000" w:sz="4" w:space="0"/>
                    <w:right w:val="single" w:color="000000" w:sz="4" w:space="0"/>
                  </w:tcBorders>
                  <w:noWrap w:val="0"/>
                  <w:vAlign w:val="center"/>
                </w:tcPr>
                <w:p w14:paraId="1ECDC26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873" w:type="dxa"/>
                  <w:tcBorders>
                    <w:top w:val="single" w:color="000000" w:sz="4" w:space="0"/>
                    <w:left w:val="single" w:color="000000" w:sz="4" w:space="0"/>
                    <w:bottom w:val="single" w:color="000000" w:sz="4" w:space="0"/>
                    <w:right w:val="single" w:color="auto" w:sz="4" w:space="0"/>
                  </w:tcBorders>
                  <w:noWrap w:val="0"/>
                  <w:vAlign w:val="center"/>
                </w:tcPr>
                <w:p w14:paraId="6489179F">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1307E23B">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000000" w:sz="4" w:space="0"/>
                    <w:left w:val="single" w:color="auto" w:sz="4" w:space="0"/>
                    <w:bottom w:val="single" w:color="000000" w:sz="4" w:space="0"/>
                    <w:right w:val="single" w:color="000000" w:sz="4" w:space="0"/>
                  </w:tcBorders>
                  <w:noWrap w:val="0"/>
                  <w:vAlign w:val="center"/>
                </w:tcPr>
                <w:p w14:paraId="3E1BA6B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0.2023</w:t>
                  </w:r>
                </w:p>
              </w:tc>
              <w:tc>
                <w:tcPr>
                  <w:tcW w:w="71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822A58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0.03</w:t>
                  </w:r>
                </w:p>
              </w:tc>
              <w:tc>
                <w:tcPr>
                  <w:tcW w:w="8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C71C0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1.33</w:t>
                  </w:r>
                </w:p>
              </w:tc>
              <w:tc>
                <w:tcPr>
                  <w:tcW w:w="629" w:type="dxa"/>
                  <w:vMerge w:val="continue"/>
                  <w:tcBorders>
                    <w:left w:val="single" w:color="auto" w:sz="4" w:space="0"/>
                    <w:right w:val="single" w:color="auto" w:sz="4" w:space="0"/>
                  </w:tcBorders>
                  <w:noWrap w:val="0"/>
                  <w:vAlign w:val="center"/>
                </w:tcPr>
                <w:p w14:paraId="5464310B">
                  <w:pPr>
                    <w:jc w:val="center"/>
                    <w:rPr>
                      <w:rFonts w:hint="default" w:ascii="Times New Roman" w:hAnsi="Times New Roman" w:eastAsia="宋体" w:cs="Times New Roman"/>
                      <w:i w:val="0"/>
                      <w:iCs w:val="0"/>
                      <w:color w:val="auto"/>
                      <w:sz w:val="18"/>
                      <w:szCs w:val="18"/>
                      <w:u w:val="none"/>
                    </w:rPr>
                  </w:pPr>
                </w:p>
              </w:tc>
              <w:tc>
                <w:tcPr>
                  <w:tcW w:w="806" w:type="dxa"/>
                  <w:vMerge w:val="continue"/>
                  <w:tcBorders>
                    <w:top w:val="single" w:color="auto" w:sz="4" w:space="0"/>
                    <w:left w:val="single" w:color="auto" w:sz="4" w:space="0"/>
                    <w:bottom w:val="single" w:color="auto" w:sz="4" w:space="0"/>
                    <w:right w:val="single" w:color="auto" w:sz="4" w:space="0"/>
                  </w:tcBorders>
                  <w:noWrap/>
                  <w:vAlign w:val="center"/>
                </w:tcPr>
                <w:p w14:paraId="2B561A90">
                  <w:pPr>
                    <w:jc w:val="center"/>
                    <w:rPr>
                      <w:rFonts w:hint="eastAsia" w:ascii="宋体" w:hAnsi="宋体" w:eastAsia="宋体" w:cs="宋体"/>
                      <w:i w:val="0"/>
                      <w:iCs w:val="0"/>
                      <w:color w:val="FF0000"/>
                      <w:sz w:val="18"/>
                      <w:szCs w:val="18"/>
                      <w:u w:val="none"/>
                    </w:rPr>
                  </w:pPr>
                </w:p>
              </w:tc>
            </w:tr>
            <w:tr w14:paraId="72437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jc w:val="center"/>
              </w:trPr>
              <w:tc>
                <w:tcPr>
                  <w:tcW w:w="631" w:type="dxa"/>
                  <w:vMerge w:val="restart"/>
                  <w:tcBorders>
                    <w:top w:val="single" w:color="000000" w:sz="4" w:space="0"/>
                    <w:left w:val="single" w:color="000000" w:sz="4" w:space="0"/>
                    <w:right w:val="single" w:color="000000" w:sz="4" w:space="0"/>
                  </w:tcBorders>
                  <w:noWrap w:val="0"/>
                  <w:vAlign w:val="center"/>
                </w:tcPr>
                <w:p w14:paraId="29B824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射芯</w:t>
                  </w:r>
                </w:p>
              </w:tc>
              <w:tc>
                <w:tcPr>
                  <w:tcW w:w="718" w:type="dxa"/>
                  <w:tcBorders>
                    <w:top w:val="single" w:color="000000" w:sz="4" w:space="0"/>
                    <w:left w:val="single" w:color="000000" w:sz="4" w:space="0"/>
                    <w:right w:val="single" w:color="000000" w:sz="4" w:space="0"/>
                  </w:tcBorders>
                  <w:noWrap w:val="0"/>
                  <w:vAlign w:val="center"/>
                </w:tcPr>
                <w:p w14:paraId="3DE237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629" w:type="dxa"/>
                  <w:tcBorders>
                    <w:top w:val="single" w:color="000000" w:sz="4" w:space="0"/>
                    <w:left w:val="single" w:color="000000" w:sz="4" w:space="0"/>
                    <w:right w:val="single" w:color="000000" w:sz="4" w:space="0"/>
                  </w:tcBorders>
                  <w:noWrap w:val="0"/>
                  <w:vAlign w:val="center"/>
                </w:tcPr>
                <w:p w14:paraId="0D155F5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lang w:val="en-US"/>
                    </w:rPr>
                  </w:pPr>
                  <w:r>
                    <w:rPr>
                      <w:rFonts w:hint="eastAsia" w:cs="Times New Roman"/>
                      <w:i w:val="0"/>
                      <w:iCs w:val="0"/>
                      <w:color w:val="auto"/>
                      <w:kern w:val="0"/>
                      <w:sz w:val="18"/>
                      <w:szCs w:val="18"/>
                      <w:u w:val="none"/>
                      <w:lang w:val="en-US" w:eastAsia="zh-CN" w:bidi="ar"/>
                    </w:rPr>
                    <w:t>3.3</w:t>
                  </w:r>
                </w:p>
              </w:tc>
              <w:tc>
                <w:tcPr>
                  <w:tcW w:w="770" w:type="dxa"/>
                  <w:tcBorders>
                    <w:top w:val="single" w:color="000000" w:sz="4" w:space="0"/>
                    <w:left w:val="single" w:color="000000" w:sz="4" w:space="0"/>
                    <w:right w:val="single" w:color="000000" w:sz="4" w:space="0"/>
                  </w:tcBorders>
                  <w:noWrap w:val="0"/>
                  <w:vAlign w:val="center"/>
                </w:tcPr>
                <w:p w14:paraId="26F9D8F2">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w:t>
                  </w:r>
                  <w:r>
                    <w:rPr>
                      <w:rFonts w:hint="eastAsia" w:cs="Times New Roman"/>
                      <w:i w:val="0"/>
                      <w:iCs w:val="0"/>
                      <w:color w:val="000000"/>
                      <w:kern w:val="0"/>
                      <w:sz w:val="18"/>
                      <w:szCs w:val="18"/>
                      <w:u w:val="none"/>
                      <w:lang w:val="en-US" w:eastAsia="zh-CN" w:bidi="ar"/>
                    </w:rPr>
                    <w:t>1</w:t>
                  </w:r>
                </w:p>
              </w:tc>
              <w:tc>
                <w:tcPr>
                  <w:tcW w:w="769" w:type="dxa"/>
                  <w:tcBorders>
                    <w:top w:val="single" w:color="000000" w:sz="4" w:space="0"/>
                    <w:left w:val="single" w:color="000000" w:sz="4" w:space="0"/>
                    <w:right w:val="single" w:color="000000" w:sz="4" w:space="0"/>
                  </w:tcBorders>
                  <w:shd w:val="clear" w:color="auto" w:fill="auto"/>
                  <w:noWrap w:val="0"/>
                  <w:vAlign w:val="center"/>
                </w:tcPr>
                <w:p w14:paraId="2FF3D23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0"/>
                      <w:sz w:val="18"/>
                      <w:szCs w:val="18"/>
                      <w:u w:val="none"/>
                      <w:lang w:val="en-US" w:eastAsia="zh-CN" w:bidi="ar"/>
                    </w:rPr>
                    <w:t>34</w:t>
                  </w:r>
                </w:p>
              </w:tc>
              <w:tc>
                <w:tcPr>
                  <w:tcW w:w="416" w:type="dxa"/>
                  <w:vMerge w:val="continue"/>
                  <w:tcBorders>
                    <w:left w:val="single" w:color="000000" w:sz="4" w:space="0"/>
                    <w:right w:val="single" w:color="000000" w:sz="4" w:space="0"/>
                  </w:tcBorders>
                  <w:noWrap w:val="0"/>
                  <w:vAlign w:val="center"/>
                </w:tcPr>
                <w:p w14:paraId="55726762">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p>
              </w:tc>
              <w:tc>
                <w:tcPr>
                  <w:tcW w:w="8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28B1A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集气罩</w:t>
                  </w:r>
                </w:p>
              </w:tc>
              <w:tc>
                <w:tcPr>
                  <w:tcW w:w="1069" w:type="dxa"/>
                  <w:vMerge w:val="restart"/>
                  <w:tcBorders>
                    <w:top w:val="single" w:color="000000" w:sz="4" w:space="0"/>
                    <w:left w:val="single" w:color="000000" w:sz="4" w:space="0"/>
                    <w:bottom w:val="single" w:color="000000" w:sz="4" w:space="0"/>
                    <w:right w:val="single" w:color="000000" w:sz="4" w:space="0"/>
                  </w:tcBorders>
                  <w:noWrap w:val="0"/>
                  <w:vAlign w:val="center"/>
                </w:tcPr>
                <w:p w14:paraId="3A5E3A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布袋除尘+二级活性炭吸附</w:t>
                  </w:r>
                </w:p>
              </w:tc>
              <w:tc>
                <w:tcPr>
                  <w:tcW w:w="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3B0811A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TA00</w:t>
                  </w:r>
                  <w:r>
                    <w:rPr>
                      <w:rFonts w:hint="eastAsia" w:cs="Times New Roman"/>
                      <w:i w:val="0"/>
                      <w:iCs w:val="0"/>
                      <w:color w:val="auto"/>
                      <w:kern w:val="0"/>
                      <w:sz w:val="18"/>
                      <w:szCs w:val="18"/>
                      <w:u w:val="none"/>
                      <w:lang w:val="en-US" w:eastAsia="zh-CN" w:bidi="ar"/>
                    </w:rPr>
                    <w:t>4</w:t>
                  </w:r>
                  <w:r>
                    <w:rPr>
                      <w:rFonts w:hint="default" w:ascii="Times New Roman" w:hAnsi="Times New Roman" w:eastAsia="宋体" w:cs="Times New Roman"/>
                      <w:i w:val="0"/>
                      <w:iCs w:val="0"/>
                      <w:color w:val="auto"/>
                      <w:kern w:val="0"/>
                      <w:sz w:val="18"/>
                      <w:szCs w:val="18"/>
                      <w:u w:val="none"/>
                      <w:lang w:val="en-US" w:eastAsia="zh-CN" w:bidi="ar"/>
                    </w:rPr>
                    <w:t>-1</w:t>
                  </w:r>
                </w:p>
              </w:tc>
              <w:tc>
                <w:tcPr>
                  <w:tcW w:w="682" w:type="dxa"/>
                  <w:vMerge w:val="restart"/>
                  <w:tcBorders>
                    <w:top w:val="single" w:color="000000" w:sz="4" w:space="0"/>
                    <w:left w:val="single" w:color="000000" w:sz="4" w:space="0"/>
                    <w:right w:val="single" w:color="000000" w:sz="4" w:space="0"/>
                  </w:tcBorders>
                  <w:noWrap w:val="0"/>
                  <w:vAlign w:val="center"/>
                </w:tcPr>
                <w:p w14:paraId="0CAEAE5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eastAsia" w:cs="Times New Roman"/>
                      <w:i w:val="0"/>
                      <w:iCs w:val="0"/>
                      <w:color w:val="auto"/>
                      <w:kern w:val="0"/>
                      <w:sz w:val="18"/>
                      <w:szCs w:val="18"/>
                      <w:u w:val="none"/>
                      <w:lang w:val="en-US" w:eastAsia="zh-CN" w:bidi="ar"/>
                    </w:rPr>
                    <w:t>80</w:t>
                  </w:r>
                  <w:r>
                    <w:rPr>
                      <w:rFonts w:hint="default" w:ascii="Times New Roman" w:hAnsi="Times New Roman" w:eastAsia="宋体" w:cs="Times New Roman"/>
                      <w:i w:val="0"/>
                      <w:iCs w:val="0"/>
                      <w:color w:val="auto"/>
                      <w:kern w:val="0"/>
                      <w:sz w:val="18"/>
                      <w:szCs w:val="18"/>
                      <w:u w:val="none"/>
                      <w:lang w:val="en-US" w:eastAsia="zh-CN" w:bidi="ar"/>
                    </w:rPr>
                    <w:t>00</w:t>
                  </w:r>
                </w:p>
              </w:tc>
              <w:tc>
                <w:tcPr>
                  <w:tcW w:w="700" w:type="dxa"/>
                  <w:tcBorders>
                    <w:top w:val="single" w:color="000000" w:sz="4" w:space="0"/>
                    <w:left w:val="single" w:color="000000" w:sz="4" w:space="0"/>
                    <w:right w:val="single" w:color="000000" w:sz="4" w:space="0"/>
                  </w:tcBorders>
                  <w:noWrap w:val="0"/>
                  <w:vAlign w:val="center"/>
                </w:tcPr>
                <w:p w14:paraId="43579FA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629" w:type="dxa"/>
                  <w:tcBorders>
                    <w:top w:val="single" w:color="000000" w:sz="4" w:space="0"/>
                    <w:left w:val="single" w:color="000000" w:sz="4" w:space="0"/>
                    <w:right w:val="single" w:color="000000" w:sz="4" w:space="0"/>
                  </w:tcBorders>
                  <w:noWrap w:val="0"/>
                  <w:vAlign w:val="center"/>
                </w:tcPr>
                <w:p w14:paraId="2347FF4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tcBorders>
                    <w:top w:val="single" w:color="000000" w:sz="4" w:space="0"/>
                    <w:left w:val="single" w:color="000000" w:sz="4" w:space="0"/>
                    <w:right w:val="single" w:color="auto" w:sz="4" w:space="0"/>
                  </w:tcBorders>
                  <w:noWrap w:val="0"/>
                  <w:vAlign w:val="center"/>
                </w:tcPr>
                <w:p w14:paraId="5C47EF0F">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608DF616">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000000" w:sz="4" w:space="0"/>
                    <w:left w:val="single" w:color="auto" w:sz="4" w:space="0"/>
                    <w:right w:val="single" w:color="000000" w:sz="4" w:space="0"/>
                  </w:tcBorders>
                  <w:noWrap w:val="0"/>
                  <w:vAlign w:val="center"/>
                </w:tcPr>
                <w:p w14:paraId="7B4E945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0.01485</w:t>
                  </w:r>
                </w:p>
              </w:tc>
              <w:tc>
                <w:tcPr>
                  <w:tcW w:w="71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95EFC4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0.002</w:t>
                  </w:r>
                  <w:r>
                    <w:rPr>
                      <w:rFonts w:hint="eastAsia" w:cs="Times New Roman"/>
                      <w:i w:val="0"/>
                      <w:iCs w:val="0"/>
                      <w:color w:val="000000"/>
                      <w:kern w:val="0"/>
                      <w:sz w:val="18"/>
                      <w:szCs w:val="18"/>
                      <w:u w:val="none"/>
                      <w:lang w:val="en-US" w:eastAsia="zh-CN" w:bidi="ar"/>
                    </w:rPr>
                    <w:t>3</w:t>
                  </w:r>
                </w:p>
              </w:tc>
              <w:tc>
                <w:tcPr>
                  <w:tcW w:w="8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CD0E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17.2</w:t>
                  </w:r>
                </w:p>
              </w:tc>
              <w:tc>
                <w:tcPr>
                  <w:tcW w:w="629" w:type="dxa"/>
                  <w:vMerge w:val="continue"/>
                  <w:tcBorders>
                    <w:left w:val="single" w:color="auto" w:sz="4" w:space="0"/>
                    <w:right w:val="single" w:color="auto" w:sz="4" w:space="0"/>
                  </w:tcBorders>
                  <w:noWrap w:val="0"/>
                  <w:vAlign w:val="center"/>
                </w:tcPr>
                <w:p w14:paraId="5EDC2511">
                  <w:pPr>
                    <w:jc w:val="center"/>
                    <w:rPr>
                      <w:rFonts w:hint="default" w:ascii="Times New Roman" w:hAnsi="Times New Roman" w:eastAsia="宋体" w:cs="Times New Roman"/>
                      <w:i w:val="0"/>
                      <w:iCs w:val="0"/>
                      <w:color w:val="auto"/>
                      <w:sz w:val="18"/>
                      <w:szCs w:val="18"/>
                      <w:u w:val="none"/>
                    </w:rPr>
                  </w:pPr>
                </w:p>
              </w:tc>
              <w:tc>
                <w:tcPr>
                  <w:tcW w:w="806" w:type="dxa"/>
                  <w:vMerge w:val="continue"/>
                  <w:tcBorders>
                    <w:top w:val="single" w:color="auto" w:sz="4" w:space="0"/>
                    <w:left w:val="single" w:color="auto" w:sz="4" w:space="0"/>
                    <w:bottom w:val="single" w:color="auto" w:sz="4" w:space="0"/>
                    <w:right w:val="single" w:color="auto" w:sz="4" w:space="0"/>
                  </w:tcBorders>
                  <w:noWrap/>
                  <w:vAlign w:val="center"/>
                </w:tcPr>
                <w:p w14:paraId="1272F546">
                  <w:pPr>
                    <w:jc w:val="center"/>
                    <w:rPr>
                      <w:rFonts w:hint="eastAsia" w:ascii="宋体" w:hAnsi="宋体" w:eastAsia="宋体" w:cs="宋体"/>
                      <w:i w:val="0"/>
                      <w:iCs w:val="0"/>
                      <w:color w:val="FF0000"/>
                      <w:sz w:val="18"/>
                      <w:szCs w:val="18"/>
                      <w:u w:val="none"/>
                    </w:rPr>
                  </w:pPr>
                </w:p>
              </w:tc>
            </w:tr>
            <w:tr w14:paraId="76E34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31" w:type="dxa"/>
                  <w:vMerge w:val="continue"/>
                  <w:tcBorders>
                    <w:left w:val="single" w:color="000000" w:sz="4" w:space="0"/>
                    <w:bottom w:val="single" w:color="000000" w:sz="4" w:space="0"/>
                    <w:right w:val="single" w:color="000000" w:sz="4" w:space="0"/>
                  </w:tcBorders>
                  <w:noWrap w:val="0"/>
                  <w:vAlign w:val="center"/>
                </w:tcPr>
                <w:p w14:paraId="5FF55EC0">
                  <w:pPr>
                    <w:jc w:val="center"/>
                    <w:rPr>
                      <w:rFonts w:hint="eastAsia" w:ascii="宋体" w:hAnsi="宋体" w:eastAsia="宋体" w:cs="宋体"/>
                      <w:i w:val="0"/>
                      <w:iCs w:val="0"/>
                      <w:color w:val="auto"/>
                      <w:sz w:val="18"/>
                      <w:szCs w:val="18"/>
                      <w:u w:val="none"/>
                    </w:rPr>
                  </w:pPr>
                </w:p>
              </w:tc>
              <w:tc>
                <w:tcPr>
                  <w:tcW w:w="718" w:type="dxa"/>
                  <w:tcBorders>
                    <w:top w:val="single" w:color="000000" w:sz="4" w:space="0"/>
                    <w:left w:val="single" w:color="000000" w:sz="4" w:space="0"/>
                    <w:bottom w:val="single" w:color="000000" w:sz="4" w:space="0"/>
                    <w:right w:val="single" w:color="000000" w:sz="4" w:space="0"/>
                  </w:tcBorders>
                  <w:noWrap w:val="0"/>
                  <w:vAlign w:val="center"/>
                </w:tcPr>
                <w:p w14:paraId="284AA0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挥发性有机物</w:t>
                  </w:r>
                </w:p>
              </w:tc>
              <w:tc>
                <w:tcPr>
                  <w:tcW w:w="629" w:type="dxa"/>
                  <w:tcBorders>
                    <w:top w:val="single" w:color="000000" w:sz="4" w:space="0"/>
                    <w:left w:val="single" w:color="000000" w:sz="4" w:space="0"/>
                    <w:bottom w:val="single" w:color="auto" w:sz="4" w:space="0"/>
                    <w:right w:val="single" w:color="000000" w:sz="4" w:space="0"/>
                  </w:tcBorders>
                  <w:noWrap w:val="0"/>
                  <w:vAlign w:val="center"/>
                </w:tcPr>
                <w:p w14:paraId="4C28C1A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w:t>
                  </w:r>
                  <w:r>
                    <w:rPr>
                      <w:rFonts w:hint="eastAsia" w:cs="Times New Roman"/>
                      <w:i w:val="0"/>
                      <w:iCs w:val="0"/>
                      <w:color w:val="auto"/>
                      <w:kern w:val="0"/>
                      <w:sz w:val="18"/>
                      <w:szCs w:val="18"/>
                      <w:u w:val="none"/>
                      <w:lang w:val="en-US" w:eastAsia="zh-CN" w:bidi="ar"/>
                    </w:rPr>
                    <w:t>5</w:t>
                  </w:r>
                </w:p>
              </w:tc>
              <w:tc>
                <w:tcPr>
                  <w:tcW w:w="770" w:type="dxa"/>
                  <w:tcBorders>
                    <w:top w:val="single" w:color="000000" w:sz="4" w:space="0"/>
                    <w:left w:val="single" w:color="000000" w:sz="4" w:space="0"/>
                    <w:bottom w:val="single" w:color="auto" w:sz="4" w:space="0"/>
                    <w:right w:val="single" w:color="000000" w:sz="4" w:space="0"/>
                  </w:tcBorders>
                  <w:noWrap w:val="0"/>
                  <w:vAlign w:val="center"/>
                </w:tcPr>
                <w:p w14:paraId="276C54B4">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0.077</w:t>
                  </w:r>
                </w:p>
              </w:tc>
              <w:tc>
                <w:tcPr>
                  <w:tcW w:w="769"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39BE184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0"/>
                      <w:sz w:val="18"/>
                      <w:szCs w:val="18"/>
                      <w:u w:val="none"/>
                      <w:lang w:val="en-US" w:eastAsia="zh-CN" w:bidi="ar"/>
                    </w:rPr>
                    <w:t>5.13</w:t>
                  </w:r>
                </w:p>
              </w:tc>
              <w:tc>
                <w:tcPr>
                  <w:tcW w:w="416" w:type="dxa"/>
                  <w:vMerge w:val="continue"/>
                  <w:tcBorders>
                    <w:left w:val="single" w:color="000000" w:sz="4" w:space="0"/>
                    <w:right w:val="single" w:color="000000" w:sz="4" w:space="0"/>
                  </w:tcBorders>
                  <w:noWrap w:val="0"/>
                  <w:vAlign w:val="center"/>
                </w:tcPr>
                <w:p w14:paraId="6A891624">
                  <w:pPr>
                    <w:jc w:val="center"/>
                    <w:rPr>
                      <w:rFonts w:hint="eastAsia" w:ascii="宋体" w:hAnsi="宋体" w:eastAsia="宋体" w:cs="宋体"/>
                      <w:i w:val="0"/>
                      <w:iCs w:val="0"/>
                      <w:color w:val="FF0000"/>
                      <w:sz w:val="18"/>
                      <w:szCs w:val="18"/>
                      <w:u w:val="none"/>
                    </w:rPr>
                  </w:pPr>
                </w:p>
              </w:tc>
              <w:tc>
                <w:tcPr>
                  <w:tcW w:w="8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0DF26">
                  <w:pPr>
                    <w:jc w:val="center"/>
                    <w:rPr>
                      <w:rFonts w:hint="eastAsia" w:ascii="宋体" w:hAnsi="宋体" w:eastAsia="宋体" w:cs="宋体"/>
                      <w:i w:val="0"/>
                      <w:iCs w:val="0"/>
                      <w:color w:val="auto"/>
                      <w:sz w:val="18"/>
                      <w:szCs w:val="18"/>
                      <w:u w:val="none"/>
                    </w:rPr>
                  </w:pPr>
                </w:p>
              </w:tc>
              <w:tc>
                <w:tcPr>
                  <w:tcW w:w="10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034C44">
                  <w:pPr>
                    <w:jc w:val="center"/>
                    <w:rPr>
                      <w:rFonts w:hint="eastAsia" w:ascii="宋体" w:hAnsi="宋体" w:eastAsia="宋体" w:cs="宋体"/>
                      <w:i w:val="0"/>
                      <w:iCs w:val="0"/>
                      <w:color w:val="auto"/>
                      <w:sz w:val="18"/>
                      <w:szCs w:val="18"/>
                      <w:u w:val="none"/>
                    </w:rPr>
                  </w:pPr>
                </w:p>
              </w:tc>
              <w:tc>
                <w:tcPr>
                  <w:tcW w:w="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10CA35">
                  <w:pPr>
                    <w:jc w:val="center"/>
                    <w:rPr>
                      <w:rFonts w:hint="default" w:ascii="Times New Roman" w:hAnsi="Times New Roman" w:eastAsia="宋体" w:cs="Times New Roman"/>
                      <w:i w:val="0"/>
                      <w:iCs w:val="0"/>
                      <w:color w:val="auto"/>
                      <w:sz w:val="18"/>
                      <w:szCs w:val="18"/>
                      <w:u w:val="none"/>
                    </w:rPr>
                  </w:pPr>
                </w:p>
              </w:tc>
              <w:tc>
                <w:tcPr>
                  <w:tcW w:w="682" w:type="dxa"/>
                  <w:vMerge w:val="continue"/>
                  <w:tcBorders>
                    <w:left w:val="single" w:color="000000" w:sz="4" w:space="0"/>
                    <w:bottom w:val="single" w:color="auto" w:sz="4" w:space="0"/>
                    <w:right w:val="single" w:color="000000" w:sz="4" w:space="0"/>
                  </w:tcBorders>
                  <w:noWrap w:val="0"/>
                  <w:vAlign w:val="center"/>
                </w:tcPr>
                <w:p w14:paraId="1714E688">
                  <w:pPr>
                    <w:jc w:val="center"/>
                    <w:rPr>
                      <w:rFonts w:hint="default" w:ascii="Times New Roman" w:hAnsi="Times New Roman" w:eastAsia="宋体" w:cs="Times New Roman"/>
                      <w:i w:val="0"/>
                      <w:iCs w:val="0"/>
                      <w:color w:val="auto"/>
                      <w:sz w:val="18"/>
                      <w:szCs w:val="18"/>
                      <w:u w:val="none"/>
                    </w:rPr>
                  </w:pPr>
                </w:p>
              </w:tc>
              <w:tc>
                <w:tcPr>
                  <w:tcW w:w="700" w:type="dxa"/>
                  <w:tcBorders>
                    <w:top w:val="single" w:color="000000" w:sz="4" w:space="0"/>
                    <w:left w:val="single" w:color="000000" w:sz="4" w:space="0"/>
                    <w:bottom w:val="single" w:color="auto" w:sz="4" w:space="0"/>
                    <w:right w:val="single" w:color="000000" w:sz="4" w:space="0"/>
                  </w:tcBorders>
                  <w:noWrap w:val="0"/>
                  <w:vAlign w:val="center"/>
                </w:tcPr>
                <w:p w14:paraId="0579271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629" w:type="dxa"/>
                  <w:tcBorders>
                    <w:top w:val="single" w:color="000000" w:sz="4" w:space="0"/>
                    <w:left w:val="single" w:color="000000" w:sz="4" w:space="0"/>
                    <w:bottom w:val="single" w:color="auto" w:sz="4" w:space="0"/>
                    <w:right w:val="single" w:color="000000" w:sz="4" w:space="0"/>
                  </w:tcBorders>
                  <w:noWrap w:val="0"/>
                  <w:vAlign w:val="center"/>
                </w:tcPr>
                <w:p w14:paraId="5C53D28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873" w:type="dxa"/>
                  <w:tcBorders>
                    <w:top w:val="single" w:color="000000" w:sz="4" w:space="0"/>
                    <w:left w:val="single" w:color="000000" w:sz="4" w:space="0"/>
                    <w:bottom w:val="single" w:color="000000" w:sz="4" w:space="0"/>
                    <w:right w:val="single" w:color="auto" w:sz="4" w:space="0"/>
                  </w:tcBorders>
                  <w:noWrap w:val="0"/>
                  <w:vAlign w:val="center"/>
                </w:tcPr>
                <w:p w14:paraId="3A45E94E">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3C227A1E">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000000" w:sz="4" w:space="0"/>
                    <w:left w:val="single" w:color="auto" w:sz="4" w:space="0"/>
                    <w:bottom w:val="single" w:color="auto" w:sz="4" w:space="0"/>
                    <w:right w:val="single" w:color="000000" w:sz="4" w:space="0"/>
                  </w:tcBorders>
                  <w:noWrap w:val="0"/>
                  <w:vAlign w:val="center"/>
                </w:tcPr>
                <w:p w14:paraId="088A99A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0.0045</w:t>
                  </w:r>
                </w:p>
              </w:tc>
              <w:tc>
                <w:tcPr>
                  <w:tcW w:w="716" w:type="dxa"/>
                  <w:tcBorders>
                    <w:top w:val="single" w:color="000000" w:sz="4" w:space="0"/>
                    <w:left w:val="single" w:color="000000" w:sz="4" w:space="0"/>
                    <w:bottom w:val="single" w:color="auto" w:sz="4" w:space="0"/>
                    <w:right w:val="single" w:color="auto" w:sz="4" w:space="0"/>
                  </w:tcBorders>
                  <w:shd w:val="clear" w:color="auto" w:fill="auto"/>
                  <w:noWrap w:val="0"/>
                  <w:vAlign w:val="center"/>
                </w:tcPr>
                <w:p w14:paraId="0E9AAAD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0.000</w:t>
                  </w:r>
                  <w:r>
                    <w:rPr>
                      <w:rFonts w:hint="eastAsia" w:cs="Times New Roman"/>
                      <w:i w:val="0"/>
                      <w:iCs w:val="0"/>
                      <w:color w:val="000000"/>
                      <w:kern w:val="0"/>
                      <w:sz w:val="18"/>
                      <w:szCs w:val="18"/>
                      <w:u w:val="none"/>
                      <w:lang w:val="en-US" w:eastAsia="zh-CN" w:bidi="ar"/>
                    </w:rPr>
                    <w:t>7</w:t>
                  </w:r>
                </w:p>
              </w:tc>
              <w:tc>
                <w:tcPr>
                  <w:tcW w:w="8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B13A6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1.33</w:t>
                  </w:r>
                </w:p>
              </w:tc>
              <w:tc>
                <w:tcPr>
                  <w:tcW w:w="629" w:type="dxa"/>
                  <w:vMerge w:val="continue"/>
                  <w:tcBorders>
                    <w:left w:val="single" w:color="auto" w:sz="4" w:space="0"/>
                    <w:bottom w:val="single" w:color="auto" w:sz="4" w:space="0"/>
                    <w:right w:val="single" w:color="auto" w:sz="4" w:space="0"/>
                  </w:tcBorders>
                  <w:noWrap w:val="0"/>
                  <w:vAlign w:val="center"/>
                </w:tcPr>
                <w:p w14:paraId="4327737F">
                  <w:pPr>
                    <w:jc w:val="center"/>
                    <w:rPr>
                      <w:rFonts w:hint="default" w:ascii="Times New Roman" w:hAnsi="Times New Roman" w:eastAsia="宋体" w:cs="Times New Roman"/>
                      <w:i w:val="0"/>
                      <w:iCs w:val="0"/>
                      <w:color w:val="auto"/>
                      <w:sz w:val="18"/>
                      <w:szCs w:val="18"/>
                      <w:u w:val="none"/>
                    </w:rPr>
                  </w:pPr>
                </w:p>
              </w:tc>
              <w:tc>
                <w:tcPr>
                  <w:tcW w:w="806" w:type="dxa"/>
                  <w:vMerge w:val="continue"/>
                  <w:tcBorders>
                    <w:top w:val="single" w:color="auto" w:sz="4" w:space="0"/>
                    <w:left w:val="single" w:color="auto" w:sz="4" w:space="0"/>
                    <w:bottom w:val="single" w:color="auto" w:sz="4" w:space="0"/>
                    <w:right w:val="single" w:color="auto" w:sz="4" w:space="0"/>
                  </w:tcBorders>
                  <w:noWrap/>
                  <w:vAlign w:val="center"/>
                </w:tcPr>
                <w:p w14:paraId="0CC95D50">
                  <w:pPr>
                    <w:jc w:val="center"/>
                    <w:rPr>
                      <w:rFonts w:hint="eastAsia" w:ascii="宋体" w:hAnsi="宋体" w:eastAsia="宋体" w:cs="宋体"/>
                      <w:i w:val="0"/>
                      <w:iCs w:val="0"/>
                      <w:color w:val="FF0000"/>
                      <w:sz w:val="18"/>
                      <w:szCs w:val="18"/>
                      <w:u w:val="none"/>
                    </w:rPr>
                  </w:pPr>
                </w:p>
              </w:tc>
            </w:tr>
            <w:tr w14:paraId="493F6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631" w:type="dxa"/>
                  <w:vMerge w:val="restart"/>
                  <w:tcBorders>
                    <w:top w:val="single" w:color="000000" w:sz="4" w:space="0"/>
                    <w:left w:val="single" w:color="000000" w:sz="4" w:space="0"/>
                    <w:right w:val="single" w:color="000000" w:sz="4" w:space="0"/>
                  </w:tcBorders>
                  <w:noWrap w:val="0"/>
                  <w:vAlign w:val="center"/>
                </w:tcPr>
                <w:p w14:paraId="429E62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抛丸</w:t>
                  </w:r>
                </w:p>
              </w:tc>
              <w:tc>
                <w:tcPr>
                  <w:tcW w:w="718" w:type="dxa"/>
                  <w:vMerge w:val="restart"/>
                  <w:tcBorders>
                    <w:top w:val="single" w:color="000000" w:sz="4" w:space="0"/>
                    <w:left w:val="single" w:color="000000" w:sz="4" w:space="0"/>
                    <w:right w:val="single" w:color="auto" w:sz="4" w:space="0"/>
                  </w:tcBorders>
                  <w:noWrap w:val="0"/>
                  <w:vAlign w:val="center"/>
                </w:tcPr>
                <w:p w14:paraId="61D88F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629" w:type="dxa"/>
                  <w:tcBorders>
                    <w:top w:val="single" w:color="auto" w:sz="4" w:space="0"/>
                    <w:left w:val="single" w:color="auto" w:sz="4" w:space="0"/>
                    <w:bottom w:val="single" w:color="auto" w:sz="4" w:space="0"/>
                    <w:right w:val="single" w:color="auto" w:sz="4" w:space="0"/>
                  </w:tcBorders>
                  <w:noWrap w:val="0"/>
                  <w:vAlign w:val="center"/>
                </w:tcPr>
                <w:p w14:paraId="0C212BD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ascii="Times New Roman" w:hAnsi="Times New Roman" w:eastAsia="宋体" w:cs="Times New Roman"/>
                      <w:i w:val="0"/>
                      <w:iCs w:val="0"/>
                      <w:color w:val="auto"/>
                      <w:kern w:val="0"/>
                      <w:sz w:val="18"/>
                      <w:szCs w:val="18"/>
                      <w:u w:val="none"/>
                      <w:lang w:val="en-US" w:eastAsia="zh-CN" w:bidi="ar"/>
                    </w:rPr>
                    <w:t>10.95</w:t>
                  </w:r>
                </w:p>
              </w:tc>
              <w:tc>
                <w:tcPr>
                  <w:tcW w:w="770" w:type="dxa"/>
                  <w:tcBorders>
                    <w:top w:val="single" w:color="auto" w:sz="4" w:space="0"/>
                    <w:left w:val="single" w:color="auto" w:sz="4" w:space="0"/>
                    <w:bottom w:val="single" w:color="auto" w:sz="4" w:space="0"/>
                    <w:right w:val="single" w:color="auto" w:sz="4" w:space="0"/>
                  </w:tcBorders>
                  <w:noWrap w:val="0"/>
                  <w:vAlign w:val="center"/>
                </w:tcPr>
                <w:p w14:paraId="27C914DD">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lang w:val="en-US"/>
                    </w:rPr>
                  </w:pPr>
                  <w:r>
                    <w:rPr>
                      <w:rFonts w:hint="eastAsia" w:cs="Times New Roman"/>
                      <w:i w:val="0"/>
                      <w:iCs w:val="0"/>
                      <w:color w:val="000000"/>
                      <w:kern w:val="0"/>
                      <w:sz w:val="18"/>
                      <w:szCs w:val="18"/>
                      <w:u w:val="none"/>
                      <w:lang w:val="en-US" w:eastAsia="zh-CN" w:bidi="ar"/>
                    </w:rPr>
                    <w:t>1.69</w:t>
                  </w:r>
                </w:p>
              </w:tc>
              <w:tc>
                <w:tcPr>
                  <w:tcW w:w="7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2BDD5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0"/>
                      <w:sz w:val="18"/>
                      <w:szCs w:val="18"/>
                      <w:u w:val="none"/>
                      <w:lang w:val="en-US" w:eastAsia="zh-CN" w:bidi="ar"/>
                    </w:rPr>
                    <w:t>845</w:t>
                  </w:r>
                </w:p>
              </w:tc>
              <w:tc>
                <w:tcPr>
                  <w:tcW w:w="416" w:type="dxa"/>
                  <w:vMerge w:val="continue"/>
                  <w:tcBorders>
                    <w:left w:val="single" w:color="auto" w:sz="4" w:space="0"/>
                    <w:right w:val="single" w:color="000000" w:sz="4" w:space="0"/>
                  </w:tcBorders>
                  <w:noWrap w:val="0"/>
                  <w:vAlign w:val="center"/>
                </w:tcPr>
                <w:p w14:paraId="1B6A0978">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p>
              </w:tc>
              <w:tc>
                <w:tcPr>
                  <w:tcW w:w="817" w:type="dxa"/>
                  <w:vMerge w:val="restart"/>
                  <w:tcBorders>
                    <w:top w:val="single" w:color="000000" w:sz="4" w:space="0"/>
                    <w:left w:val="single" w:color="000000" w:sz="4" w:space="0"/>
                    <w:right w:val="single" w:color="000000" w:sz="4" w:space="0"/>
                  </w:tcBorders>
                  <w:noWrap w:val="0"/>
                  <w:vAlign w:val="center"/>
                </w:tcPr>
                <w:p w14:paraId="62AD173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1069" w:type="dxa"/>
                  <w:vMerge w:val="restart"/>
                  <w:tcBorders>
                    <w:top w:val="single" w:color="000000" w:sz="4" w:space="0"/>
                    <w:left w:val="single" w:color="000000" w:sz="4" w:space="0"/>
                    <w:right w:val="single" w:color="000000" w:sz="4" w:space="0"/>
                  </w:tcBorders>
                  <w:noWrap w:val="0"/>
                  <w:vAlign w:val="center"/>
                </w:tcPr>
                <w:p w14:paraId="6AC0E9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自带布袋除尘</w:t>
                  </w:r>
                </w:p>
              </w:tc>
              <w:tc>
                <w:tcPr>
                  <w:tcW w:w="617" w:type="dxa"/>
                  <w:tcBorders>
                    <w:top w:val="single" w:color="000000" w:sz="4" w:space="0"/>
                    <w:left w:val="single" w:color="000000" w:sz="4" w:space="0"/>
                    <w:bottom w:val="single" w:color="000000" w:sz="4" w:space="0"/>
                    <w:right w:val="single" w:color="auto" w:sz="4" w:space="0"/>
                  </w:tcBorders>
                  <w:noWrap w:val="0"/>
                  <w:vAlign w:val="center"/>
                </w:tcPr>
                <w:p w14:paraId="570D7F3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lang w:val="en-US"/>
                    </w:rPr>
                  </w:pPr>
                  <w:r>
                    <w:rPr>
                      <w:rFonts w:hint="default" w:ascii="Times New Roman" w:hAnsi="Times New Roman" w:eastAsia="宋体" w:cs="Times New Roman"/>
                      <w:i w:val="0"/>
                      <w:iCs w:val="0"/>
                      <w:color w:val="auto"/>
                      <w:kern w:val="0"/>
                      <w:sz w:val="18"/>
                      <w:szCs w:val="18"/>
                      <w:u w:val="none"/>
                      <w:lang w:val="en-US" w:eastAsia="zh-CN" w:bidi="ar"/>
                    </w:rPr>
                    <w:t>TA00</w:t>
                  </w:r>
                  <w:r>
                    <w:rPr>
                      <w:rFonts w:hint="eastAsia" w:cs="Times New Roman"/>
                      <w:i w:val="0"/>
                      <w:iCs w:val="0"/>
                      <w:color w:val="auto"/>
                      <w:kern w:val="0"/>
                      <w:sz w:val="18"/>
                      <w:szCs w:val="18"/>
                      <w:u w:val="none"/>
                      <w:lang w:val="en-US" w:eastAsia="zh-CN" w:bidi="ar"/>
                    </w:rPr>
                    <w:t>5</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0AAD323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lang w:val="en-US"/>
                    </w:rPr>
                  </w:pPr>
                  <w:r>
                    <w:rPr>
                      <w:rFonts w:hint="eastAsia" w:cs="Times New Roman"/>
                      <w:i w:val="0"/>
                      <w:iCs w:val="0"/>
                      <w:color w:val="auto"/>
                      <w:kern w:val="0"/>
                      <w:sz w:val="18"/>
                      <w:szCs w:val="18"/>
                      <w:u w:val="none"/>
                      <w:lang w:val="en-US" w:eastAsia="zh-CN" w:bidi="ar"/>
                    </w:rPr>
                    <w:t>2000</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17F50F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eastAsia" w:ascii="Times New Roman" w:hAnsi="Times New Roman" w:eastAsia="宋体" w:cs="Times New Roman"/>
                      <w:i w:val="0"/>
                      <w:iCs w:val="0"/>
                      <w:color w:val="auto"/>
                      <w:kern w:val="0"/>
                      <w:sz w:val="18"/>
                      <w:szCs w:val="18"/>
                      <w:u w:val="none"/>
                      <w:lang w:val="en-US" w:eastAsia="zh-CN" w:bidi="ar"/>
                    </w:rPr>
                    <w:t>95</w:t>
                  </w:r>
                  <w:r>
                    <w:rPr>
                      <w:rFonts w:hint="default" w:ascii="Times New Roman" w:hAnsi="Times New Roman" w:eastAsia="宋体" w:cs="Times New Roman"/>
                      <w:i w:val="0"/>
                      <w:iCs w:val="0"/>
                      <w:color w:val="auto"/>
                      <w:kern w:val="0"/>
                      <w:sz w:val="18"/>
                      <w:szCs w:val="18"/>
                      <w:u w:val="none"/>
                      <w:lang w:val="en-US" w:eastAsia="zh-CN" w:bidi="ar"/>
                    </w:rPr>
                    <w:t>%</w:t>
                  </w:r>
                </w:p>
              </w:tc>
              <w:tc>
                <w:tcPr>
                  <w:tcW w:w="629" w:type="dxa"/>
                  <w:tcBorders>
                    <w:top w:val="single" w:color="auto" w:sz="4" w:space="0"/>
                    <w:left w:val="single" w:color="auto" w:sz="4" w:space="0"/>
                    <w:bottom w:val="single" w:color="auto" w:sz="4" w:space="0"/>
                    <w:right w:val="single" w:color="auto" w:sz="4" w:space="0"/>
                  </w:tcBorders>
                  <w:noWrap w:val="0"/>
                  <w:vAlign w:val="center"/>
                </w:tcPr>
                <w:p w14:paraId="3C609F4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vMerge w:val="restart"/>
                  <w:tcBorders>
                    <w:top w:val="single" w:color="000000" w:sz="4" w:space="0"/>
                    <w:left w:val="single" w:color="auto" w:sz="4" w:space="0"/>
                    <w:right w:val="single" w:color="auto" w:sz="4" w:space="0"/>
                  </w:tcBorders>
                  <w:noWrap w:val="0"/>
                  <w:vAlign w:val="center"/>
                </w:tcPr>
                <w:p w14:paraId="12C9CF16">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79614521">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auto" w:sz="4" w:space="0"/>
                    <w:left w:val="single" w:color="auto" w:sz="4" w:space="0"/>
                    <w:bottom w:val="single" w:color="auto" w:sz="4" w:space="0"/>
                    <w:right w:val="single" w:color="auto" w:sz="4" w:space="0"/>
                  </w:tcBorders>
                  <w:noWrap w:val="0"/>
                  <w:vAlign w:val="center"/>
                </w:tcPr>
                <w:p w14:paraId="06B1B3D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lang w:val="en-US"/>
                    </w:rPr>
                  </w:pPr>
                  <w:r>
                    <w:rPr>
                      <w:rFonts w:hint="default" w:ascii="Times New Roman" w:hAnsi="Times New Roman" w:eastAsia="宋体" w:cs="Times New Roman"/>
                      <w:i w:val="0"/>
                      <w:iCs w:val="0"/>
                      <w:color w:val="auto"/>
                      <w:kern w:val="0"/>
                      <w:sz w:val="18"/>
                      <w:szCs w:val="18"/>
                      <w:u w:val="none"/>
                      <w:lang w:val="en-US" w:eastAsia="zh-CN" w:bidi="ar"/>
                    </w:rPr>
                    <w:t>0.</w:t>
                  </w:r>
                  <w:r>
                    <w:rPr>
                      <w:rFonts w:hint="eastAsia" w:cs="Times New Roman"/>
                      <w:i w:val="0"/>
                      <w:iCs w:val="0"/>
                      <w:color w:val="auto"/>
                      <w:kern w:val="0"/>
                      <w:sz w:val="18"/>
                      <w:szCs w:val="18"/>
                      <w:u w:val="none"/>
                      <w:lang w:val="en-US" w:eastAsia="zh-CN" w:bidi="ar"/>
                    </w:rPr>
                    <w:t>052</w:t>
                  </w:r>
                </w:p>
              </w:tc>
              <w:tc>
                <w:tcPr>
                  <w:tcW w:w="7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C46ED2">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0.0</w:t>
                  </w:r>
                  <w:r>
                    <w:rPr>
                      <w:rFonts w:hint="eastAsia" w:cs="Times New Roman"/>
                      <w:i w:val="0"/>
                      <w:iCs w:val="0"/>
                      <w:color w:val="000000"/>
                      <w:kern w:val="0"/>
                      <w:sz w:val="18"/>
                      <w:szCs w:val="18"/>
                      <w:u w:val="none"/>
                      <w:lang w:val="en-US" w:eastAsia="zh-CN" w:bidi="ar"/>
                    </w:rPr>
                    <w:t>08</w:t>
                  </w:r>
                </w:p>
              </w:tc>
              <w:tc>
                <w:tcPr>
                  <w:tcW w:w="8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607D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4</w:t>
                  </w:r>
                </w:p>
              </w:tc>
              <w:tc>
                <w:tcPr>
                  <w:tcW w:w="629" w:type="dxa"/>
                  <w:tcBorders>
                    <w:top w:val="single" w:color="auto" w:sz="4" w:space="0"/>
                    <w:left w:val="single" w:color="auto" w:sz="4" w:space="0"/>
                    <w:bottom w:val="single" w:color="auto" w:sz="4" w:space="0"/>
                    <w:right w:val="single" w:color="auto" w:sz="4" w:space="0"/>
                  </w:tcBorders>
                  <w:noWrap w:val="0"/>
                  <w:vAlign w:val="center"/>
                </w:tcPr>
                <w:p w14:paraId="741B66AF">
                  <w:pPr>
                    <w:jc w:val="center"/>
                    <w:rPr>
                      <w:rFonts w:hint="default" w:ascii="Times New Roman" w:hAnsi="Times New Roman" w:eastAsia="宋体" w:cs="Times New Roman"/>
                      <w:i w:val="0"/>
                      <w:iCs w:val="0"/>
                      <w:color w:val="auto"/>
                      <w:sz w:val="18"/>
                      <w:szCs w:val="18"/>
                      <w:u w:val="none"/>
                      <w:lang w:val="en-US" w:eastAsia="zh-CN"/>
                    </w:rPr>
                  </w:pPr>
                  <w:r>
                    <w:rPr>
                      <w:rFonts w:hint="eastAsia" w:cs="Times New Roman"/>
                      <w:i w:val="0"/>
                      <w:iCs w:val="0"/>
                      <w:color w:val="auto"/>
                      <w:sz w:val="18"/>
                      <w:szCs w:val="18"/>
                      <w:u w:val="none"/>
                      <w:lang w:val="en-US" w:eastAsia="zh-CN"/>
                    </w:rPr>
                    <w:t>DA005</w:t>
                  </w:r>
                </w:p>
              </w:tc>
              <w:tc>
                <w:tcPr>
                  <w:tcW w:w="806" w:type="dxa"/>
                  <w:vMerge w:val="continue"/>
                  <w:tcBorders>
                    <w:top w:val="single" w:color="auto" w:sz="4" w:space="0"/>
                    <w:left w:val="single" w:color="auto" w:sz="4" w:space="0"/>
                    <w:bottom w:val="single" w:color="auto" w:sz="4" w:space="0"/>
                    <w:right w:val="single" w:color="auto" w:sz="4" w:space="0"/>
                  </w:tcBorders>
                  <w:noWrap/>
                  <w:vAlign w:val="center"/>
                </w:tcPr>
                <w:p w14:paraId="3B4025C8">
                  <w:pPr>
                    <w:jc w:val="center"/>
                    <w:rPr>
                      <w:rFonts w:hint="eastAsia" w:ascii="宋体" w:hAnsi="宋体" w:eastAsia="宋体" w:cs="宋体"/>
                      <w:i w:val="0"/>
                      <w:iCs w:val="0"/>
                      <w:color w:val="FF0000"/>
                      <w:sz w:val="18"/>
                      <w:szCs w:val="18"/>
                      <w:u w:val="none"/>
                    </w:rPr>
                  </w:pPr>
                </w:p>
              </w:tc>
            </w:tr>
            <w:tr w14:paraId="7FC4A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631" w:type="dxa"/>
                  <w:vMerge w:val="continue"/>
                  <w:tcBorders>
                    <w:left w:val="single" w:color="000000" w:sz="4" w:space="0"/>
                    <w:bottom w:val="single" w:color="000000" w:sz="4" w:space="0"/>
                    <w:right w:val="single" w:color="000000" w:sz="4" w:space="0"/>
                  </w:tcBorders>
                  <w:noWrap w:val="0"/>
                  <w:vAlign w:val="center"/>
                </w:tcPr>
                <w:p w14:paraId="47D9DBFF">
                  <w:pPr>
                    <w:keepNext w:val="0"/>
                    <w:keepLines w:val="0"/>
                    <w:widowControl/>
                    <w:suppressLineNumbers w:val="0"/>
                    <w:jc w:val="center"/>
                    <w:textAlignment w:val="center"/>
                  </w:pPr>
                </w:p>
              </w:tc>
              <w:tc>
                <w:tcPr>
                  <w:tcW w:w="718" w:type="dxa"/>
                  <w:vMerge w:val="continue"/>
                  <w:tcBorders>
                    <w:left w:val="single" w:color="000000" w:sz="4" w:space="0"/>
                    <w:bottom w:val="single" w:color="000000" w:sz="4" w:space="0"/>
                    <w:right w:val="single" w:color="auto" w:sz="4" w:space="0"/>
                  </w:tcBorders>
                  <w:noWrap w:val="0"/>
                  <w:vAlign w:val="center"/>
                </w:tcPr>
                <w:p w14:paraId="139AFB33">
                  <w:pPr>
                    <w:keepNext w:val="0"/>
                    <w:keepLines w:val="0"/>
                    <w:widowControl/>
                    <w:suppressLineNumbers w:val="0"/>
                    <w:jc w:val="center"/>
                    <w:textAlignment w:val="center"/>
                  </w:pPr>
                </w:p>
              </w:tc>
              <w:tc>
                <w:tcPr>
                  <w:tcW w:w="629" w:type="dxa"/>
                  <w:tcBorders>
                    <w:top w:val="single" w:color="auto" w:sz="4" w:space="0"/>
                    <w:left w:val="single" w:color="auto" w:sz="4" w:space="0"/>
                    <w:bottom w:val="single" w:color="auto" w:sz="4" w:space="0"/>
                    <w:right w:val="single" w:color="auto" w:sz="4" w:space="0"/>
                  </w:tcBorders>
                  <w:noWrap w:val="0"/>
                  <w:vAlign w:val="center"/>
                </w:tcPr>
                <w:p w14:paraId="33DEFE9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ascii="Times New Roman" w:hAnsi="Times New Roman" w:eastAsia="宋体" w:cs="Times New Roman"/>
                      <w:i w:val="0"/>
                      <w:iCs w:val="0"/>
                      <w:color w:val="auto"/>
                      <w:kern w:val="0"/>
                      <w:sz w:val="18"/>
                      <w:szCs w:val="18"/>
                      <w:u w:val="none"/>
                      <w:lang w:val="en-US" w:eastAsia="zh-CN" w:bidi="ar"/>
                    </w:rPr>
                    <w:t>10.95</w:t>
                  </w:r>
                </w:p>
              </w:tc>
              <w:tc>
                <w:tcPr>
                  <w:tcW w:w="770" w:type="dxa"/>
                  <w:tcBorders>
                    <w:top w:val="single" w:color="auto" w:sz="4" w:space="0"/>
                    <w:left w:val="single" w:color="auto" w:sz="4" w:space="0"/>
                    <w:bottom w:val="single" w:color="auto" w:sz="4" w:space="0"/>
                    <w:right w:val="single" w:color="auto" w:sz="4" w:space="0"/>
                  </w:tcBorders>
                  <w:noWrap w:val="0"/>
                  <w:vAlign w:val="center"/>
                </w:tcPr>
                <w:p w14:paraId="3F3C44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1.69</w:t>
                  </w:r>
                </w:p>
              </w:tc>
              <w:tc>
                <w:tcPr>
                  <w:tcW w:w="7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FD6AE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845</w:t>
                  </w:r>
                </w:p>
              </w:tc>
              <w:tc>
                <w:tcPr>
                  <w:tcW w:w="416" w:type="dxa"/>
                  <w:vMerge w:val="continue"/>
                  <w:tcBorders>
                    <w:left w:val="single" w:color="auto" w:sz="4" w:space="0"/>
                    <w:right w:val="single" w:color="000000" w:sz="4" w:space="0"/>
                  </w:tcBorders>
                  <w:noWrap w:val="0"/>
                  <w:vAlign w:val="center"/>
                </w:tcPr>
                <w:p w14:paraId="57F13A42">
                  <w:pPr>
                    <w:keepNext w:val="0"/>
                    <w:keepLines w:val="0"/>
                    <w:widowControl/>
                    <w:suppressLineNumbers w:val="0"/>
                    <w:jc w:val="center"/>
                    <w:textAlignment w:val="center"/>
                  </w:pPr>
                </w:p>
              </w:tc>
              <w:tc>
                <w:tcPr>
                  <w:tcW w:w="817" w:type="dxa"/>
                  <w:vMerge w:val="continue"/>
                  <w:tcBorders>
                    <w:left w:val="single" w:color="000000" w:sz="4" w:space="0"/>
                    <w:bottom w:val="single" w:color="000000" w:sz="4" w:space="0"/>
                    <w:right w:val="single" w:color="000000" w:sz="4" w:space="0"/>
                  </w:tcBorders>
                  <w:noWrap w:val="0"/>
                  <w:vAlign w:val="center"/>
                </w:tcPr>
                <w:p w14:paraId="64650FFE">
                  <w:pPr>
                    <w:keepNext w:val="0"/>
                    <w:keepLines w:val="0"/>
                    <w:widowControl/>
                    <w:suppressLineNumbers w:val="0"/>
                    <w:jc w:val="center"/>
                    <w:textAlignment w:val="center"/>
                  </w:pPr>
                </w:p>
              </w:tc>
              <w:tc>
                <w:tcPr>
                  <w:tcW w:w="1069" w:type="dxa"/>
                  <w:vMerge w:val="continue"/>
                  <w:tcBorders>
                    <w:left w:val="single" w:color="000000" w:sz="4" w:space="0"/>
                    <w:bottom w:val="single" w:color="000000" w:sz="4" w:space="0"/>
                    <w:right w:val="single" w:color="000000" w:sz="4" w:space="0"/>
                  </w:tcBorders>
                  <w:noWrap w:val="0"/>
                  <w:vAlign w:val="center"/>
                </w:tcPr>
                <w:p w14:paraId="66129F14">
                  <w:pPr>
                    <w:keepNext w:val="0"/>
                    <w:keepLines w:val="0"/>
                    <w:widowControl/>
                    <w:suppressLineNumbers w:val="0"/>
                    <w:jc w:val="center"/>
                    <w:textAlignment w:val="center"/>
                  </w:pPr>
                </w:p>
              </w:tc>
              <w:tc>
                <w:tcPr>
                  <w:tcW w:w="617" w:type="dxa"/>
                  <w:tcBorders>
                    <w:top w:val="single" w:color="000000" w:sz="4" w:space="0"/>
                    <w:left w:val="single" w:color="000000" w:sz="4" w:space="0"/>
                    <w:bottom w:val="single" w:color="000000" w:sz="4" w:space="0"/>
                    <w:right w:val="single" w:color="auto" w:sz="4" w:space="0"/>
                  </w:tcBorders>
                  <w:noWrap w:val="0"/>
                  <w:vAlign w:val="center"/>
                </w:tcPr>
                <w:p w14:paraId="37A55A4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cs="Times New Roman"/>
                      <w:i w:val="0"/>
                      <w:iCs w:val="0"/>
                      <w:color w:val="auto"/>
                      <w:kern w:val="0"/>
                      <w:sz w:val="18"/>
                      <w:szCs w:val="18"/>
                      <w:u w:val="none"/>
                      <w:lang w:val="en-US" w:eastAsia="zh-CN" w:bidi="ar"/>
                    </w:rPr>
                    <w:t>TA006</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030AF00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cs="Times New Roman"/>
                      <w:i w:val="0"/>
                      <w:iCs w:val="0"/>
                      <w:color w:val="auto"/>
                      <w:kern w:val="0"/>
                      <w:sz w:val="18"/>
                      <w:szCs w:val="18"/>
                      <w:u w:val="none"/>
                      <w:lang w:val="en-US" w:eastAsia="zh-CN" w:bidi="ar"/>
                    </w:rPr>
                    <w:t>2000</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D01D0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18"/>
                      <w:szCs w:val="18"/>
                      <w:u w:val="none"/>
                      <w:lang w:val="en-US" w:eastAsia="zh-CN" w:bidi="ar-SA"/>
                    </w:rPr>
                  </w:pPr>
                  <w:r>
                    <w:rPr>
                      <w:rFonts w:hint="eastAsia" w:ascii="Times New Roman" w:hAnsi="Times New Roman" w:eastAsia="宋体" w:cs="Times New Roman"/>
                      <w:i w:val="0"/>
                      <w:iCs w:val="0"/>
                      <w:color w:val="auto"/>
                      <w:kern w:val="0"/>
                      <w:sz w:val="18"/>
                      <w:szCs w:val="18"/>
                      <w:u w:val="none"/>
                      <w:lang w:val="en-US" w:eastAsia="zh-CN" w:bidi="ar"/>
                    </w:rPr>
                    <w:t>95</w:t>
                  </w:r>
                  <w:r>
                    <w:rPr>
                      <w:rFonts w:hint="default" w:ascii="Times New Roman" w:hAnsi="Times New Roman" w:eastAsia="宋体" w:cs="Times New Roman"/>
                      <w:i w:val="0"/>
                      <w:iCs w:val="0"/>
                      <w:color w:val="auto"/>
                      <w:kern w:val="0"/>
                      <w:sz w:val="18"/>
                      <w:szCs w:val="18"/>
                      <w:u w:val="none"/>
                      <w:lang w:val="en-US" w:eastAsia="zh-CN" w:bidi="ar"/>
                    </w:rPr>
                    <w:t>%</w:t>
                  </w:r>
                </w:p>
              </w:tc>
              <w:tc>
                <w:tcPr>
                  <w:tcW w:w="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54DBF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18"/>
                      <w:szCs w:val="18"/>
                      <w:u w:val="no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vMerge w:val="continue"/>
                  <w:tcBorders>
                    <w:left w:val="single" w:color="auto" w:sz="4" w:space="0"/>
                    <w:bottom w:val="single" w:color="000000" w:sz="4" w:space="0"/>
                    <w:right w:val="single" w:color="auto" w:sz="4" w:space="0"/>
                  </w:tcBorders>
                  <w:noWrap w:val="0"/>
                  <w:vAlign w:val="center"/>
                </w:tcPr>
                <w:p w14:paraId="21CFA98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c>
                <w:tcPr>
                  <w:tcW w:w="613" w:type="dxa"/>
                  <w:vMerge w:val="continue"/>
                  <w:tcBorders>
                    <w:left w:val="single" w:color="auto" w:sz="4" w:space="0"/>
                    <w:bottom w:val="single" w:color="auto" w:sz="4" w:space="0"/>
                    <w:right w:val="single" w:color="auto" w:sz="4" w:space="0"/>
                  </w:tcBorders>
                  <w:noWrap w:val="0"/>
                  <w:vAlign w:val="center"/>
                </w:tcPr>
                <w:p w14:paraId="1ECFCF5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c>
                <w:tcPr>
                  <w:tcW w:w="664" w:type="dxa"/>
                  <w:tcBorders>
                    <w:top w:val="single" w:color="auto" w:sz="4" w:space="0"/>
                    <w:left w:val="single" w:color="auto" w:sz="4" w:space="0"/>
                    <w:bottom w:val="single" w:color="auto" w:sz="4" w:space="0"/>
                    <w:right w:val="single" w:color="auto" w:sz="4" w:space="0"/>
                  </w:tcBorders>
                  <w:noWrap w:val="0"/>
                  <w:vAlign w:val="center"/>
                </w:tcPr>
                <w:p w14:paraId="096A4A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cs="Times New Roman"/>
                      <w:i w:val="0"/>
                      <w:iCs w:val="0"/>
                      <w:color w:val="auto"/>
                      <w:kern w:val="0"/>
                      <w:sz w:val="18"/>
                      <w:szCs w:val="18"/>
                      <w:u w:val="none"/>
                      <w:lang w:val="en-US" w:eastAsia="zh-CN" w:bidi="ar"/>
                    </w:rPr>
                    <w:t>0.052</w:t>
                  </w:r>
                </w:p>
              </w:tc>
              <w:tc>
                <w:tcPr>
                  <w:tcW w:w="7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C4E41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cs="Times New Roman"/>
                      <w:i w:val="0"/>
                      <w:iCs w:val="0"/>
                      <w:color w:val="auto"/>
                      <w:kern w:val="0"/>
                      <w:sz w:val="18"/>
                      <w:szCs w:val="18"/>
                      <w:u w:val="none"/>
                      <w:lang w:val="en-US" w:eastAsia="zh-CN" w:bidi="ar"/>
                    </w:rPr>
                    <w:t>0.008</w:t>
                  </w:r>
                </w:p>
              </w:tc>
              <w:tc>
                <w:tcPr>
                  <w:tcW w:w="8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BFCD5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cs="Times New Roman"/>
                      <w:i w:val="0"/>
                      <w:iCs w:val="0"/>
                      <w:color w:val="auto"/>
                      <w:kern w:val="0"/>
                      <w:sz w:val="18"/>
                      <w:szCs w:val="18"/>
                      <w:u w:val="none"/>
                      <w:lang w:val="en-US" w:eastAsia="zh-CN" w:bidi="ar"/>
                    </w:rPr>
                    <w:t>4</w:t>
                  </w:r>
                </w:p>
              </w:tc>
              <w:tc>
                <w:tcPr>
                  <w:tcW w:w="629" w:type="dxa"/>
                  <w:tcBorders>
                    <w:top w:val="single" w:color="auto" w:sz="4" w:space="0"/>
                    <w:left w:val="single" w:color="auto" w:sz="4" w:space="0"/>
                    <w:bottom w:val="single" w:color="auto" w:sz="4" w:space="0"/>
                    <w:right w:val="single" w:color="auto" w:sz="4" w:space="0"/>
                  </w:tcBorders>
                  <w:noWrap w:val="0"/>
                  <w:vAlign w:val="center"/>
                </w:tcPr>
                <w:p w14:paraId="3FB4EF6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eastAsia" w:cs="Times New Roman"/>
                      <w:i w:val="0"/>
                      <w:iCs w:val="0"/>
                      <w:color w:val="auto"/>
                      <w:sz w:val="18"/>
                      <w:szCs w:val="18"/>
                      <w:u w:val="none"/>
                      <w:lang w:val="en-US" w:eastAsia="zh-CN"/>
                    </w:rPr>
                    <w:t>DA006</w:t>
                  </w:r>
                </w:p>
              </w:tc>
              <w:tc>
                <w:tcPr>
                  <w:tcW w:w="806" w:type="dxa"/>
                  <w:vMerge w:val="continue"/>
                  <w:tcBorders>
                    <w:left w:val="single" w:color="auto" w:sz="4" w:space="0"/>
                    <w:bottom w:val="single" w:color="auto" w:sz="4" w:space="0"/>
                    <w:right w:val="single" w:color="auto" w:sz="4" w:space="0"/>
                  </w:tcBorders>
                  <w:noWrap/>
                  <w:vAlign w:val="center"/>
                </w:tcPr>
                <w:p w14:paraId="28C10E5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r>
            <w:tr w14:paraId="68AC0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31" w:type="dxa"/>
                  <w:tcBorders>
                    <w:top w:val="single" w:color="000000" w:sz="4" w:space="0"/>
                    <w:left w:val="single" w:color="000000" w:sz="4" w:space="0"/>
                    <w:bottom w:val="single" w:color="000000" w:sz="4" w:space="0"/>
                    <w:right w:val="single" w:color="000000" w:sz="4" w:space="0"/>
                  </w:tcBorders>
                  <w:noWrap w:val="0"/>
                  <w:vAlign w:val="center"/>
                </w:tcPr>
                <w:p w14:paraId="4F47E7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打磨</w:t>
                  </w:r>
                </w:p>
              </w:tc>
              <w:tc>
                <w:tcPr>
                  <w:tcW w:w="718" w:type="dxa"/>
                  <w:tcBorders>
                    <w:top w:val="single" w:color="000000" w:sz="4" w:space="0"/>
                    <w:left w:val="single" w:color="000000" w:sz="4" w:space="0"/>
                    <w:bottom w:val="single" w:color="000000" w:sz="4" w:space="0"/>
                    <w:right w:val="single" w:color="000000" w:sz="4" w:space="0"/>
                  </w:tcBorders>
                  <w:noWrap w:val="0"/>
                  <w:vAlign w:val="center"/>
                </w:tcPr>
                <w:p w14:paraId="71FCD5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629" w:type="dxa"/>
                  <w:tcBorders>
                    <w:top w:val="single" w:color="auto" w:sz="4" w:space="0"/>
                    <w:left w:val="single" w:color="000000" w:sz="4" w:space="0"/>
                    <w:bottom w:val="single" w:color="000000" w:sz="4" w:space="0"/>
                    <w:right w:val="single" w:color="000000" w:sz="4" w:space="0"/>
                  </w:tcBorders>
                  <w:noWrap w:val="0"/>
                  <w:vAlign w:val="center"/>
                </w:tcPr>
                <w:p w14:paraId="43AC3A5F">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lang w:val="en-US"/>
                    </w:rPr>
                  </w:pPr>
                  <w:r>
                    <w:rPr>
                      <w:rFonts w:hint="default" w:ascii="Times New Roman" w:hAnsi="Times New Roman" w:eastAsia="宋体" w:cs="Times New Roman"/>
                      <w:i w:val="0"/>
                      <w:iCs w:val="0"/>
                      <w:color w:val="auto"/>
                      <w:kern w:val="0"/>
                      <w:sz w:val="18"/>
                      <w:szCs w:val="18"/>
                      <w:u w:val="none"/>
                      <w:lang w:val="en-US" w:eastAsia="zh-CN" w:bidi="ar"/>
                    </w:rPr>
                    <w:t>2</w:t>
                  </w:r>
                  <w:r>
                    <w:rPr>
                      <w:rFonts w:hint="eastAsia" w:cs="Times New Roman"/>
                      <w:i w:val="0"/>
                      <w:iCs w:val="0"/>
                      <w:color w:val="auto"/>
                      <w:kern w:val="0"/>
                      <w:sz w:val="18"/>
                      <w:szCs w:val="18"/>
                      <w:u w:val="none"/>
                      <w:lang w:val="en-US" w:eastAsia="zh-CN" w:bidi="ar"/>
                    </w:rPr>
                    <w:t>1.9</w:t>
                  </w:r>
                </w:p>
              </w:tc>
              <w:tc>
                <w:tcPr>
                  <w:tcW w:w="770" w:type="dxa"/>
                  <w:tcBorders>
                    <w:top w:val="single" w:color="auto" w:sz="4" w:space="0"/>
                    <w:left w:val="single" w:color="000000" w:sz="4" w:space="0"/>
                    <w:bottom w:val="single" w:color="000000" w:sz="4" w:space="0"/>
                    <w:right w:val="single" w:color="000000" w:sz="4" w:space="0"/>
                  </w:tcBorders>
                  <w:noWrap w:val="0"/>
                  <w:vAlign w:val="center"/>
                </w:tcPr>
                <w:p w14:paraId="344C5D5E">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w:t>
                  </w:r>
                  <w:r>
                    <w:rPr>
                      <w:rFonts w:hint="eastAsia" w:cs="Times New Roman"/>
                      <w:i w:val="0"/>
                      <w:iCs w:val="0"/>
                      <w:color w:val="000000"/>
                      <w:kern w:val="0"/>
                      <w:sz w:val="18"/>
                      <w:szCs w:val="18"/>
                      <w:u w:val="none"/>
                      <w:lang w:val="en-US" w:eastAsia="zh-CN" w:bidi="ar"/>
                    </w:rPr>
                    <w:t>8</w:t>
                  </w:r>
                </w:p>
              </w:tc>
              <w:tc>
                <w:tcPr>
                  <w:tcW w:w="769"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56EFCB9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482.857</w:t>
                  </w:r>
                </w:p>
              </w:tc>
              <w:tc>
                <w:tcPr>
                  <w:tcW w:w="416" w:type="dxa"/>
                  <w:vMerge w:val="continue"/>
                  <w:tcBorders>
                    <w:left w:val="single" w:color="000000" w:sz="4" w:space="0"/>
                    <w:right w:val="single" w:color="000000" w:sz="4" w:space="0"/>
                  </w:tcBorders>
                  <w:noWrap w:val="0"/>
                  <w:vAlign w:val="center"/>
                </w:tcPr>
                <w:p w14:paraId="403132A1">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684DE0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吸风收集</w:t>
                  </w:r>
                </w:p>
              </w:tc>
              <w:tc>
                <w:tcPr>
                  <w:tcW w:w="1069" w:type="dxa"/>
                  <w:tcBorders>
                    <w:top w:val="single" w:color="000000" w:sz="4" w:space="0"/>
                    <w:left w:val="single" w:color="000000" w:sz="4" w:space="0"/>
                    <w:bottom w:val="single" w:color="000000" w:sz="4" w:space="0"/>
                    <w:right w:val="single" w:color="000000" w:sz="4" w:space="0"/>
                  </w:tcBorders>
                  <w:noWrap w:val="0"/>
                  <w:vAlign w:val="center"/>
                </w:tcPr>
                <w:p w14:paraId="48B873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布袋除尘</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6A1A1B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TA003</w:t>
                  </w:r>
                </w:p>
              </w:tc>
              <w:tc>
                <w:tcPr>
                  <w:tcW w:w="682" w:type="dxa"/>
                  <w:tcBorders>
                    <w:top w:val="single" w:color="auto" w:sz="4" w:space="0"/>
                    <w:left w:val="single" w:color="000000" w:sz="4" w:space="0"/>
                    <w:bottom w:val="single" w:color="000000" w:sz="4" w:space="0"/>
                    <w:right w:val="single" w:color="auto" w:sz="4" w:space="0"/>
                  </w:tcBorders>
                  <w:noWrap w:val="0"/>
                  <w:vAlign w:val="center"/>
                </w:tcPr>
                <w:p w14:paraId="554E14A6">
                  <w:pPr>
                    <w:jc w:val="center"/>
                    <w:rPr>
                      <w:rFonts w:hint="default" w:ascii="Times New Roman" w:hAnsi="Times New Roman" w:eastAsia="宋体" w:cs="Times New Roman"/>
                      <w:i w:val="0"/>
                      <w:iCs w:val="0"/>
                      <w:color w:val="FF0000"/>
                      <w:sz w:val="18"/>
                      <w:szCs w:val="18"/>
                      <w:u w:val="none"/>
                      <w:lang w:val="en-US" w:eastAsia="zh-CN"/>
                    </w:rPr>
                  </w:pPr>
                  <w:r>
                    <w:rPr>
                      <w:rFonts w:hint="eastAsia" w:cs="Times New Roman"/>
                      <w:i w:val="0"/>
                      <w:iCs w:val="0"/>
                      <w:color w:val="auto"/>
                      <w:sz w:val="18"/>
                      <w:szCs w:val="18"/>
                      <w:u w:val="none"/>
                      <w:lang w:val="en-US" w:eastAsia="zh-CN"/>
                    </w:rPr>
                    <w:t>7000</w:t>
                  </w:r>
                </w:p>
              </w:tc>
              <w:tc>
                <w:tcPr>
                  <w:tcW w:w="700" w:type="dxa"/>
                  <w:tcBorders>
                    <w:top w:val="single" w:color="auto" w:sz="4" w:space="0"/>
                    <w:left w:val="single" w:color="auto" w:sz="4" w:space="0"/>
                    <w:bottom w:val="single" w:color="auto" w:sz="4" w:space="0"/>
                    <w:right w:val="single" w:color="000000" w:sz="4" w:space="0"/>
                  </w:tcBorders>
                  <w:noWrap w:val="0"/>
                  <w:vAlign w:val="center"/>
                </w:tcPr>
                <w:p w14:paraId="2F67868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95%</w:t>
                  </w:r>
                </w:p>
              </w:tc>
              <w:tc>
                <w:tcPr>
                  <w:tcW w:w="629" w:type="dxa"/>
                  <w:tcBorders>
                    <w:top w:val="single" w:color="auto" w:sz="4" w:space="0"/>
                    <w:left w:val="single" w:color="000000" w:sz="4" w:space="0"/>
                    <w:bottom w:val="single" w:color="auto" w:sz="4" w:space="0"/>
                    <w:right w:val="single" w:color="auto" w:sz="4" w:space="0"/>
                  </w:tcBorders>
                  <w:noWrap w:val="0"/>
                  <w:vAlign w:val="center"/>
                </w:tcPr>
                <w:p w14:paraId="004192C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99.50%</w:t>
                  </w:r>
                </w:p>
              </w:tc>
              <w:tc>
                <w:tcPr>
                  <w:tcW w:w="873" w:type="dxa"/>
                  <w:tcBorders>
                    <w:top w:val="single" w:color="000000" w:sz="4" w:space="0"/>
                    <w:left w:val="single" w:color="auto" w:sz="4" w:space="0"/>
                    <w:bottom w:val="single" w:color="000000" w:sz="4" w:space="0"/>
                    <w:right w:val="single" w:color="auto" w:sz="4" w:space="0"/>
                  </w:tcBorders>
                  <w:noWrap w:val="0"/>
                  <w:vAlign w:val="center"/>
                </w:tcPr>
                <w:p w14:paraId="5CC651FA">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是</w:t>
                  </w:r>
                </w:p>
              </w:tc>
              <w:tc>
                <w:tcPr>
                  <w:tcW w:w="613" w:type="dxa"/>
                  <w:vMerge w:val="continue"/>
                  <w:tcBorders>
                    <w:top w:val="single" w:color="auto" w:sz="4" w:space="0"/>
                    <w:left w:val="single" w:color="auto" w:sz="4" w:space="0"/>
                    <w:bottom w:val="single" w:color="auto" w:sz="4" w:space="0"/>
                    <w:right w:val="single" w:color="auto" w:sz="4" w:space="0"/>
                  </w:tcBorders>
                  <w:noWrap w:val="0"/>
                  <w:vAlign w:val="center"/>
                </w:tcPr>
                <w:p w14:paraId="0F07A817">
                  <w:pPr>
                    <w:jc w:val="center"/>
                    <w:rPr>
                      <w:rFonts w:hint="default" w:ascii="Times New Roman" w:hAnsi="Times New Roman" w:eastAsia="宋体" w:cs="Times New Roman"/>
                      <w:i w:val="0"/>
                      <w:iCs w:val="0"/>
                      <w:color w:val="FF0000"/>
                      <w:sz w:val="18"/>
                      <w:szCs w:val="18"/>
                      <w:u w:val="none"/>
                    </w:rPr>
                  </w:pPr>
                </w:p>
              </w:tc>
              <w:tc>
                <w:tcPr>
                  <w:tcW w:w="664" w:type="dxa"/>
                  <w:tcBorders>
                    <w:top w:val="single" w:color="auto" w:sz="4" w:space="0"/>
                    <w:left w:val="single" w:color="auto" w:sz="4" w:space="0"/>
                    <w:bottom w:val="single" w:color="000000" w:sz="4" w:space="0"/>
                    <w:right w:val="single" w:color="000000" w:sz="4" w:space="0"/>
                  </w:tcBorders>
                  <w:noWrap w:val="0"/>
                  <w:vAlign w:val="center"/>
                </w:tcPr>
                <w:p w14:paraId="5F12A5ED">
                  <w:pPr>
                    <w:keepNext w:val="0"/>
                    <w:keepLines w:val="0"/>
                    <w:widowControl/>
                    <w:suppressLineNumbers w:val="0"/>
                    <w:jc w:val="center"/>
                    <w:textAlignment w:val="center"/>
                    <w:rPr>
                      <w:rFonts w:hint="default" w:ascii="Times New Roman" w:hAnsi="Times New Roman" w:eastAsia="宋体" w:cs="Times New Roman"/>
                      <w:i w:val="0"/>
                      <w:iCs w:val="0"/>
                      <w:color w:val="FF0000"/>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0.104</w:t>
                  </w:r>
                </w:p>
              </w:tc>
              <w:tc>
                <w:tcPr>
                  <w:tcW w:w="716"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3B608B5A">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0.016</w:t>
                  </w:r>
                </w:p>
              </w:tc>
              <w:tc>
                <w:tcPr>
                  <w:tcW w:w="80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87B4A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2.2</w:t>
                  </w:r>
                  <w:r>
                    <w:rPr>
                      <w:rFonts w:hint="eastAsia" w:cs="Times New Roman"/>
                      <w:i w:val="0"/>
                      <w:iCs w:val="0"/>
                      <w:color w:val="000000"/>
                      <w:kern w:val="0"/>
                      <w:sz w:val="18"/>
                      <w:szCs w:val="18"/>
                      <w:u w:val="none"/>
                      <w:lang w:val="en-US" w:eastAsia="zh-CN" w:bidi="ar"/>
                    </w:rPr>
                    <w:t>9</w:t>
                  </w:r>
                </w:p>
              </w:tc>
              <w:tc>
                <w:tcPr>
                  <w:tcW w:w="629" w:type="dxa"/>
                  <w:tcBorders>
                    <w:top w:val="single" w:color="auto" w:sz="4" w:space="0"/>
                    <w:left w:val="single" w:color="000000" w:sz="4" w:space="0"/>
                    <w:bottom w:val="single" w:color="000000" w:sz="4" w:space="0"/>
                    <w:right w:val="single" w:color="auto" w:sz="4" w:space="0"/>
                  </w:tcBorders>
                  <w:noWrap w:val="0"/>
                  <w:vAlign w:val="center"/>
                </w:tcPr>
                <w:p w14:paraId="06D84A71">
                  <w:pPr>
                    <w:jc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DA003</w:t>
                  </w:r>
                </w:p>
              </w:tc>
              <w:tc>
                <w:tcPr>
                  <w:tcW w:w="806" w:type="dxa"/>
                  <w:vMerge w:val="continue"/>
                  <w:tcBorders>
                    <w:top w:val="single" w:color="auto" w:sz="4" w:space="0"/>
                    <w:left w:val="single" w:color="auto" w:sz="4" w:space="0"/>
                    <w:bottom w:val="single" w:color="auto" w:sz="4" w:space="0"/>
                    <w:right w:val="single" w:color="auto" w:sz="4" w:space="0"/>
                  </w:tcBorders>
                  <w:noWrap/>
                  <w:vAlign w:val="center"/>
                </w:tcPr>
                <w:p w14:paraId="260D0193">
                  <w:pPr>
                    <w:jc w:val="center"/>
                    <w:rPr>
                      <w:rFonts w:hint="eastAsia" w:ascii="宋体" w:hAnsi="宋体" w:eastAsia="宋体" w:cs="宋体"/>
                      <w:i w:val="0"/>
                      <w:iCs w:val="0"/>
                      <w:color w:val="FF0000"/>
                      <w:sz w:val="18"/>
                      <w:szCs w:val="18"/>
                      <w:u w:val="none"/>
                    </w:rPr>
                  </w:pPr>
                </w:p>
              </w:tc>
            </w:tr>
          </w:tbl>
          <w:p w14:paraId="0E894F48">
            <w:pPr>
              <w:widowControl/>
              <w:adjustRightInd w:val="0"/>
              <w:snapToGrid w:val="0"/>
              <w:spacing w:line="240" w:lineRule="auto"/>
              <w:jc w:val="left"/>
              <w:rPr>
                <w:rFonts w:hint="default"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bCs/>
                <w:color w:val="auto"/>
                <w:kern w:val="0"/>
                <w:sz w:val="18"/>
                <w:szCs w:val="18"/>
                <w:highlight w:val="none"/>
                <w:lang w:val="en-US" w:eastAsia="zh-CN"/>
              </w:rPr>
              <w:t>注：</w:t>
            </w:r>
            <w:r>
              <w:rPr>
                <w:rFonts w:hint="eastAsia" w:ascii="Times New Roman" w:hAnsi="Times New Roman" w:eastAsia="宋体" w:cs="Times New Roman"/>
                <w:b w:val="0"/>
                <w:bCs w:val="0"/>
                <w:color w:val="auto"/>
                <w:kern w:val="0"/>
                <w:sz w:val="18"/>
                <w:szCs w:val="18"/>
                <w:highlight w:val="none"/>
                <w:lang w:val="en-US" w:eastAsia="zh-CN"/>
              </w:rPr>
              <w:t>本次项目废气依托现有废气处理措施、排放口，故上表污染物产生、排放数据以现有项目叠加本项目的总数据进行计算。</w:t>
            </w:r>
          </w:p>
          <w:p w14:paraId="40A12CD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表4-</w:t>
            </w:r>
            <w:r>
              <w:rPr>
                <w:rFonts w:hint="eastAsia" w:ascii="Times New Roman" w:hAnsi="Times New Roman" w:eastAsia="宋体" w:cs="Times New Roman"/>
                <w:b/>
                <w:bCs/>
                <w:color w:val="auto"/>
                <w:kern w:val="2"/>
                <w:sz w:val="24"/>
                <w:szCs w:val="24"/>
                <w:lang w:val="en-US" w:eastAsia="zh-CN"/>
              </w:rPr>
              <w:t>5</w:t>
            </w:r>
            <w:r>
              <w:rPr>
                <w:rFonts w:hint="default" w:ascii="Times New Roman" w:hAnsi="Times New Roman" w:eastAsia="宋体" w:cs="Times New Roman"/>
                <w:b/>
                <w:bCs/>
                <w:color w:val="auto"/>
                <w:kern w:val="2"/>
                <w:sz w:val="24"/>
                <w:szCs w:val="24"/>
                <w:lang w:val="en-US" w:eastAsia="zh-CN"/>
              </w:rPr>
              <w:t xml:space="preserve">  全厂大气污染物</w:t>
            </w:r>
            <w:r>
              <w:rPr>
                <w:rFonts w:hint="eastAsia" w:ascii="Times New Roman" w:hAnsi="Times New Roman" w:eastAsia="宋体" w:cs="Times New Roman"/>
                <w:b/>
                <w:bCs/>
                <w:color w:val="auto"/>
                <w:kern w:val="2"/>
                <w:sz w:val="24"/>
                <w:szCs w:val="24"/>
                <w:lang w:val="en-US" w:eastAsia="zh-CN"/>
              </w:rPr>
              <w:t>无组织</w:t>
            </w:r>
            <w:r>
              <w:rPr>
                <w:rFonts w:hint="default" w:ascii="Times New Roman" w:hAnsi="Times New Roman" w:eastAsia="宋体" w:cs="Times New Roman"/>
                <w:b/>
                <w:bCs/>
                <w:color w:val="auto"/>
                <w:kern w:val="2"/>
                <w:sz w:val="24"/>
                <w:szCs w:val="24"/>
                <w:lang w:val="en-US" w:eastAsia="zh-CN"/>
              </w:rPr>
              <w:t>排放情况一览表</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1"/>
              <w:gridCol w:w="1504"/>
              <w:gridCol w:w="1271"/>
              <w:gridCol w:w="1267"/>
              <w:gridCol w:w="1223"/>
              <w:gridCol w:w="1327"/>
              <w:gridCol w:w="1329"/>
              <w:gridCol w:w="1372"/>
              <w:gridCol w:w="1372"/>
              <w:gridCol w:w="1372"/>
            </w:tblGrid>
            <w:tr w14:paraId="79FF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501" w:type="dxa"/>
                  <w:vMerge w:val="restart"/>
                  <w:noWrap w:val="0"/>
                  <w:vAlign w:val="center"/>
                </w:tcPr>
                <w:p w14:paraId="3AF18B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主要污染物</w:t>
                  </w:r>
                </w:p>
              </w:tc>
              <w:tc>
                <w:tcPr>
                  <w:tcW w:w="1504" w:type="dxa"/>
                  <w:vMerge w:val="restart"/>
                  <w:noWrap w:val="0"/>
                  <w:vAlign w:val="center"/>
                </w:tcPr>
                <w:p w14:paraId="5A414D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污染源</w:t>
                  </w:r>
                </w:p>
              </w:tc>
              <w:tc>
                <w:tcPr>
                  <w:tcW w:w="1271" w:type="dxa"/>
                  <w:vMerge w:val="restart"/>
                  <w:noWrap w:val="0"/>
                  <w:vAlign w:val="center"/>
                </w:tcPr>
                <w:p w14:paraId="4EC9DD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产生量t/a</w:t>
                  </w:r>
                </w:p>
              </w:tc>
              <w:tc>
                <w:tcPr>
                  <w:tcW w:w="1267" w:type="dxa"/>
                  <w:vMerge w:val="restart"/>
                  <w:noWrap w:val="0"/>
                  <w:vAlign w:val="center"/>
                </w:tcPr>
                <w:p w14:paraId="7D5147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治理设施</w:t>
                  </w:r>
                </w:p>
              </w:tc>
              <w:tc>
                <w:tcPr>
                  <w:tcW w:w="1223" w:type="dxa"/>
                  <w:vMerge w:val="restart"/>
                  <w:noWrap w:val="0"/>
                  <w:vAlign w:val="center"/>
                </w:tcPr>
                <w:p w14:paraId="4D73C1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削减量</w:t>
                  </w:r>
                  <w:r>
                    <w:rPr>
                      <w:rFonts w:hint="default" w:ascii="Times New Roman" w:hAnsi="Times New Roman" w:eastAsia="宋体" w:cs="Times New Roman"/>
                      <w:b/>
                      <w:bCs/>
                      <w:color w:val="auto"/>
                      <w:sz w:val="21"/>
                      <w:szCs w:val="21"/>
                      <w:highlight w:val="none"/>
                      <w:lang w:val="en-US" w:eastAsia="zh-CN"/>
                    </w:rPr>
                    <w:t>t/a</w:t>
                  </w:r>
                </w:p>
              </w:tc>
              <w:tc>
                <w:tcPr>
                  <w:tcW w:w="1327" w:type="dxa"/>
                  <w:vMerge w:val="restart"/>
                  <w:noWrap w:val="0"/>
                  <w:vAlign w:val="center"/>
                </w:tcPr>
                <w:p w14:paraId="1A1DB1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排放量</w:t>
                  </w:r>
                  <w:r>
                    <w:rPr>
                      <w:rFonts w:hint="default" w:ascii="Times New Roman" w:hAnsi="Times New Roman" w:eastAsia="宋体" w:cs="Times New Roman"/>
                      <w:b/>
                      <w:bCs/>
                      <w:color w:val="auto"/>
                      <w:sz w:val="21"/>
                      <w:szCs w:val="21"/>
                      <w:highlight w:val="none"/>
                      <w:lang w:val="en-US" w:eastAsia="zh-CN"/>
                    </w:rPr>
                    <w:t>t/a</w:t>
                  </w:r>
                </w:p>
              </w:tc>
              <w:tc>
                <w:tcPr>
                  <w:tcW w:w="1329" w:type="dxa"/>
                  <w:vMerge w:val="restart"/>
                  <w:noWrap w:val="0"/>
                  <w:vAlign w:val="center"/>
                </w:tcPr>
                <w:p w14:paraId="4448FB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排放速率</w:t>
                  </w:r>
                  <w:r>
                    <w:rPr>
                      <w:rFonts w:hint="default" w:ascii="Times New Roman" w:hAnsi="Times New Roman" w:eastAsia="宋体" w:cs="Times New Roman"/>
                      <w:b/>
                      <w:bCs/>
                      <w:color w:val="auto"/>
                      <w:sz w:val="21"/>
                      <w:szCs w:val="21"/>
                      <w:highlight w:val="none"/>
                      <w:lang w:val="en-US" w:eastAsia="zh-CN"/>
                    </w:rPr>
                    <w:t>kg/h</w:t>
                  </w:r>
                </w:p>
              </w:tc>
              <w:tc>
                <w:tcPr>
                  <w:tcW w:w="4116" w:type="dxa"/>
                  <w:gridSpan w:val="3"/>
                  <w:noWrap w:val="0"/>
                  <w:vAlign w:val="center"/>
                </w:tcPr>
                <w:p w14:paraId="74F3F8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面源/体源参数（m）</w:t>
                  </w:r>
                </w:p>
              </w:tc>
            </w:tr>
            <w:tr w14:paraId="707F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1501" w:type="dxa"/>
                  <w:vMerge w:val="continue"/>
                  <w:noWrap w:val="0"/>
                  <w:vAlign w:val="center"/>
                </w:tcPr>
                <w:p w14:paraId="383156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504" w:type="dxa"/>
                  <w:vMerge w:val="continue"/>
                  <w:noWrap w:val="0"/>
                  <w:vAlign w:val="center"/>
                </w:tcPr>
                <w:p w14:paraId="367F32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271" w:type="dxa"/>
                  <w:vMerge w:val="continue"/>
                  <w:noWrap w:val="0"/>
                  <w:vAlign w:val="center"/>
                </w:tcPr>
                <w:p w14:paraId="03B14D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267" w:type="dxa"/>
                  <w:vMerge w:val="continue"/>
                  <w:noWrap w:val="0"/>
                  <w:vAlign w:val="center"/>
                </w:tcPr>
                <w:p w14:paraId="69C9D3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223" w:type="dxa"/>
                  <w:vMerge w:val="continue"/>
                  <w:noWrap w:val="0"/>
                  <w:vAlign w:val="center"/>
                </w:tcPr>
                <w:p w14:paraId="7FFB0D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327" w:type="dxa"/>
                  <w:vMerge w:val="continue"/>
                  <w:noWrap w:val="0"/>
                  <w:vAlign w:val="center"/>
                </w:tcPr>
                <w:p w14:paraId="6153D8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329" w:type="dxa"/>
                  <w:vMerge w:val="continue"/>
                  <w:noWrap w:val="0"/>
                  <w:vAlign w:val="center"/>
                </w:tcPr>
                <w:p w14:paraId="1F9A86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p>
              </w:tc>
              <w:tc>
                <w:tcPr>
                  <w:tcW w:w="1372" w:type="dxa"/>
                  <w:noWrap w:val="0"/>
                  <w:vAlign w:val="center"/>
                </w:tcPr>
                <w:p w14:paraId="3C16C3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东西长</w:t>
                  </w:r>
                </w:p>
              </w:tc>
              <w:tc>
                <w:tcPr>
                  <w:tcW w:w="1372" w:type="dxa"/>
                  <w:noWrap w:val="0"/>
                  <w:vAlign w:val="center"/>
                </w:tcPr>
                <w:p w14:paraId="305739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南北宽</w:t>
                  </w:r>
                </w:p>
              </w:tc>
              <w:tc>
                <w:tcPr>
                  <w:tcW w:w="1372" w:type="dxa"/>
                  <w:noWrap w:val="0"/>
                  <w:vAlign w:val="center"/>
                </w:tcPr>
                <w:p w14:paraId="701995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高</w:t>
                  </w:r>
                </w:p>
              </w:tc>
            </w:tr>
            <w:tr w14:paraId="0B59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501" w:type="dxa"/>
                  <w:noWrap w:val="0"/>
                  <w:vAlign w:val="center"/>
                </w:tcPr>
                <w:p w14:paraId="23D303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挥发性有机物</w:t>
                  </w:r>
                </w:p>
              </w:tc>
              <w:tc>
                <w:tcPr>
                  <w:tcW w:w="1504" w:type="dxa"/>
                  <w:vMerge w:val="restart"/>
                  <w:noWrap w:val="0"/>
                  <w:vAlign w:val="center"/>
                </w:tcPr>
                <w:p w14:paraId="2B92BB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1号厂房</w:t>
                  </w:r>
                </w:p>
              </w:tc>
              <w:tc>
                <w:tcPr>
                  <w:tcW w:w="1271" w:type="dxa"/>
                  <w:noWrap w:val="0"/>
                  <w:vAlign w:val="center"/>
                </w:tcPr>
                <w:p w14:paraId="3A4A9C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362</w:t>
                  </w:r>
                </w:p>
              </w:tc>
              <w:tc>
                <w:tcPr>
                  <w:tcW w:w="1267" w:type="dxa"/>
                  <w:noWrap w:val="0"/>
                  <w:vAlign w:val="center"/>
                </w:tcPr>
                <w:p w14:paraId="270BA9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23" w:type="dxa"/>
                  <w:noWrap w:val="0"/>
                  <w:vAlign w:val="center"/>
                </w:tcPr>
                <w:p w14:paraId="15755B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327" w:type="dxa"/>
                  <w:noWrap w:val="0"/>
                  <w:vAlign w:val="center"/>
                </w:tcPr>
                <w:p w14:paraId="683D38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362</w:t>
                  </w:r>
                </w:p>
              </w:tc>
              <w:tc>
                <w:tcPr>
                  <w:tcW w:w="1329" w:type="dxa"/>
                  <w:noWrap w:val="0"/>
                  <w:vAlign w:val="center"/>
                </w:tcPr>
                <w:p w14:paraId="2BED35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w:t>
                  </w:r>
                  <w:r>
                    <w:rPr>
                      <w:rFonts w:hint="eastAsia" w:cs="Times New Roman"/>
                      <w:color w:val="auto"/>
                      <w:sz w:val="21"/>
                      <w:szCs w:val="21"/>
                      <w:highlight w:val="none"/>
                      <w:lang w:val="en-US" w:eastAsia="zh-CN"/>
                    </w:rPr>
                    <w:t>56</w:t>
                  </w:r>
                </w:p>
              </w:tc>
              <w:tc>
                <w:tcPr>
                  <w:tcW w:w="1372" w:type="dxa"/>
                  <w:vMerge w:val="restart"/>
                  <w:noWrap w:val="0"/>
                  <w:vAlign w:val="center"/>
                </w:tcPr>
                <w:p w14:paraId="31C98D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113</w:t>
                  </w:r>
                </w:p>
              </w:tc>
              <w:tc>
                <w:tcPr>
                  <w:tcW w:w="1372" w:type="dxa"/>
                  <w:vMerge w:val="restart"/>
                  <w:noWrap w:val="0"/>
                  <w:vAlign w:val="center"/>
                </w:tcPr>
                <w:p w14:paraId="72486D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35</w:t>
                  </w:r>
                </w:p>
              </w:tc>
              <w:tc>
                <w:tcPr>
                  <w:tcW w:w="1372" w:type="dxa"/>
                  <w:vMerge w:val="restart"/>
                  <w:noWrap w:val="0"/>
                  <w:vAlign w:val="center"/>
                </w:tcPr>
                <w:p w14:paraId="055118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8.5</w:t>
                  </w:r>
                </w:p>
              </w:tc>
            </w:tr>
            <w:tr w14:paraId="3025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501" w:type="dxa"/>
                  <w:noWrap w:val="0"/>
                  <w:vAlign w:val="center"/>
                </w:tcPr>
                <w:p w14:paraId="030233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1504" w:type="dxa"/>
                  <w:vMerge w:val="continue"/>
                  <w:noWrap w:val="0"/>
                  <w:vAlign w:val="center"/>
                </w:tcPr>
                <w:p w14:paraId="404589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1271" w:type="dxa"/>
                  <w:noWrap w:val="0"/>
                  <w:vAlign w:val="center"/>
                </w:tcPr>
                <w:p w14:paraId="7DF0F1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10.816</w:t>
                  </w:r>
                </w:p>
              </w:tc>
              <w:tc>
                <w:tcPr>
                  <w:tcW w:w="1267" w:type="dxa"/>
                  <w:noWrap w:val="0"/>
                  <w:vAlign w:val="center"/>
                </w:tcPr>
                <w:p w14:paraId="7C06A8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沉降</w:t>
                  </w:r>
                </w:p>
              </w:tc>
              <w:tc>
                <w:tcPr>
                  <w:tcW w:w="1223" w:type="dxa"/>
                  <w:noWrap w:val="0"/>
                  <w:vAlign w:val="center"/>
                </w:tcPr>
                <w:p w14:paraId="43CB0D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8.112</w:t>
                  </w:r>
                </w:p>
              </w:tc>
              <w:tc>
                <w:tcPr>
                  <w:tcW w:w="1327" w:type="dxa"/>
                  <w:noWrap w:val="0"/>
                  <w:vAlign w:val="center"/>
                </w:tcPr>
                <w:p w14:paraId="4DB09B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2.704</w:t>
                  </w:r>
                </w:p>
              </w:tc>
              <w:tc>
                <w:tcPr>
                  <w:tcW w:w="1329" w:type="dxa"/>
                  <w:noWrap w:val="0"/>
                  <w:vAlign w:val="center"/>
                </w:tcPr>
                <w:p w14:paraId="7B61A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417</w:t>
                  </w:r>
                </w:p>
              </w:tc>
              <w:tc>
                <w:tcPr>
                  <w:tcW w:w="1372" w:type="dxa"/>
                  <w:vMerge w:val="continue"/>
                  <w:noWrap w:val="0"/>
                  <w:vAlign w:val="center"/>
                </w:tcPr>
                <w:p w14:paraId="750559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1372" w:type="dxa"/>
                  <w:vMerge w:val="continue"/>
                  <w:noWrap w:val="0"/>
                  <w:vAlign w:val="center"/>
                </w:tcPr>
                <w:p w14:paraId="0CC23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1372" w:type="dxa"/>
                  <w:vMerge w:val="continue"/>
                  <w:noWrap w:val="0"/>
                  <w:vAlign w:val="center"/>
                </w:tcPr>
                <w:p w14:paraId="6F70D1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r>
            <w:tr w14:paraId="2F6D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501" w:type="dxa"/>
                  <w:noWrap w:val="0"/>
                  <w:vAlign w:val="center"/>
                </w:tcPr>
                <w:p w14:paraId="5932AA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甲醛</w:t>
                  </w:r>
                </w:p>
              </w:tc>
              <w:tc>
                <w:tcPr>
                  <w:tcW w:w="1504" w:type="dxa"/>
                  <w:vMerge w:val="continue"/>
                  <w:noWrap w:val="0"/>
                  <w:vAlign w:val="center"/>
                </w:tcPr>
                <w:p w14:paraId="610906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1271" w:type="dxa"/>
                  <w:noWrap w:val="0"/>
                  <w:vAlign w:val="center"/>
                </w:tcPr>
                <w:p w14:paraId="33E226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0.0006</w:t>
                  </w:r>
                </w:p>
              </w:tc>
              <w:tc>
                <w:tcPr>
                  <w:tcW w:w="1267" w:type="dxa"/>
                  <w:noWrap w:val="0"/>
                  <w:vAlign w:val="center"/>
                </w:tcPr>
                <w:p w14:paraId="10A038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223" w:type="dxa"/>
                  <w:noWrap w:val="0"/>
                  <w:vAlign w:val="center"/>
                </w:tcPr>
                <w:p w14:paraId="05D43A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27" w:type="dxa"/>
                  <w:noWrap w:val="0"/>
                  <w:vAlign w:val="center"/>
                </w:tcPr>
                <w:p w14:paraId="53D049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0.0006</w:t>
                  </w:r>
                </w:p>
              </w:tc>
              <w:tc>
                <w:tcPr>
                  <w:tcW w:w="1329" w:type="dxa"/>
                  <w:noWrap w:val="0"/>
                  <w:vAlign w:val="center"/>
                </w:tcPr>
                <w:p w14:paraId="5A0086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0.0001</w:t>
                  </w:r>
                </w:p>
              </w:tc>
              <w:tc>
                <w:tcPr>
                  <w:tcW w:w="1372" w:type="dxa"/>
                  <w:vMerge w:val="continue"/>
                  <w:noWrap w:val="0"/>
                  <w:vAlign w:val="center"/>
                </w:tcPr>
                <w:p w14:paraId="49AC81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1372" w:type="dxa"/>
                  <w:vMerge w:val="continue"/>
                  <w:noWrap w:val="0"/>
                  <w:vAlign w:val="center"/>
                </w:tcPr>
                <w:p w14:paraId="4181C8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c>
                <w:tcPr>
                  <w:tcW w:w="1372" w:type="dxa"/>
                  <w:vMerge w:val="continue"/>
                  <w:noWrap w:val="0"/>
                  <w:vAlign w:val="center"/>
                </w:tcPr>
                <w:p w14:paraId="3B8D48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kern w:val="2"/>
                      <w:sz w:val="21"/>
                      <w:szCs w:val="21"/>
                      <w:highlight w:val="none"/>
                      <w:lang w:val="en-US" w:eastAsia="zh-CN" w:bidi="ar-SA"/>
                    </w:rPr>
                  </w:pPr>
                </w:p>
              </w:tc>
            </w:tr>
          </w:tbl>
          <w:p w14:paraId="52CA1EF9">
            <w:pPr>
              <w:widowControl/>
              <w:adjustRightInd w:val="0"/>
              <w:snapToGrid w:val="0"/>
              <w:spacing w:line="240" w:lineRule="auto"/>
              <w:jc w:val="left"/>
              <w:rPr>
                <w:rFonts w:hint="eastAsia" w:ascii="Times New Roman" w:hAnsi="Times New Roman" w:eastAsia="宋体" w:cs="Times New Roman"/>
                <w:b w:val="0"/>
                <w:bCs w:val="0"/>
                <w:color w:val="FF0000"/>
                <w:kern w:val="0"/>
                <w:sz w:val="18"/>
                <w:szCs w:val="18"/>
                <w:highlight w:val="none"/>
                <w:lang w:val="en-US" w:eastAsia="zh-CN"/>
              </w:rPr>
            </w:pPr>
          </w:p>
          <w:p w14:paraId="557971C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表4-</w:t>
            </w:r>
            <w:r>
              <w:rPr>
                <w:rFonts w:hint="eastAsia" w:ascii="Times New Roman" w:hAnsi="Times New Roman" w:eastAsia="宋体" w:cs="Times New Roman"/>
                <w:b/>
                <w:bCs/>
                <w:color w:val="auto"/>
                <w:kern w:val="2"/>
                <w:sz w:val="24"/>
                <w:szCs w:val="24"/>
                <w:lang w:val="en-US" w:eastAsia="zh-CN"/>
              </w:rPr>
              <w:t>6</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技改前后排气筒变化</w:t>
            </w:r>
            <w:r>
              <w:rPr>
                <w:rFonts w:hint="default" w:ascii="Times New Roman" w:hAnsi="Times New Roman" w:eastAsia="宋体" w:cs="Times New Roman"/>
                <w:b/>
                <w:bCs/>
                <w:color w:val="auto"/>
                <w:kern w:val="2"/>
                <w:sz w:val="24"/>
                <w:szCs w:val="24"/>
                <w:lang w:val="en-US" w:eastAsia="zh-CN"/>
              </w:rPr>
              <w:t>情况一览表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1665"/>
              <w:gridCol w:w="1005"/>
              <w:gridCol w:w="945"/>
              <w:gridCol w:w="1080"/>
              <w:gridCol w:w="2009"/>
              <w:gridCol w:w="2461"/>
              <w:gridCol w:w="1680"/>
              <w:gridCol w:w="1721"/>
            </w:tblGrid>
            <w:tr w14:paraId="40FDE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vMerge w:val="restart"/>
                  <w:noWrap w:val="0"/>
                  <w:vAlign w:val="center"/>
                </w:tcPr>
                <w:p w14:paraId="720C29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编号</w:t>
                  </w:r>
                </w:p>
              </w:tc>
              <w:tc>
                <w:tcPr>
                  <w:tcW w:w="1665" w:type="dxa"/>
                  <w:vMerge w:val="restart"/>
                  <w:noWrap w:val="0"/>
                  <w:vAlign w:val="center"/>
                </w:tcPr>
                <w:p w14:paraId="264DC9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相对位置</w:t>
                  </w:r>
                </w:p>
              </w:tc>
              <w:tc>
                <w:tcPr>
                  <w:tcW w:w="1005" w:type="dxa"/>
                  <w:vMerge w:val="restart"/>
                  <w:noWrap w:val="0"/>
                  <w:vAlign w:val="center"/>
                </w:tcPr>
                <w:p w14:paraId="4736AB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高度m</w:t>
                  </w:r>
                </w:p>
              </w:tc>
              <w:tc>
                <w:tcPr>
                  <w:tcW w:w="2025" w:type="dxa"/>
                  <w:gridSpan w:val="2"/>
                  <w:noWrap w:val="0"/>
                  <w:vAlign w:val="center"/>
                </w:tcPr>
                <w:p w14:paraId="100B39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内径m</w:t>
                  </w:r>
                </w:p>
              </w:tc>
              <w:tc>
                <w:tcPr>
                  <w:tcW w:w="4470" w:type="dxa"/>
                  <w:gridSpan w:val="2"/>
                  <w:noWrap w:val="0"/>
                  <w:vAlign w:val="center"/>
                </w:tcPr>
                <w:p w14:paraId="4DCEE1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排放废气</w:t>
                  </w:r>
                </w:p>
              </w:tc>
              <w:tc>
                <w:tcPr>
                  <w:tcW w:w="3401" w:type="dxa"/>
                  <w:gridSpan w:val="2"/>
                  <w:noWrap w:val="0"/>
                  <w:vAlign w:val="center"/>
                </w:tcPr>
                <w:p w14:paraId="41F63E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主要污染物</w:t>
                  </w:r>
                </w:p>
              </w:tc>
            </w:tr>
            <w:tr w14:paraId="45A4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vMerge w:val="continue"/>
                  <w:noWrap w:val="0"/>
                  <w:vAlign w:val="center"/>
                </w:tcPr>
                <w:p w14:paraId="14DED0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665" w:type="dxa"/>
                  <w:vMerge w:val="continue"/>
                  <w:noWrap w:val="0"/>
                  <w:vAlign w:val="center"/>
                </w:tcPr>
                <w:p w14:paraId="2A78A9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005" w:type="dxa"/>
                  <w:vMerge w:val="continue"/>
                  <w:noWrap w:val="0"/>
                  <w:vAlign w:val="center"/>
                </w:tcPr>
                <w:p w14:paraId="7AB1BC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945" w:type="dxa"/>
                  <w:noWrap w:val="0"/>
                  <w:vAlign w:val="center"/>
                </w:tcPr>
                <w:p w14:paraId="5517D7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技改前</w:t>
                  </w:r>
                </w:p>
              </w:tc>
              <w:tc>
                <w:tcPr>
                  <w:tcW w:w="1080" w:type="dxa"/>
                  <w:noWrap w:val="0"/>
                  <w:vAlign w:val="center"/>
                </w:tcPr>
                <w:p w14:paraId="2B914D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技改后</w:t>
                  </w:r>
                </w:p>
              </w:tc>
              <w:tc>
                <w:tcPr>
                  <w:tcW w:w="2009" w:type="dxa"/>
                  <w:noWrap w:val="0"/>
                  <w:vAlign w:val="center"/>
                </w:tcPr>
                <w:p w14:paraId="5503D2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技改前</w:t>
                  </w:r>
                </w:p>
              </w:tc>
              <w:tc>
                <w:tcPr>
                  <w:tcW w:w="2461" w:type="dxa"/>
                  <w:noWrap w:val="0"/>
                  <w:vAlign w:val="center"/>
                </w:tcPr>
                <w:p w14:paraId="49CE47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技改后</w:t>
                  </w:r>
                </w:p>
              </w:tc>
              <w:tc>
                <w:tcPr>
                  <w:tcW w:w="1680" w:type="dxa"/>
                  <w:noWrap w:val="0"/>
                  <w:vAlign w:val="center"/>
                </w:tcPr>
                <w:p w14:paraId="2941A3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技改前</w:t>
                  </w:r>
                </w:p>
              </w:tc>
              <w:tc>
                <w:tcPr>
                  <w:tcW w:w="1721" w:type="dxa"/>
                  <w:noWrap w:val="0"/>
                  <w:vAlign w:val="center"/>
                </w:tcPr>
                <w:p w14:paraId="69E15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技改后</w:t>
                  </w:r>
                </w:p>
              </w:tc>
            </w:tr>
            <w:tr w14:paraId="461B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noWrap w:val="0"/>
                  <w:vAlign w:val="center"/>
                </w:tcPr>
                <w:p w14:paraId="2CF5DF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DA001</w:t>
                  </w:r>
                </w:p>
              </w:tc>
              <w:tc>
                <w:tcPr>
                  <w:tcW w:w="1665" w:type="dxa"/>
                  <w:noWrap w:val="0"/>
                  <w:vAlign w:val="center"/>
                </w:tcPr>
                <w:p w14:paraId="79AC3B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现有熔化区</w:t>
                  </w:r>
                </w:p>
                <w:p w14:paraId="4764D3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厂房外</w:t>
                  </w:r>
                  <w:r>
                    <w:rPr>
                      <w:rFonts w:hint="eastAsia" w:cs="Times New Roman"/>
                      <w:color w:val="auto"/>
                      <w:kern w:val="2"/>
                      <w:sz w:val="21"/>
                      <w:szCs w:val="21"/>
                      <w:highlight w:val="none"/>
                      <w:lang w:val="en-US" w:eastAsia="zh-CN" w:bidi="ar-SA"/>
                    </w:rPr>
                    <w:t>东北</w:t>
                  </w:r>
                  <w:r>
                    <w:rPr>
                      <w:rFonts w:hint="eastAsia" w:ascii="Times New Roman" w:hAnsi="Times New Roman" w:eastAsia="宋体" w:cs="Times New Roman"/>
                      <w:color w:val="auto"/>
                      <w:kern w:val="2"/>
                      <w:sz w:val="21"/>
                      <w:szCs w:val="21"/>
                      <w:highlight w:val="none"/>
                      <w:lang w:val="en-US" w:eastAsia="zh-CN" w:bidi="ar-SA"/>
                    </w:rPr>
                    <w:t>侧</w:t>
                  </w:r>
                </w:p>
              </w:tc>
              <w:tc>
                <w:tcPr>
                  <w:tcW w:w="1005" w:type="dxa"/>
                  <w:noWrap w:val="0"/>
                  <w:vAlign w:val="center"/>
                </w:tcPr>
                <w:p w14:paraId="66DF3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w:t>
                  </w:r>
                </w:p>
              </w:tc>
              <w:tc>
                <w:tcPr>
                  <w:tcW w:w="945" w:type="dxa"/>
                  <w:noWrap w:val="0"/>
                  <w:vAlign w:val="center"/>
                </w:tcPr>
                <w:p w14:paraId="55A7F92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z w:val="21"/>
                      <w:szCs w:val="21"/>
                      <w:highlight w:val="none"/>
                      <w:lang w:val="en-US" w:eastAsia="zh-CN"/>
                    </w:rPr>
                  </w:pPr>
                  <w:r>
                    <w:rPr>
                      <w:rFonts w:hint="eastAsia" w:ascii="Times New Roman" w:hAnsi="Times New Roman" w:cs="Times New Roman"/>
                      <w:color w:val="auto"/>
                      <w:kern w:val="0"/>
                      <w:szCs w:val="21"/>
                      <w:highlight w:val="none"/>
                      <w:lang w:val="en-US" w:eastAsia="zh-CN"/>
                    </w:rPr>
                    <w:t>0.</w:t>
                  </w:r>
                  <w:r>
                    <w:rPr>
                      <w:rFonts w:hint="eastAsia" w:cs="Times New Roman"/>
                      <w:color w:val="auto"/>
                      <w:kern w:val="0"/>
                      <w:szCs w:val="21"/>
                      <w:highlight w:val="none"/>
                      <w:lang w:val="en-US" w:eastAsia="zh-CN"/>
                    </w:rPr>
                    <w:t>4</w:t>
                  </w:r>
                </w:p>
              </w:tc>
              <w:tc>
                <w:tcPr>
                  <w:tcW w:w="1080" w:type="dxa"/>
                  <w:shd w:val="clear" w:color="auto" w:fill="auto"/>
                  <w:noWrap w:val="0"/>
                  <w:vAlign w:val="center"/>
                </w:tcPr>
                <w:p w14:paraId="0AD0379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Cs w:val="21"/>
                      <w:highlight w:val="none"/>
                      <w:lang w:val="en-US" w:eastAsia="zh-CN"/>
                    </w:rPr>
                    <w:t>0.</w:t>
                  </w:r>
                  <w:r>
                    <w:rPr>
                      <w:rFonts w:hint="eastAsia" w:cs="Times New Roman"/>
                      <w:color w:val="auto"/>
                      <w:kern w:val="0"/>
                      <w:szCs w:val="21"/>
                      <w:highlight w:val="none"/>
                      <w:lang w:val="en-US" w:eastAsia="zh-CN"/>
                    </w:rPr>
                    <w:t>4</w:t>
                  </w:r>
                </w:p>
              </w:tc>
              <w:tc>
                <w:tcPr>
                  <w:tcW w:w="2009" w:type="dxa"/>
                  <w:noWrap w:val="0"/>
                  <w:vAlign w:val="center"/>
                </w:tcPr>
                <w:p w14:paraId="1B03B9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项目熔化废气</w:t>
                  </w:r>
                </w:p>
              </w:tc>
              <w:tc>
                <w:tcPr>
                  <w:tcW w:w="2461" w:type="dxa"/>
                  <w:noWrap w:val="0"/>
                  <w:vAlign w:val="center"/>
                </w:tcPr>
                <w:p w14:paraId="4A4415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熔化废气</w:t>
                  </w:r>
                </w:p>
              </w:tc>
              <w:tc>
                <w:tcPr>
                  <w:tcW w:w="1680" w:type="dxa"/>
                  <w:noWrap w:val="0"/>
                  <w:vAlign w:val="center"/>
                </w:tcPr>
                <w:p w14:paraId="293D6E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1721" w:type="dxa"/>
                  <w:noWrap w:val="0"/>
                  <w:vAlign w:val="center"/>
                </w:tcPr>
                <w:p w14:paraId="69BFAC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r>
            <w:tr w14:paraId="196E4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noWrap w:val="0"/>
                  <w:vAlign w:val="center"/>
                </w:tcPr>
                <w:p w14:paraId="48233B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DA002</w:t>
                  </w:r>
                </w:p>
              </w:tc>
              <w:tc>
                <w:tcPr>
                  <w:tcW w:w="1665" w:type="dxa"/>
                  <w:noWrap w:val="0"/>
                  <w:vAlign w:val="center"/>
                </w:tcPr>
                <w:p w14:paraId="4E6F44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现有砂处理区厂房外</w:t>
                  </w:r>
                  <w:r>
                    <w:rPr>
                      <w:rFonts w:hint="eastAsia" w:cs="Times New Roman"/>
                      <w:color w:val="auto"/>
                      <w:kern w:val="2"/>
                      <w:sz w:val="21"/>
                      <w:szCs w:val="21"/>
                      <w:highlight w:val="none"/>
                      <w:lang w:val="en-US" w:eastAsia="zh-CN" w:bidi="ar-SA"/>
                    </w:rPr>
                    <w:t>南</w:t>
                  </w:r>
                  <w:r>
                    <w:rPr>
                      <w:rFonts w:hint="eastAsia" w:ascii="Times New Roman" w:hAnsi="Times New Roman" w:eastAsia="宋体" w:cs="Times New Roman"/>
                      <w:color w:val="auto"/>
                      <w:kern w:val="2"/>
                      <w:sz w:val="21"/>
                      <w:szCs w:val="21"/>
                      <w:highlight w:val="none"/>
                      <w:lang w:val="en-US" w:eastAsia="zh-CN" w:bidi="ar-SA"/>
                    </w:rPr>
                    <w:t>侧</w:t>
                  </w:r>
                </w:p>
              </w:tc>
              <w:tc>
                <w:tcPr>
                  <w:tcW w:w="1005" w:type="dxa"/>
                  <w:noWrap w:val="0"/>
                  <w:vAlign w:val="center"/>
                </w:tcPr>
                <w:p w14:paraId="2D446C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w:t>
                  </w:r>
                </w:p>
              </w:tc>
              <w:tc>
                <w:tcPr>
                  <w:tcW w:w="945" w:type="dxa"/>
                  <w:noWrap w:val="0"/>
                  <w:vAlign w:val="center"/>
                </w:tcPr>
                <w:p w14:paraId="66B58EF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z w:val="21"/>
                      <w:szCs w:val="21"/>
                      <w:highlight w:val="none"/>
                      <w:lang w:val="en-US" w:eastAsia="zh-CN"/>
                    </w:rPr>
                  </w:pPr>
                  <w:r>
                    <w:rPr>
                      <w:rFonts w:hint="eastAsia" w:cs="Times New Roman"/>
                      <w:color w:val="auto"/>
                      <w:kern w:val="0"/>
                      <w:szCs w:val="21"/>
                      <w:highlight w:val="none"/>
                      <w:lang w:val="en-US" w:eastAsia="zh-CN"/>
                    </w:rPr>
                    <w:t>0.4</w:t>
                  </w:r>
                </w:p>
              </w:tc>
              <w:tc>
                <w:tcPr>
                  <w:tcW w:w="1080" w:type="dxa"/>
                  <w:shd w:val="clear" w:color="auto" w:fill="auto"/>
                  <w:noWrap w:val="0"/>
                  <w:vAlign w:val="center"/>
                </w:tcPr>
                <w:p w14:paraId="286A4CF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0"/>
                      <w:szCs w:val="21"/>
                      <w:highlight w:val="none"/>
                      <w:lang w:val="en-US" w:eastAsia="zh-CN"/>
                    </w:rPr>
                    <w:t>0.4</w:t>
                  </w:r>
                </w:p>
              </w:tc>
              <w:tc>
                <w:tcPr>
                  <w:tcW w:w="2009" w:type="dxa"/>
                  <w:noWrap w:val="0"/>
                  <w:vAlign w:val="center"/>
                </w:tcPr>
                <w:p w14:paraId="21DA10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现有项目砂处理</w:t>
                  </w:r>
                </w:p>
              </w:tc>
              <w:tc>
                <w:tcPr>
                  <w:tcW w:w="2461" w:type="dxa"/>
                  <w:noWrap w:val="0"/>
                  <w:vAlign w:val="center"/>
                </w:tcPr>
                <w:p w14:paraId="2E1D51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现有项目砂处理</w:t>
                  </w:r>
                </w:p>
              </w:tc>
              <w:tc>
                <w:tcPr>
                  <w:tcW w:w="1680" w:type="dxa"/>
                  <w:noWrap w:val="0"/>
                  <w:vAlign w:val="center"/>
                </w:tcPr>
                <w:p w14:paraId="0FE47B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1721" w:type="dxa"/>
                  <w:noWrap w:val="0"/>
                  <w:vAlign w:val="center"/>
                </w:tcPr>
                <w:p w14:paraId="32C5E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r>
            <w:tr w14:paraId="13CD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noWrap w:val="0"/>
                  <w:vAlign w:val="center"/>
                </w:tcPr>
                <w:p w14:paraId="74ECF8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DA003</w:t>
                  </w:r>
                </w:p>
              </w:tc>
              <w:tc>
                <w:tcPr>
                  <w:tcW w:w="1665" w:type="dxa"/>
                  <w:noWrap w:val="0"/>
                  <w:vAlign w:val="center"/>
                </w:tcPr>
                <w:p w14:paraId="77B848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打磨</w:t>
                  </w:r>
                  <w:r>
                    <w:rPr>
                      <w:rFonts w:hint="eastAsia" w:ascii="Times New Roman" w:hAnsi="Times New Roman" w:eastAsia="宋体" w:cs="Times New Roman"/>
                      <w:color w:val="auto"/>
                      <w:kern w:val="2"/>
                      <w:sz w:val="21"/>
                      <w:szCs w:val="21"/>
                      <w:highlight w:val="none"/>
                      <w:lang w:val="en-US" w:eastAsia="zh-CN" w:bidi="ar-SA"/>
                    </w:rPr>
                    <w:t>区</w:t>
                  </w:r>
                </w:p>
                <w:p w14:paraId="768B67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厂房外</w:t>
                  </w:r>
                  <w:r>
                    <w:rPr>
                      <w:rFonts w:hint="eastAsia" w:cs="Times New Roman"/>
                      <w:color w:val="auto"/>
                      <w:kern w:val="2"/>
                      <w:sz w:val="21"/>
                      <w:szCs w:val="21"/>
                      <w:highlight w:val="none"/>
                      <w:lang w:val="en-US" w:eastAsia="zh-CN" w:bidi="ar-SA"/>
                    </w:rPr>
                    <w:t>西</w:t>
                  </w:r>
                  <w:r>
                    <w:rPr>
                      <w:rFonts w:hint="eastAsia" w:ascii="Times New Roman" w:hAnsi="Times New Roman" w:eastAsia="宋体" w:cs="Times New Roman"/>
                      <w:color w:val="auto"/>
                      <w:kern w:val="2"/>
                      <w:sz w:val="21"/>
                      <w:szCs w:val="21"/>
                      <w:highlight w:val="none"/>
                      <w:lang w:val="en-US" w:eastAsia="zh-CN" w:bidi="ar-SA"/>
                    </w:rPr>
                    <w:t>侧</w:t>
                  </w:r>
                </w:p>
              </w:tc>
              <w:tc>
                <w:tcPr>
                  <w:tcW w:w="1005" w:type="dxa"/>
                  <w:noWrap w:val="0"/>
                  <w:vAlign w:val="center"/>
                </w:tcPr>
                <w:p w14:paraId="21F1B7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w:t>
                  </w:r>
                </w:p>
              </w:tc>
              <w:tc>
                <w:tcPr>
                  <w:tcW w:w="945" w:type="dxa"/>
                  <w:noWrap w:val="0"/>
                  <w:vAlign w:val="center"/>
                </w:tcPr>
                <w:p w14:paraId="73E7953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z w:val="21"/>
                      <w:szCs w:val="21"/>
                      <w:highlight w:val="none"/>
                      <w:lang w:val="en-US" w:eastAsia="zh-CN"/>
                    </w:rPr>
                  </w:pPr>
                  <w:r>
                    <w:rPr>
                      <w:rFonts w:hint="eastAsia" w:cs="Times New Roman"/>
                      <w:color w:val="auto"/>
                      <w:highlight w:val="none"/>
                      <w:lang w:val="en-US" w:eastAsia="zh-CN"/>
                    </w:rPr>
                    <w:t>0.4</w:t>
                  </w:r>
                </w:p>
              </w:tc>
              <w:tc>
                <w:tcPr>
                  <w:tcW w:w="1080" w:type="dxa"/>
                  <w:shd w:val="clear" w:color="auto" w:fill="auto"/>
                  <w:noWrap w:val="0"/>
                  <w:vAlign w:val="center"/>
                </w:tcPr>
                <w:p w14:paraId="4EEB67D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0.4</w:t>
                  </w:r>
                </w:p>
              </w:tc>
              <w:tc>
                <w:tcPr>
                  <w:tcW w:w="2009" w:type="dxa"/>
                  <w:noWrap w:val="0"/>
                  <w:vAlign w:val="center"/>
                </w:tcPr>
                <w:p w14:paraId="7BCD25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现有项目抛丸、打磨废气</w:t>
                  </w:r>
                </w:p>
              </w:tc>
              <w:tc>
                <w:tcPr>
                  <w:tcW w:w="2461" w:type="dxa"/>
                  <w:noWrap w:val="0"/>
                  <w:vAlign w:val="center"/>
                </w:tcPr>
                <w:p w14:paraId="182879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打磨</w:t>
                  </w:r>
                  <w:r>
                    <w:rPr>
                      <w:rFonts w:hint="eastAsia" w:cs="Times New Roman"/>
                      <w:color w:val="auto"/>
                      <w:sz w:val="21"/>
                      <w:szCs w:val="21"/>
                      <w:highlight w:val="none"/>
                      <w:lang w:val="en-US" w:eastAsia="zh-CN"/>
                    </w:rPr>
                    <w:t>粉尘</w:t>
                  </w:r>
                </w:p>
              </w:tc>
              <w:tc>
                <w:tcPr>
                  <w:tcW w:w="1680" w:type="dxa"/>
                  <w:noWrap w:val="0"/>
                  <w:vAlign w:val="center"/>
                </w:tcPr>
                <w:p w14:paraId="22575A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1721" w:type="dxa"/>
                  <w:noWrap w:val="0"/>
                  <w:vAlign w:val="center"/>
                </w:tcPr>
                <w:p w14:paraId="0B4D2E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r>
            <w:tr w14:paraId="63D1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shd w:val="clear" w:color="auto" w:fill="auto"/>
                  <w:noWrap w:val="0"/>
                  <w:vAlign w:val="center"/>
                </w:tcPr>
                <w:p w14:paraId="369C17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4</w:t>
                  </w:r>
                </w:p>
              </w:tc>
              <w:tc>
                <w:tcPr>
                  <w:tcW w:w="1665" w:type="dxa"/>
                  <w:noWrap w:val="0"/>
                  <w:vAlign w:val="center"/>
                </w:tcPr>
                <w:p w14:paraId="3AE33D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现有射芯区</w:t>
                  </w:r>
                </w:p>
                <w:p w14:paraId="201DDB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厂房外西侧</w:t>
                  </w:r>
                </w:p>
              </w:tc>
              <w:tc>
                <w:tcPr>
                  <w:tcW w:w="1005" w:type="dxa"/>
                  <w:shd w:val="clear" w:color="auto" w:fill="auto"/>
                  <w:noWrap w:val="0"/>
                  <w:vAlign w:val="center"/>
                </w:tcPr>
                <w:p w14:paraId="150615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15</w:t>
                  </w:r>
                </w:p>
              </w:tc>
              <w:tc>
                <w:tcPr>
                  <w:tcW w:w="945" w:type="dxa"/>
                  <w:noWrap w:val="0"/>
                  <w:vAlign w:val="center"/>
                </w:tcPr>
                <w:p w14:paraId="38919D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80" w:type="dxa"/>
                  <w:noWrap w:val="0"/>
                  <w:vAlign w:val="center"/>
                </w:tcPr>
                <w:p w14:paraId="540E9C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0.5</w:t>
                  </w:r>
                </w:p>
              </w:tc>
              <w:tc>
                <w:tcPr>
                  <w:tcW w:w="2009" w:type="dxa"/>
                  <w:shd w:val="clear" w:color="auto" w:fill="auto"/>
                  <w:noWrap w:val="0"/>
                  <w:vAlign w:val="center"/>
                </w:tcPr>
                <w:p w14:paraId="33A159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2461" w:type="dxa"/>
                  <w:noWrap w:val="0"/>
                  <w:vAlign w:val="center"/>
                </w:tcPr>
                <w:p w14:paraId="429EE4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全厂制芯（射芯）废气、造型/浇铸区废气</w:t>
                  </w:r>
                </w:p>
              </w:tc>
              <w:tc>
                <w:tcPr>
                  <w:tcW w:w="1680" w:type="dxa"/>
                  <w:shd w:val="clear" w:color="auto" w:fill="auto"/>
                  <w:noWrap w:val="0"/>
                  <w:vAlign w:val="center"/>
                </w:tcPr>
                <w:p w14:paraId="768C82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21" w:type="dxa"/>
                  <w:noWrap w:val="0"/>
                  <w:vAlign w:val="center"/>
                </w:tcPr>
                <w:p w14:paraId="664C40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颗粒物、挥发性有机物</w:t>
                  </w:r>
                </w:p>
              </w:tc>
            </w:tr>
            <w:tr w14:paraId="1FEC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shd w:val="clear" w:color="auto" w:fill="auto"/>
                  <w:noWrap w:val="0"/>
                  <w:vAlign w:val="center"/>
                </w:tcPr>
                <w:p w14:paraId="048294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5</w:t>
                  </w:r>
                </w:p>
              </w:tc>
              <w:tc>
                <w:tcPr>
                  <w:tcW w:w="1665" w:type="dxa"/>
                  <w:noWrap w:val="0"/>
                  <w:vAlign w:val="center"/>
                </w:tcPr>
                <w:p w14:paraId="390E1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抛丸区</w:t>
                  </w:r>
                </w:p>
                <w:p w14:paraId="6441C8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厂房外西侧</w:t>
                  </w:r>
                </w:p>
              </w:tc>
              <w:tc>
                <w:tcPr>
                  <w:tcW w:w="1005" w:type="dxa"/>
                  <w:shd w:val="clear" w:color="auto" w:fill="auto"/>
                  <w:noWrap w:val="0"/>
                  <w:vAlign w:val="center"/>
                </w:tcPr>
                <w:p w14:paraId="5A6CA6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15</w:t>
                  </w:r>
                </w:p>
              </w:tc>
              <w:tc>
                <w:tcPr>
                  <w:tcW w:w="945" w:type="dxa"/>
                  <w:noWrap w:val="0"/>
                  <w:vAlign w:val="center"/>
                </w:tcPr>
                <w:p w14:paraId="66CB80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80" w:type="dxa"/>
                  <w:noWrap w:val="0"/>
                  <w:vAlign w:val="center"/>
                </w:tcPr>
                <w:p w14:paraId="5FF6AA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0.5</w:t>
                  </w:r>
                </w:p>
              </w:tc>
              <w:tc>
                <w:tcPr>
                  <w:tcW w:w="2009" w:type="dxa"/>
                  <w:shd w:val="clear" w:color="auto" w:fill="auto"/>
                  <w:noWrap w:val="0"/>
                  <w:vAlign w:val="center"/>
                </w:tcPr>
                <w:p w14:paraId="6CEA5A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2461" w:type="dxa"/>
                  <w:noWrap w:val="0"/>
                  <w:vAlign w:val="center"/>
                </w:tcPr>
                <w:p w14:paraId="28D20E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抛丸粉尘</w:t>
                  </w:r>
                </w:p>
              </w:tc>
              <w:tc>
                <w:tcPr>
                  <w:tcW w:w="1680" w:type="dxa"/>
                  <w:shd w:val="clear" w:color="auto" w:fill="auto"/>
                  <w:noWrap w:val="0"/>
                  <w:vAlign w:val="center"/>
                </w:tcPr>
                <w:p w14:paraId="1F73E0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21" w:type="dxa"/>
                  <w:noWrap w:val="0"/>
                  <w:vAlign w:val="center"/>
                </w:tcPr>
                <w:p w14:paraId="2750D8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r>
            <w:tr w14:paraId="6948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7" w:type="dxa"/>
                  <w:shd w:val="clear" w:color="auto" w:fill="auto"/>
                  <w:noWrap w:val="0"/>
                  <w:vAlign w:val="center"/>
                </w:tcPr>
                <w:p w14:paraId="7BF65A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6</w:t>
                  </w:r>
                </w:p>
              </w:tc>
              <w:tc>
                <w:tcPr>
                  <w:tcW w:w="1665" w:type="dxa"/>
                  <w:noWrap w:val="0"/>
                  <w:vAlign w:val="center"/>
                </w:tcPr>
                <w:p w14:paraId="387FB6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抛丸区</w:t>
                  </w:r>
                </w:p>
                <w:p w14:paraId="3D96BD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厂房外西侧</w:t>
                  </w:r>
                </w:p>
              </w:tc>
              <w:tc>
                <w:tcPr>
                  <w:tcW w:w="1005" w:type="dxa"/>
                  <w:shd w:val="clear" w:color="auto" w:fill="auto"/>
                  <w:noWrap w:val="0"/>
                  <w:vAlign w:val="center"/>
                </w:tcPr>
                <w:p w14:paraId="47D1C7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15</w:t>
                  </w:r>
                </w:p>
              </w:tc>
              <w:tc>
                <w:tcPr>
                  <w:tcW w:w="945" w:type="dxa"/>
                  <w:noWrap w:val="0"/>
                  <w:vAlign w:val="center"/>
                </w:tcPr>
                <w:p w14:paraId="31173A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80" w:type="dxa"/>
                  <w:noWrap w:val="0"/>
                  <w:vAlign w:val="center"/>
                </w:tcPr>
                <w:p w14:paraId="1AB698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0.5</w:t>
                  </w:r>
                </w:p>
              </w:tc>
              <w:tc>
                <w:tcPr>
                  <w:tcW w:w="2009" w:type="dxa"/>
                  <w:shd w:val="clear" w:color="auto" w:fill="auto"/>
                  <w:noWrap w:val="0"/>
                  <w:vAlign w:val="center"/>
                </w:tcPr>
                <w:p w14:paraId="52EC89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2461" w:type="dxa"/>
                  <w:noWrap w:val="0"/>
                  <w:vAlign w:val="center"/>
                </w:tcPr>
                <w:p w14:paraId="430507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抛丸粉尘</w:t>
                  </w:r>
                </w:p>
              </w:tc>
              <w:tc>
                <w:tcPr>
                  <w:tcW w:w="1680" w:type="dxa"/>
                  <w:shd w:val="clear" w:color="auto" w:fill="auto"/>
                  <w:noWrap w:val="0"/>
                  <w:vAlign w:val="center"/>
                </w:tcPr>
                <w:p w14:paraId="336D08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21" w:type="dxa"/>
                  <w:noWrap w:val="0"/>
                  <w:vAlign w:val="center"/>
                </w:tcPr>
                <w:p w14:paraId="566E4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r>
          </w:tbl>
          <w:p w14:paraId="7B95520B">
            <w:pPr>
              <w:widowControl/>
              <w:adjustRightInd w:val="0"/>
              <w:snapToGrid w:val="0"/>
              <w:spacing w:line="240" w:lineRule="auto"/>
              <w:jc w:val="left"/>
              <w:rPr>
                <w:rFonts w:hint="eastAsia" w:ascii="Times New Roman" w:hAnsi="Times New Roman" w:eastAsia="宋体" w:cs="Times New Roman"/>
                <w:b w:val="0"/>
                <w:bCs w:val="0"/>
                <w:color w:val="FF0000"/>
                <w:kern w:val="0"/>
                <w:sz w:val="18"/>
                <w:szCs w:val="18"/>
                <w:highlight w:val="none"/>
                <w:lang w:val="en-US" w:eastAsia="zh-CN"/>
              </w:rPr>
            </w:pPr>
          </w:p>
          <w:p w14:paraId="121E1258">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（2）排放口设置情况及监测计划</w:t>
            </w:r>
          </w:p>
          <w:p w14:paraId="531781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根据《排污单位自行监测技术指南 金属铸造工业》（HJ 1251-2022），制定本项目大气监测计划如下：</w:t>
            </w:r>
          </w:p>
          <w:p w14:paraId="1FE59F2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表4-</w:t>
            </w:r>
            <w:r>
              <w:rPr>
                <w:rFonts w:hint="eastAsia" w:ascii="Times New Roman" w:hAnsi="Times New Roman" w:eastAsia="宋体" w:cs="Times New Roman"/>
                <w:b/>
                <w:bCs/>
                <w:color w:val="auto"/>
                <w:kern w:val="2"/>
                <w:sz w:val="24"/>
                <w:szCs w:val="24"/>
                <w:lang w:val="en-US" w:eastAsia="zh-CN"/>
              </w:rPr>
              <w:t>7</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企业</w:t>
            </w:r>
            <w:r>
              <w:rPr>
                <w:rFonts w:hint="default" w:ascii="Times New Roman" w:hAnsi="Times New Roman" w:eastAsia="宋体" w:cs="Times New Roman"/>
                <w:b/>
                <w:bCs/>
                <w:color w:val="auto"/>
                <w:kern w:val="2"/>
                <w:sz w:val="24"/>
                <w:szCs w:val="24"/>
                <w:lang w:val="en-US" w:eastAsia="zh-CN"/>
              </w:rPr>
              <w:t>排气口设置及大气污染物监测计划</w:t>
            </w:r>
          </w:p>
          <w:tbl>
            <w:tblPr>
              <w:tblStyle w:val="36"/>
              <w:tblW w:w="499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top w:w="0" w:type="dxa"/>
                <w:left w:w="108" w:type="dxa"/>
                <w:bottom w:w="0" w:type="dxa"/>
                <w:right w:w="108" w:type="dxa"/>
              </w:tblCellMar>
            </w:tblPr>
            <w:tblGrid>
              <w:gridCol w:w="898"/>
              <w:gridCol w:w="1104"/>
              <w:gridCol w:w="707"/>
              <w:gridCol w:w="669"/>
              <w:gridCol w:w="720"/>
              <w:gridCol w:w="1299"/>
              <w:gridCol w:w="956"/>
              <w:gridCol w:w="1167"/>
              <w:gridCol w:w="1083"/>
              <w:gridCol w:w="2047"/>
              <w:gridCol w:w="1831"/>
              <w:gridCol w:w="1045"/>
            </w:tblGrid>
            <w:tr w14:paraId="46780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0" w:hRule="atLeast"/>
                <w:jc w:val="center"/>
              </w:trPr>
              <w:tc>
                <w:tcPr>
                  <w:tcW w:w="331" w:type="pct"/>
                  <w:vMerge w:val="restart"/>
                  <w:tcBorders>
                    <w:tl2br w:val="nil"/>
                    <w:tr2bl w:val="nil"/>
                  </w:tcBorders>
                  <w:shd w:val="clear" w:color="auto" w:fill="auto"/>
                  <w:noWrap w:val="0"/>
                  <w:vAlign w:val="center"/>
                </w:tcPr>
                <w:p w14:paraId="773598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污染源类别</w:t>
                  </w:r>
                </w:p>
              </w:tc>
              <w:tc>
                <w:tcPr>
                  <w:tcW w:w="408" w:type="pct"/>
                  <w:vMerge w:val="restart"/>
                  <w:tcBorders>
                    <w:tl2br w:val="nil"/>
                    <w:tr2bl w:val="nil"/>
                  </w:tcBorders>
                  <w:shd w:val="clear" w:color="auto" w:fill="auto"/>
                  <w:noWrap w:val="0"/>
                  <w:vAlign w:val="center"/>
                </w:tcPr>
                <w:p w14:paraId="052974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排污口编号及名称</w:t>
                  </w:r>
                </w:p>
              </w:tc>
              <w:tc>
                <w:tcPr>
                  <w:tcW w:w="1608" w:type="pct"/>
                  <w:gridSpan w:val="5"/>
                  <w:tcBorders>
                    <w:tl2br w:val="nil"/>
                    <w:tr2bl w:val="nil"/>
                  </w:tcBorders>
                  <w:shd w:val="clear" w:color="auto" w:fill="auto"/>
                  <w:noWrap w:val="0"/>
                  <w:vAlign w:val="center"/>
                </w:tcPr>
                <w:p w14:paraId="52653B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排放口基本情况</w:t>
                  </w:r>
                </w:p>
              </w:tc>
              <w:tc>
                <w:tcPr>
                  <w:tcW w:w="831" w:type="pct"/>
                  <w:gridSpan w:val="2"/>
                  <w:tcBorders>
                    <w:tl2br w:val="nil"/>
                    <w:tr2bl w:val="nil"/>
                  </w:tcBorders>
                  <w:shd w:val="clear" w:color="auto" w:fill="auto"/>
                  <w:noWrap w:val="0"/>
                  <w:vAlign w:val="center"/>
                </w:tcPr>
                <w:p w14:paraId="0DE88E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排放标准</w:t>
                  </w:r>
                </w:p>
              </w:tc>
              <w:tc>
                <w:tcPr>
                  <w:tcW w:w="1819" w:type="pct"/>
                  <w:gridSpan w:val="3"/>
                  <w:tcBorders>
                    <w:tl2br w:val="nil"/>
                    <w:tr2bl w:val="nil"/>
                  </w:tcBorders>
                  <w:shd w:val="clear" w:color="auto" w:fill="auto"/>
                  <w:noWrap w:val="0"/>
                  <w:vAlign w:val="center"/>
                </w:tcPr>
                <w:p w14:paraId="35F165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监测要求</w:t>
                  </w:r>
                </w:p>
              </w:tc>
            </w:tr>
            <w:tr w14:paraId="0A6FF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31" w:type="pct"/>
                  <w:vMerge w:val="continue"/>
                  <w:tcBorders>
                    <w:tl2br w:val="nil"/>
                    <w:tr2bl w:val="nil"/>
                  </w:tcBorders>
                  <w:shd w:val="clear" w:color="auto" w:fill="auto"/>
                  <w:noWrap w:val="0"/>
                  <w:vAlign w:val="center"/>
                </w:tcPr>
                <w:p w14:paraId="23BD20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c>
                <w:tcPr>
                  <w:tcW w:w="408" w:type="pct"/>
                  <w:vMerge w:val="continue"/>
                  <w:tcBorders>
                    <w:tl2br w:val="nil"/>
                    <w:tr2bl w:val="nil"/>
                  </w:tcBorders>
                  <w:shd w:val="clear" w:color="auto" w:fill="auto"/>
                  <w:noWrap w:val="0"/>
                  <w:vAlign w:val="center"/>
                </w:tcPr>
                <w:p w14:paraId="523076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c>
                <w:tcPr>
                  <w:tcW w:w="261" w:type="pct"/>
                  <w:tcBorders>
                    <w:tl2br w:val="nil"/>
                    <w:tr2bl w:val="nil"/>
                  </w:tcBorders>
                  <w:shd w:val="clear" w:color="auto" w:fill="auto"/>
                  <w:noWrap w:val="0"/>
                  <w:vAlign w:val="center"/>
                </w:tcPr>
                <w:p w14:paraId="4D2D0F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高度m</w:t>
                  </w:r>
                </w:p>
              </w:tc>
              <w:tc>
                <w:tcPr>
                  <w:tcW w:w="247" w:type="pct"/>
                  <w:tcBorders>
                    <w:tl2br w:val="nil"/>
                    <w:tr2bl w:val="nil"/>
                  </w:tcBorders>
                  <w:shd w:val="clear" w:color="auto" w:fill="auto"/>
                  <w:noWrap w:val="0"/>
                  <w:vAlign w:val="center"/>
                </w:tcPr>
                <w:p w14:paraId="303422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内径m</w:t>
                  </w:r>
                </w:p>
              </w:tc>
              <w:tc>
                <w:tcPr>
                  <w:tcW w:w="266" w:type="pct"/>
                  <w:tcBorders>
                    <w:tl2br w:val="nil"/>
                    <w:tr2bl w:val="nil"/>
                  </w:tcBorders>
                  <w:shd w:val="clear" w:color="auto" w:fill="auto"/>
                  <w:noWrap w:val="0"/>
                  <w:vAlign w:val="center"/>
                </w:tcPr>
                <w:p w14:paraId="1936C6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温度℃</w:t>
                  </w:r>
                </w:p>
              </w:tc>
              <w:tc>
                <w:tcPr>
                  <w:tcW w:w="480" w:type="pct"/>
                  <w:tcBorders>
                    <w:tl2br w:val="nil"/>
                    <w:tr2bl w:val="nil"/>
                  </w:tcBorders>
                  <w:shd w:val="clear" w:color="auto" w:fill="auto"/>
                  <w:noWrap w:val="0"/>
                  <w:vAlign w:val="center"/>
                </w:tcPr>
                <w:p w14:paraId="714979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坐标</w:t>
                  </w:r>
                </w:p>
              </w:tc>
              <w:tc>
                <w:tcPr>
                  <w:tcW w:w="353" w:type="pct"/>
                  <w:tcBorders>
                    <w:tl2br w:val="nil"/>
                    <w:tr2bl w:val="nil"/>
                  </w:tcBorders>
                  <w:shd w:val="clear" w:color="auto" w:fill="auto"/>
                  <w:noWrap w:val="0"/>
                  <w:vAlign w:val="center"/>
                </w:tcPr>
                <w:p w14:paraId="6972B8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类型</w:t>
                  </w:r>
                </w:p>
              </w:tc>
              <w:tc>
                <w:tcPr>
                  <w:tcW w:w="431" w:type="pct"/>
                  <w:tcBorders>
                    <w:tl2br w:val="nil"/>
                    <w:tr2bl w:val="nil"/>
                  </w:tcBorders>
                  <w:shd w:val="clear" w:color="auto" w:fill="auto"/>
                  <w:noWrap w:val="0"/>
                  <w:vAlign w:val="center"/>
                </w:tcPr>
                <w:p w14:paraId="0C4300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浓度限</w:t>
                  </w:r>
                  <w:r>
                    <w:rPr>
                      <w:rFonts w:hint="eastAsia" w:ascii="Times New Roman" w:hAnsi="Times New Roman" w:eastAsia="宋体" w:cs="Times New Roman"/>
                      <w:b/>
                      <w:bCs/>
                      <w:color w:val="auto"/>
                      <w:sz w:val="21"/>
                      <w:szCs w:val="21"/>
                      <w:highlight w:val="none"/>
                      <w:lang w:val="en-US" w:eastAsia="zh-CN"/>
                    </w:rPr>
                    <w:t>值</w:t>
                  </w:r>
                  <w:r>
                    <w:rPr>
                      <w:rFonts w:hint="default" w:ascii="Times New Roman" w:hAnsi="Times New Roman" w:eastAsia="宋体" w:cs="Times New Roman"/>
                      <w:b/>
                      <w:bCs/>
                      <w:color w:val="auto"/>
                      <w:sz w:val="21"/>
                      <w:szCs w:val="21"/>
                      <w:highlight w:val="no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400" w:type="pct"/>
                  <w:tcBorders>
                    <w:tl2br w:val="nil"/>
                    <w:tr2bl w:val="nil"/>
                  </w:tcBorders>
                  <w:shd w:val="clear" w:color="auto" w:fill="auto"/>
                  <w:noWrap w:val="0"/>
                  <w:vAlign w:val="center"/>
                </w:tcPr>
                <w:p w14:paraId="157181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速率</w:t>
                  </w:r>
                  <w:r>
                    <w:rPr>
                      <w:rFonts w:hint="default" w:ascii="Times New Roman" w:hAnsi="Times New Roman" w:eastAsia="宋体" w:cs="Times New Roman"/>
                      <w:b/>
                      <w:bCs/>
                      <w:color w:val="auto"/>
                      <w:sz w:val="21"/>
                      <w:szCs w:val="21"/>
                      <w:highlight w:val="none"/>
                      <w:lang w:val="en-US" w:eastAsia="zh-CN"/>
                    </w:rPr>
                    <w:t>限值</w:t>
                  </w:r>
                </w:p>
                <w:p w14:paraId="3CD298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w:t>
                  </w:r>
                  <w:r>
                    <w:rPr>
                      <w:rFonts w:hint="eastAsia" w:ascii="Times New Roman" w:hAnsi="Times New Roman" w:eastAsia="宋体" w:cs="Times New Roman"/>
                      <w:b/>
                      <w:bCs/>
                      <w:color w:val="auto"/>
                      <w:sz w:val="21"/>
                      <w:szCs w:val="21"/>
                      <w:highlight w:val="none"/>
                      <w:lang w:val="en-US" w:eastAsia="zh-CN"/>
                    </w:rPr>
                    <w:t>kg/h</w:t>
                  </w:r>
                  <w:r>
                    <w:rPr>
                      <w:rFonts w:hint="eastAsia" w:cs="Times New Roman"/>
                      <w:b/>
                      <w:bCs/>
                      <w:color w:val="auto"/>
                      <w:sz w:val="21"/>
                      <w:szCs w:val="21"/>
                      <w:highlight w:val="none"/>
                      <w:lang w:val="en-US" w:eastAsia="zh-CN"/>
                    </w:rPr>
                    <w:t>)</w:t>
                  </w:r>
                </w:p>
              </w:tc>
              <w:tc>
                <w:tcPr>
                  <w:tcW w:w="756" w:type="pct"/>
                  <w:tcBorders>
                    <w:tl2br w:val="nil"/>
                    <w:tr2bl w:val="nil"/>
                  </w:tcBorders>
                  <w:shd w:val="clear" w:color="auto" w:fill="auto"/>
                  <w:noWrap w:val="0"/>
                  <w:vAlign w:val="center"/>
                </w:tcPr>
                <w:p w14:paraId="3B0BE9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监测点位</w:t>
                  </w:r>
                </w:p>
              </w:tc>
              <w:tc>
                <w:tcPr>
                  <w:tcW w:w="676" w:type="pct"/>
                  <w:tcBorders>
                    <w:tl2br w:val="nil"/>
                    <w:tr2bl w:val="nil"/>
                  </w:tcBorders>
                  <w:shd w:val="clear" w:color="auto" w:fill="auto"/>
                  <w:noWrap w:val="0"/>
                  <w:vAlign w:val="center"/>
                </w:tcPr>
                <w:p w14:paraId="282D93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监测因子</w:t>
                  </w:r>
                </w:p>
              </w:tc>
              <w:tc>
                <w:tcPr>
                  <w:tcW w:w="386" w:type="pct"/>
                  <w:tcBorders>
                    <w:tl2br w:val="nil"/>
                    <w:tr2bl w:val="nil"/>
                  </w:tcBorders>
                  <w:shd w:val="clear" w:color="auto" w:fill="auto"/>
                  <w:noWrap w:val="0"/>
                  <w:vAlign w:val="center"/>
                </w:tcPr>
                <w:p w14:paraId="56BA0B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监测频次</w:t>
                  </w:r>
                </w:p>
              </w:tc>
            </w:tr>
            <w:tr w14:paraId="17D61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0" w:hRule="atLeast"/>
                <w:jc w:val="center"/>
              </w:trPr>
              <w:tc>
                <w:tcPr>
                  <w:tcW w:w="331" w:type="pct"/>
                  <w:vMerge w:val="restart"/>
                  <w:tcBorders>
                    <w:tl2br w:val="nil"/>
                    <w:tr2bl w:val="nil"/>
                  </w:tcBorders>
                  <w:shd w:val="clear" w:color="auto" w:fill="auto"/>
                  <w:noWrap w:val="0"/>
                  <w:vAlign w:val="center"/>
                </w:tcPr>
                <w:p w14:paraId="7FB959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有组织</w:t>
                  </w:r>
                </w:p>
              </w:tc>
              <w:tc>
                <w:tcPr>
                  <w:tcW w:w="408" w:type="pct"/>
                  <w:tcBorders>
                    <w:tl2br w:val="nil"/>
                    <w:tr2bl w:val="nil"/>
                  </w:tcBorders>
                  <w:shd w:val="clear" w:color="auto" w:fill="auto"/>
                  <w:noWrap w:val="0"/>
                  <w:vAlign w:val="center"/>
                </w:tcPr>
                <w:p w14:paraId="7AF75F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1</w:t>
                  </w:r>
                </w:p>
              </w:tc>
              <w:tc>
                <w:tcPr>
                  <w:tcW w:w="261" w:type="pct"/>
                  <w:tcBorders>
                    <w:tl2br w:val="nil"/>
                    <w:tr2bl w:val="nil"/>
                  </w:tcBorders>
                  <w:shd w:val="clear" w:color="auto" w:fill="auto"/>
                  <w:noWrap w:val="0"/>
                  <w:vAlign w:val="center"/>
                </w:tcPr>
                <w:p w14:paraId="78C3417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15</w:t>
                  </w:r>
                </w:p>
              </w:tc>
              <w:tc>
                <w:tcPr>
                  <w:tcW w:w="247" w:type="pct"/>
                  <w:tcBorders>
                    <w:tl2br w:val="nil"/>
                    <w:tr2bl w:val="nil"/>
                  </w:tcBorders>
                  <w:shd w:val="clear" w:color="auto" w:fill="auto"/>
                  <w:noWrap w:val="0"/>
                  <w:vAlign w:val="center"/>
                </w:tcPr>
                <w:p w14:paraId="42619AC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Cs w:val="21"/>
                      <w:highlight w:val="none"/>
                      <w:lang w:val="en-US" w:eastAsia="zh-CN"/>
                    </w:rPr>
                    <w:t>0.</w:t>
                  </w:r>
                  <w:r>
                    <w:rPr>
                      <w:rFonts w:hint="eastAsia" w:cs="Times New Roman"/>
                      <w:color w:val="auto"/>
                      <w:kern w:val="0"/>
                      <w:szCs w:val="21"/>
                      <w:highlight w:val="none"/>
                      <w:lang w:val="en-US" w:eastAsia="zh-CN"/>
                    </w:rPr>
                    <w:t>4</w:t>
                  </w:r>
                </w:p>
              </w:tc>
              <w:tc>
                <w:tcPr>
                  <w:tcW w:w="266" w:type="pct"/>
                  <w:tcBorders>
                    <w:tl2br w:val="nil"/>
                    <w:tr2bl w:val="nil"/>
                  </w:tcBorders>
                  <w:shd w:val="clear" w:color="auto" w:fill="auto"/>
                  <w:noWrap w:val="0"/>
                  <w:vAlign w:val="center"/>
                </w:tcPr>
                <w:p w14:paraId="36610F8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Cs w:val="21"/>
                      <w:highlight w:val="none"/>
                      <w:lang w:val="en-US" w:eastAsia="zh-CN"/>
                    </w:rPr>
                    <w:t>110</w:t>
                  </w:r>
                </w:p>
              </w:tc>
              <w:tc>
                <w:tcPr>
                  <w:tcW w:w="480" w:type="pct"/>
                  <w:tcBorders>
                    <w:tl2br w:val="nil"/>
                    <w:tr2bl w:val="nil"/>
                  </w:tcBorders>
                  <w:shd w:val="clear" w:color="auto" w:fill="auto"/>
                  <w:noWrap w:val="0"/>
                  <w:vAlign w:val="center"/>
                </w:tcPr>
                <w:p w14:paraId="259C504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118.451567</w:t>
                  </w:r>
                </w:p>
                <w:p w14:paraId="35F921C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rPr>
                    <w:t>30.695499</w:t>
                  </w:r>
                </w:p>
              </w:tc>
              <w:tc>
                <w:tcPr>
                  <w:tcW w:w="353" w:type="pct"/>
                  <w:tcBorders>
                    <w:tl2br w:val="nil"/>
                    <w:tr2bl w:val="nil"/>
                  </w:tcBorders>
                  <w:shd w:val="clear" w:color="auto" w:fill="auto"/>
                  <w:noWrap w:val="0"/>
                  <w:vAlign w:val="center"/>
                </w:tcPr>
                <w:p w14:paraId="1AA6F4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一般排放口</w:t>
                  </w:r>
                </w:p>
              </w:tc>
              <w:tc>
                <w:tcPr>
                  <w:tcW w:w="431" w:type="pct"/>
                  <w:tcBorders>
                    <w:tl2br w:val="nil"/>
                    <w:tr2bl w:val="nil"/>
                  </w:tcBorders>
                  <w:shd w:val="clear" w:color="auto" w:fill="auto"/>
                  <w:noWrap w:val="0"/>
                  <w:vAlign w:val="center"/>
                </w:tcPr>
                <w:p w14:paraId="553661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400" w:type="pct"/>
                  <w:tcBorders>
                    <w:tl2br w:val="nil"/>
                    <w:tr2bl w:val="nil"/>
                  </w:tcBorders>
                  <w:shd w:val="clear" w:color="auto" w:fill="auto"/>
                  <w:noWrap w:val="0"/>
                  <w:vAlign w:val="center"/>
                </w:tcPr>
                <w:p w14:paraId="438D63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56" w:type="pct"/>
                  <w:tcBorders>
                    <w:tl2br w:val="nil"/>
                    <w:tr2bl w:val="nil"/>
                  </w:tcBorders>
                  <w:shd w:val="clear" w:color="auto" w:fill="auto"/>
                  <w:noWrap w:val="0"/>
                  <w:vAlign w:val="center"/>
                </w:tcPr>
                <w:p w14:paraId="5F0E17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排气筒</w:t>
                  </w: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1</w:t>
                  </w:r>
                </w:p>
              </w:tc>
              <w:tc>
                <w:tcPr>
                  <w:tcW w:w="676" w:type="pct"/>
                  <w:tcBorders>
                    <w:tl2br w:val="nil"/>
                    <w:tr2bl w:val="nil"/>
                  </w:tcBorders>
                  <w:shd w:val="clear" w:color="auto" w:fill="auto"/>
                  <w:noWrap w:val="0"/>
                  <w:vAlign w:val="center"/>
                </w:tcPr>
                <w:p w14:paraId="596FC5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86" w:type="pct"/>
                  <w:tcBorders>
                    <w:tl2br w:val="nil"/>
                    <w:tr2bl w:val="nil"/>
                  </w:tcBorders>
                  <w:shd w:val="clear" w:color="auto" w:fill="auto"/>
                  <w:noWrap w:val="0"/>
                  <w:vAlign w:val="center"/>
                </w:tcPr>
                <w:p w14:paraId="6A9BB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w:t>
                  </w:r>
                  <w:r>
                    <w:rPr>
                      <w:rFonts w:hint="eastAsia" w:ascii="Times New Roman" w:hAnsi="Times New Roman" w:eastAsia="宋体" w:cs="Times New Roman"/>
                      <w:color w:val="auto"/>
                      <w:sz w:val="21"/>
                      <w:szCs w:val="21"/>
                      <w:highlight w:val="none"/>
                      <w:lang w:val="en-US" w:eastAsia="zh-CN"/>
                    </w:rPr>
                    <w:t>半</w:t>
                  </w:r>
                  <w:r>
                    <w:rPr>
                      <w:rFonts w:hint="default" w:ascii="Times New Roman" w:hAnsi="Times New Roman" w:eastAsia="宋体" w:cs="Times New Roman"/>
                      <w:color w:val="auto"/>
                      <w:sz w:val="21"/>
                      <w:szCs w:val="21"/>
                      <w:highlight w:val="none"/>
                      <w:lang w:val="en-US" w:eastAsia="zh-CN"/>
                    </w:rPr>
                    <w:t>年</w:t>
                  </w:r>
                </w:p>
              </w:tc>
            </w:tr>
            <w:tr w14:paraId="1346E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jc w:val="center"/>
              </w:trPr>
              <w:tc>
                <w:tcPr>
                  <w:tcW w:w="331" w:type="pct"/>
                  <w:vMerge w:val="continue"/>
                  <w:tcBorders>
                    <w:tl2br w:val="nil"/>
                    <w:tr2bl w:val="nil"/>
                  </w:tcBorders>
                  <w:shd w:val="clear" w:color="auto" w:fill="auto"/>
                  <w:noWrap w:val="0"/>
                  <w:vAlign w:val="center"/>
                </w:tcPr>
                <w:p w14:paraId="191FD0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408" w:type="pct"/>
                  <w:tcBorders>
                    <w:tl2br w:val="nil"/>
                    <w:tr2bl w:val="nil"/>
                  </w:tcBorders>
                  <w:shd w:val="clear" w:color="auto" w:fill="auto"/>
                  <w:noWrap w:val="0"/>
                  <w:vAlign w:val="center"/>
                </w:tcPr>
                <w:p w14:paraId="3A291C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2</w:t>
                  </w:r>
                </w:p>
              </w:tc>
              <w:tc>
                <w:tcPr>
                  <w:tcW w:w="261" w:type="pct"/>
                  <w:tcBorders>
                    <w:tl2br w:val="nil"/>
                    <w:tr2bl w:val="nil"/>
                  </w:tcBorders>
                  <w:shd w:val="clear" w:color="auto" w:fill="auto"/>
                  <w:noWrap w:val="0"/>
                  <w:vAlign w:val="center"/>
                </w:tcPr>
                <w:p w14:paraId="0C3B134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kern w:val="2"/>
                      <w:sz w:val="21"/>
                      <w:szCs w:val="24"/>
                      <w:highlight w:val="none"/>
                      <w:lang w:val="en-US" w:eastAsia="zh-CN" w:bidi="ar-SA"/>
                    </w:rPr>
                  </w:pPr>
                  <w:r>
                    <w:rPr>
                      <w:rFonts w:hint="default" w:ascii="Times New Roman" w:hAnsi="Times New Roman" w:cs="Times New Roman"/>
                      <w:color w:val="auto"/>
                      <w:kern w:val="0"/>
                      <w:szCs w:val="21"/>
                      <w:highlight w:val="none"/>
                      <w:lang w:val="en-US" w:eastAsia="zh-CN"/>
                    </w:rPr>
                    <w:t>15</w:t>
                  </w:r>
                </w:p>
              </w:tc>
              <w:tc>
                <w:tcPr>
                  <w:tcW w:w="247" w:type="pct"/>
                  <w:tcBorders>
                    <w:tl2br w:val="nil"/>
                    <w:tr2bl w:val="nil"/>
                  </w:tcBorders>
                  <w:shd w:val="clear" w:color="auto" w:fill="auto"/>
                  <w:noWrap w:val="0"/>
                  <w:vAlign w:val="center"/>
                </w:tcPr>
                <w:p w14:paraId="2DD9E5E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0"/>
                      <w:szCs w:val="21"/>
                      <w:highlight w:val="none"/>
                      <w:lang w:val="en-US" w:eastAsia="zh-CN"/>
                    </w:rPr>
                    <w:t>0.4</w:t>
                  </w:r>
                </w:p>
              </w:tc>
              <w:tc>
                <w:tcPr>
                  <w:tcW w:w="266" w:type="pct"/>
                  <w:tcBorders>
                    <w:tl2br w:val="nil"/>
                    <w:tr2bl w:val="nil"/>
                  </w:tcBorders>
                  <w:shd w:val="clear" w:color="auto" w:fill="auto"/>
                  <w:noWrap w:val="0"/>
                  <w:vAlign w:val="center"/>
                </w:tcPr>
                <w:p w14:paraId="057A5F0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kern w:val="2"/>
                      <w:sz w:val="21"/>
                      <w:szCs w:val="24"/>
                      <w:highlight w:val="none"/>
                      <w:lang w:val="en-US" w:eastAsia="zh-CN" w:bidi="ar-SA"/>
                    </w:rPr>
                  </w:pPr>
                  <w:r>
                    <w:rPr>
                      <w:rFonts w:hint="default" w:ascii="Times New Roman" w:hAnsi="Times New Roman" w:cs="Times New Roman"/>
                      <w:color w:val="auto"/>
                      <w:kern w:val="0"/>
                      <w:szCs w:val="21"/>
                      <w:highlight w:val="none"/>
                      <w:lang w:val="en-US" w:eastAsia="zh-CN"/>
                    </w:rPr>
                    <w:t>25</w:t>
                  </w:r>
                </w:p>
              </w:tc>
              <w:tc>
                <w:tcPr>
                  <w:tcW w:w="480" w:type="pct"/>
                  <w:tcBorders>
                    <w:tl2br w:val="nil"/>
                    <w:tr2bl w:val="nil"/>
                  </w:tcBorders>
                  <w:shd w:val="clear" w:color="auto" w:fill="auto"/>
                  <w:noWrap w:val="0"/>
                  <w:vAlign w:val="center"/>
                </w:tcPr>
                <w:p w14:paraId="6812635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118.451481</w:t>
                  </w:r>
                </w:p>
                <w:p w14:paraId="3A5498D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rPr>
                    <w:t>30.694839</w:t>
                  </w:r>
                </w:p>
              </w:tc>
              <w:tc>
                <w:tcPr>
                  <w:tcW w:w="353" w:type="pct"/>
                  <w:tcBorders>
                    <w:tl2br w:val="nil"/>
                    <w:tr2bl w:val="nil"/>
                  </w:tcBorders>
                  <w:shd w:val="clear" w:color="auto" w:fill="auto"/>
                  <w:noWrap w:val="0"/>
                  <w:vAlign w:val="center"/>
                </w:tcPr>
                <w:p w14:paraId="63B150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一般排放口</w:t>
                  </w:r>
                </w:p>
              </w:tc>
              <w:tc>
                <w:tcPr>
                  <w:tcW w:w="431" w:type="pct"/>
                  <w:tcBorders>
                    <w:tl2br w:val="nil"/>
                    <w:tr2bl w:val="nil"/>
                  </w:tcBorders>
                  <w:shd w:val="clear" w:color="auto" w:fill="auto"/>
                  <w:noWrap w:val="0"/>
                  <w:vAlign w:val="center"/>
                </w:tcPr>
                <w:p w14:paraId="49F024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400" w:type="pct"/>
                  <w:tcBorders>
                    <w:tl2br w:val="nil"/>
                    <w:tr2bl w:val="nil"/>
                  </w:tcBorders>
                  <w:shd w:val="clear" w:color="auto" w:fill="auto"/>
                  <w:noWrap w:val="0"/>
                  <w:vAlign w:val="center"/>
                </w:tcPr>
                <w:p w14:paraId="57A4EE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756" w:type="pct"/>
                  <w:tcBorders>
                    <w:tl2br w:val="nil"/>
                    <w:tr2bl w:val="nil"/>
                  </w:tcBorders>
                  <w:shd w:val="clear" w:color="auto" w:fill="auto"/>
                  <w:noWrap w:val="0"/>
                  <w:vAlign w:val="center"/>
                </w:tcPr>
                <w:p w14:paraId="3301C7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排气筒</w:t>
                  </w: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2</w:t>
                  </w:r>
                </w:p>
              </w:tc>
              <w:tc>
                <w:tcPr>
                  <w:tcW w:w="676" w:type="pct"/>
                  <w:tcBorders>
                    <w:tl2br w:val="nil"/>
                    <w:tr2bl w:val="nil"/>
                  </w:tcBorders>
                  <w:shd w:val="clear" w:color="auto" w:fill="auto"/>
                  <w:noWrap w:val="0"/>
                  <w:vAlign w:val="center"/>
                </w:tcPr>
                <w:p w14:paraId="280BC8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86" w:type="pct"/>
                  <w:tcBorders>
                    <w:tl2br w:val="nil"/>
                    <w:tr2bl w:val="nil"/>
                  </w:tcBorders>
                  <w:shd w:val="clear" w:color="auto" w:fill="auto"/>
                  <w:noWrap w:val="0"/>
                  <w:vAlign w:val="center"/>
                </w:tcPr>
                <w:p w14:paraId="56E391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w:t>
                  </w:r>
                  <w:r>
                    <w:rPr>
                      <w:rFonts w:hint="eastAsia" w:ascii="Times New Roman" w:hAnsi="Times New Roman" w:eastAsia="宋体" w:cs="Times New Roman"/>
                      <w:color w:val="auto"/>
                      <w:sz w:val="21"/>
                      <w:szCs w:val="21"/>
                      <w:highlight w:val="none"/>
                      <w:lang w:val="en-US" w:eastAsia="zh-CN"/>
                    </w:rPr>
                    <w:t>半</w:t>
                  </w:r>
                  <w:r>
                    <w:rPr>
                      <w:rFonts w:hint="default" w:ascii="Times New Roman" w:hAnsi="Times New Roman" w:eastAsia="宋体" w:cs="Times New Roman"/>
                      <w:color w:val="auto"/>
                      <w:sz w:val="21"/>
                      <w:szCs w:val="21"/>
                      <w:highlight w:val="none"/>
                      <w:lang w:val="en-US" w:eastAsia="zh-CN"/>
                    </w:rPr>
                    <w:t>年</w:t>
                  </w:r>
                </w:p>
              </w:tc>
            </w:tr>
            <w:tr w14:paraId="2D835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266" w:hRule="atLeast"/>
                <w:jc w:val="center"/>
              </w:trPr>
              <w:tc>
                <w:tcPr>
                  <w:tcW w:w="331" w:type="pct"/>
                  <w:vMerge w:val="continue"/>
                  <w:tcBorders>
                    <w:tl2br w:val="nil"/>
                    <w:tr2bl w:val="nil"/>
                  </w:tcBorders>
                  <w:shd w:val="clear" w:color="auto" w:fill="auto"/>
                  <w:noWrap w:val="0"/>
                  <w:vAlign w:val="center"/>
                </w:tcPr>
                <w:p w14:paraId="4F4A9F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408" w:type="pct"/>
                  <w:tcBorders>
                    <w:tl2br w:val="nil"/>
                    <w:tr2bl w:val="nil"/>
                  </w:tcBorders>
                  <w:shd w:val="clear" w:color="auto" w:fill="auto"/>
                  <w:noWrap w:val="0"/>
                  <w:vAlign w:val="center"/>
                </w:tcPr>
                <w:p w14:paraId="1EB6B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3</w:t>
                  </w:r>
                </w:p>
              </w:tc>
              <w:tc>
                <w:tcPr>
                  <w:tcW w:w="261" w:type="pct"/>
                  <w:tcBorders>
                    <w:tl2br w:val="nil"/>
                    <w:tr2bl w:val="nil"/>
                  </w:tcBorders>
                  <w:shd w:val="clear" w:color="auto" w:fill="auto"/>
                  <w:noWrap w:val="0"/>
                  <w:vAlign w:val="center"/>
                </w:tcPr>
                <w:p w14:paraId="5B54A06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kern w:val="0"/>
                      <w:sz w:val="21"/>
                      <w:szCs w:val="21"/>
                      <w:highlight w:val="none"/>
                      <w:lang w:val="en-US" w:eastAsia="zh-CN" w:bidi="ar-SA"/>
                    </w:rPr>
                  </w:pPr>
                  <w:r>
                    <w:rPr>
                      <w:rFonts w:hint="default" w:ascii="Times New Roman" w:hAnsi="Times New Roman" w:cs="Times New Roman"/>
                      <w:color w:val="auto"/>
                      <w:kern w:val="0"/>
                      <w:szCs w:val="21"/>
                      <w:highlight w:val="none"/>
                      <w:lang w:val="en-US" w:eastAsia="zh-CN"/>
                    </w:rPr>
                    <w:t>15</w:t>
                  </w:r>
                </w:p>
              </w:tc>
              <w:tc>
                <w:tcPr>
                  <w:tcW w:w="247" w:type="pct"/>
                  <w:tcBorders>
                    <w:tl2br w:val="nil"/>
                    <w:tr2bl w:val="nil"/>
                  </w:tcBorders>
                  <w:shd w:val="clear" w:color="auto" w:fill="auto"/>
                  <w:noWrap w:val="0"/>
                  <w:vAlign w:val="center"/>
                </w:tcPr>
                <w:p w14:paraId="681F964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0.4</w:t>
                  </w:r>
                </w:p>
              </w:tc>
              <w:tc>
                <w:tcPr>
                  <w:tcW w:w="266" w:type="pct"/>
                  <w:tcBorders>
                    <w:tl2br w:val="nil"/>
                    <w:tr2bl w:val="nil"/>
                  </w:tcBorders>
                  <w:shd w:val="clear" w:color="auto" w:fill="auto"/>
                  <w:noWrap w:val="0"/>
                  <w:vAlign w:val="center"/>
                </w:tcPr>
                <w:p w14:paraId="7F66A41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kern w:val="0"/>
                      <w:sz w:val="21"/>
                      <w:szCs w:val="21"/>
                      <w:highlight w:val="none"/>
                      <w:lang w:val="en-US" w:eastAsia="zh-CN" w:bidi="ar-SA"/>
                    </w:rPr>
                  </w:pPr>
                  <w:r>
                    <w:rPr>
                      <w:rFonts w:hint="eastAsia" w:ascii="Times New Roman" w:hAnsi="Times New Roman" w:cs="Times New Roman"/>
                      <w:color w:val="auto"/>
                      <w:kern w:val="0"/>
                      <w:szCs w:val="21"/>
                      <w:highlight w:val="none"/>
                      <w:lang w:val="en-US" w:eastAsia="zh-CN"/>
                    </w:rPr>
                    <w:t>25</w:t>
                  </w:r>
                </w:p>
              </w:tc>
              <w:tc>
                <w:tcPr>
                  <w:tcW w:w="480" w:type="pct"/>
                  <w:tcBorders>
                    <w:tl2br w:val="nil"/>
                    <w:tr2bl w:val="nil"/>
                  </w:tcBorders>
                  <w:shd w:val="clear" w:color="auto" w:fill="auto"/>
                  <w:noWrap w:val="0"/>
                  <w:vAlign w:val="center"/>
                </w:tcPr>
                <w:p w14:paraId="7E78F83B">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118.452629</w:t>
                  </w:r>
                </w:p>
                <w:p w14:paraId="26B45B0E">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30.696400</w:t>
                  </w:r>
                </w:p>
              </w:tc>
              <w:tc>
                <w:tcPr>
                  <w:tcW w:w="353" w:type="pct"/>
                  <w:tcBorders>
                    <w:tl2br w:val="nil"/>
                    <w:tr2bl w:val="nil"/>
                  </w:tcBorders>
                  <w:shd w:val="clear" w:color="auto" w:fill="auto"/>
                  <w:noWrap w:val="0"/>
                  <w:vAlign w:val="center"/>
                </w:tcPr>
                <w:p w14:paraId="25F38B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一般排放口</w:t>
                  </w:r>
                </w:p>
              </w:tc>
              <w:tc>
                <w:tcPr>
                  <w:tcW w:w="431" w:type="pct"/>
                  <w:tcBorders>
                    <w:tl2br w:val="nil"/>
                    <w:tr2bl w:val="nil"/>
                  </w:tcBorders>
                  <w:shd w:val="clear" w:color="auto" w:fill="auto"/>
                  <w:noWrap w:val="0"/>
                  <w:vAlign w:val="center"/>
                </w:tcPr>
                <w:p w14:paraId="4BFAF1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400" w:type="pct"/>
                  <w:tcBorders>
                    <w:tl2br w:val="nil"/>
                    <w:tr2bl w:val="nil"/>
                  </w:tcBorders>
                  <w:shd w:val="clear" w:color="auto" w:fill="auto"/>
                  <w:noWrap w:val="0"/>
                  <w:vAlign w:val="center"/>
                </w:tcPr>
                <w:p w14:paraId="60E4D4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756" w:type="pct"/>
                  <w:tcBorders>
                    <w:tl2br w:val="nil"/>
                    <w:tr2bl w:val="nil"/>
                  </w:tcBorders>
                  <w:shd w:val="clear" w:color="auto" w:fill="auto"/>
                  <w:noWrap w:val="0"/>
                  <w:vAlign w:val="center"/>
                </w:tcPr>
                <w:p w14:paraId="3B0B88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排气筒</w:t>
                  </w: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3</w:t>
                  </w:r>
                </w:p>
              </w:tc>
              <w:tc>
                <w:tcPr>
                  <w:tcW w:w="676" w:type="pct"/>
                  <w:tcBorders>
                    <w:tl2br w:val="nil"/>
                    <w:tr2bl w:val="nil"/>
                  </w:tcBorders>
                  <w:shd w:val="clear" w:color="auto" w:fill="auto"/>
                  <w:noWrap w:val="0"/>
                  <w:vAlign w:val="center"/>
                </w:tcPr>
                <w:p w14:paraId="57C109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386" w:type="pct"/>
                  <w:tcBorders>
                    <w:tl2br w:val="nil"/>
                    <w:tr2bl w:val="nil"/>
                  </w:tcBorders>
                  <w:shd w:val="clear" w:color="auto" w:fill="auto"/>
                  <w:noWrap w:val="0"/>
                  <w:vAlign w:val="center"/>
                </w:tcPr>
                <w:p w14:paraId="2E66DF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1次/</w:t>
                  </w:r>
                  <w:r>
                    <w:rPr>
                      <w:rFonts w:hint="eastAsia" w:ascii="Times New Roman" w:hAnsi="Times New Roman" w:eastAsia="宋体" w:cs="Times New Roman"/>
                      <w:color w:val="auto"/>
                      <w:sz w:val="21"/>
                      <w:szCs w:val="21"/>
                      <w:highlight w:val="none"/>
                      <w:lang w:val="en-US" w:eastAsia="zh-CN"/>
                    </w:rPr>
                    <w:t>半</w:t>
                  </w:r>
                  <w:r>
                    <w:rPr>
                      <w:rFonts w:hint="default" w:ascii="Times New Roman" w:hAnsi="Times New Roman" w:eastAsia="宋体" w:cs="Times New Roman"/>
                      <w:color w:val="auto"/>
                      <w:sz w:val="21"/>
                      <w:szCs w:val="21"/>
                      <w:highlight w:val="none"/>
                      <w:lang w:val="en-US" w:eastAsia="zh-CN"/>
                    </w:rPr>
                    <w:t>年</w:t>
                  </w:r>
                </w:p>
              </w:tc>
            </w:tr>
            <w:tr w14:paraId="2B725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7" w:hRule="atLeast"/>
                <w:jc w:val="center"/>
              </w:trPr>
              <w:tc>
                <w:tcPr>
                  <w:tcW w:w="331" w:type="pct"/>
                  <w:vMerge w:val="continue"/>
                  <w:tcBorders>
                    <w:tl2br w:val="nil"/>
                    <w:tr2bl w:val="nil"/>
                  </w:tcBorders>
                  <w:shd w:val="clear" w:color="auto" w:fill="auto"/>
                  <w:noWrap w:val="0"/>
                  <w:vAlign w:val="center"/>
                </w:tcPr>
                <w:p w14:paraId="4F5CE4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p>
              </w:tc>
              <w:tc>
                <w:tcPr>
                  <w:tcW w:w="408" w:type="pct"/>
                  <w:vMerge w:val="restart"/>
                  <w:tcBorders>
                    <w:tl2br w:val="nil"/>
                    <w:tr2bl w:val="nil"/>
                  </w:tcBorders>
                  <w:shd w:val="clear" w:color="auto" w:fill="auto"/>
                  <w:noWrap w:val="0"/>
                  <w:vAlign w:val="center"/>
                </w:tcPr>
                <w:p w14:paraId="0EE624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4</w:t>
                  </w:r>
                </w:p>
              </w:tc>
              <w:tc>
                <w:tcPr>
                  <w:tcW w:w="261" w:type="pct"/>
                  <w:vMerge w:val="restart"/>
                  <w:tcBorders>
                    <w:tl2br w:val="nil"/>
                    <w:tr2bl w:val="nil"/>
                  </w:tcBorders>
                  <w:shd w:val="clear" w:color="auto" w:fill="auto"/>
                  <w:noWrap w:val="0"/>
                  <w:vAlign w:val="center"/>
                </w:tcPr>
                <w:p w14:paraId="7A2690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ascii="Times New Roman" w:hAnsi="Times New Roman" w:cs="Times New Roman"/>
                      <w:color w:val="auto"/>
                      <w:kern w:val="0"/>
                      <w:szCs w:val="21"/>
                      <w:highlight w:val="none"/>
                      <w:lang w:val="en-US" w:eastAsia="zh-CN"/>
                    </w:rPr>
                    <w:t>15</w:t>
                  </w:r>
                </w:p>
              </w:tc>
              <w:tc>
                <w:tcPr>
                  <w:tcW w:w="247" w:type="pct"/>
                  <w:vMerge w:val="restart"/>
                  <w:tcBorders>
                    <w:tl2br w:val="nil"/>
                    <w:tr2bl w:val="nil"/>
                  </w:tcBorders>
                  <w:shd w:val="clear" w:color="auto" w:fill="auto"/>
                  <w:noWrap w:val="0"/>
                  <w:vAlign w:val="center"/>
                </w:tcPr>
                <w:p w14:paraId="2C8CBB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highlight w:val="none"/>
                      <w:lang w:val="en-US" w:eastAsia="zh-CN"/>
                    </w:rPr>
                  </w:pPr>
                  <w:r>
                    <w:rPr>
                      <w:rFonts w:hint="eastAsia"/>
                      <w:color w:val="auto"/>
                      <w:highlight w:val="none"/>
                      <w:lang w:val="en-US" w:eastAsia="zh-CN"/>
                    </w:rPr>
                    <w:t>0.5</w:t>
                  </w:r>
                </w:p>
              </w:tc>
              <w:tc>
                <w:tcPr>
                  <w:tcW w:w="266" w:type="pct"/>
                  <w:vMerge w:val="restart"/>
                  <w:tcBorders>
                    <w:tl2br w:val="nil"/>
                    <w:tr2bl w:val="nil"/>
                  </w:tcBorders>
                  <w:shd w:val="clear" w:color="auto" w:fill="auto"/>
                  <w:noWrap w:val="0"/>
                  <w:vAlign w:val="center"/>
                </w:tcPr>
                <w:p w14:paraId="481A4062">
                  <w:pPr>
                    <w:keepNext w:val="0"/>
                    <w:keepLines w:val="0"/>
                    <w:pageBreakBefore w:val="0"/>
                    <w:widowControl/>
                    <w:kinsoku/>
                    <w:wordWrap/>
                    <w:overflowPunct/>
                    <w:topLinePunct w:val="0"/>
                    <w:autoSpaceDE/>
                    <w:autoSpaceDN/>
                    <w:bidi w:val="0"/>
                    <w:adjustRightInd w:val="0"/>
                    <w:snapToGrid w:val="0"/>
                    <w:jc w:val="center"/>
                    <w:textAlignment w:val="auto"/>
                    <w:rPr>
                      <w:color w:val="auto"/>
                      <w:highlight w:val="none"/>
                    </w:rPr>
                  </w:pPr>
                  <w:r>
                    <w:rPr>
                      <w:rFonts w:hint="default" w:ascii="Times New Roman" w:hAnsi="Times New Roman" w:cs="Times New Roman"/>
                      <w:color w:val="auto"/>
                      <w:kern w:val="0"/>
                      <w:szCs w:val="21"/>
                      <w:highlight w:val="none"/>
                      <w:lang w:val="en-US" w:eastAsia="zh-CN"/>
                    </w:rPr>
                    <w:t>25</w:t>
                  </w:r>
                </w:p>
              </w:tc>
              <w:tc>
                <w:tcPr>
                  <w:tcW w:w="480" w:type="pct"/>
                  <w:vMerge w:val="restart"/>
                  <w:tcBorders>
                    <w:tl2br w:val="nil"/>
                    <w:tr2bl w:val="nil"/>
                  </w:tcBorders>
                  <w:shd w:val="clear" w:color="auto" w:fill="auto"/>
                  <w:noWrap w:val="0"/>
                  <w:vAlign w:val="center"/>
                </w:tcPr>
                <w:p w14:paraId="7D855E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highlight w:val="none"/>
                      <w:lang w:val="en-US" w:eastAsia="zh-CN"/>
                    </w:rPr>
                  </w:pPr>
                  <w:r>
                    <w:rPr>
                      <w:rFonts w:hint="default"/>
                      <w:color w:val="auto"/>
                      <w:highlight w:val="none"/>
                    </w:rPr>
                    <w:t>118.4526</w:t>
                  </w:r>
                  <w:r>
                    <w:rPr>
                      <w:rFonts w:hint="eastAsia"/>
                      <w:color w:val="auto"/>
                      <w:highlight w:val="none"/>
                      <w:lang w:val="en-US" w:eastAsia="zh-CN"/>
                    </w:rPr>
                    <w:t>30</w:t>
                  </w:r>
                </w:p>
                <w:p w14:paraId="5384D4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highlight w:val="none"/>
                      <w:lang w:val="en-US" w:eastAsia="zh-CN"/>
                    </w:rPr>
                  </w:pPr>
                  <w:r>
                    <w:rPr>
                      <w:rFonts w:hint="default"/>
                      <w:color w:val="auto"/>
                      <w:highlight w:val="none"/>
                    </w:rPr>
                    <w:t>30.696</w:t>
                  </w:r>
                  <w:r>
                    <w:rPr>
                      <w:rFonts w:hint="eastAsia"/>
                      <w:color w:val="auto"/>
                      <w:highlight w:val="none"/>
                      <w:lang w:val="en-US" w:eastAsia="zh-CN"/>
                    </w:rPr>
                    <w:t>389</w:t>
                  </w:r>
                </w:p>
              </w:tc>
              <w:tc>
                <w:tcPr>
                  <w:tcW w:w="353" w:type="pct"/>
                  <w:vMerge w:val="restart"/>
                  <w:tcBorders>
                    <w:tl2br w:val="nil"/>
                    <w:tr2bl w:val="nil"/>
                  </w:tcBorders>
                  <w:shd w:val="clear" w:color="auto" w:fill="auto"/>
                  <w:noWrap w:val="0"/>
                  <w:vAlign w:val="center"/>
                </w:tcPr>
                <w:p w14:paraId="338BA0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color w:val="auto"/>
                      <w:highlight w:val="none"/>
                      <w:lang w:val="en-US" w:eastAsia="zh-CN"/>
                    </w:rPr>
                    <w:t>一般排放口</w:t>
                  </w:r>
                </w:p>
              </w:tc>
              <w:tc>
                <w:tcPr>
                  <w:tcW w:w="431" w:type="pct"/>
                  <w:tcBorders>
                    <w:tl2br w:val="nil"/>
                    <w:tr2bl w:val="nil"/>
                  </w:tcBorders>
                  <w:shd w:val="clear" w:color="auto" w:fill="auto"/>
                  <w:noWrap w:val="0"/>
                  <w:vAlign w:val="center"/>
                </w:tcPr>
                <w:p w14:paraId="63E596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400" w:type="pct"/>
                  <w:tcBorders>
                    <w:tl2br w:val="nil"/>
                    <w:tr2bl w:val="nil"/>
                  </w:tcBorders>
                  <w:shd w:val="clear" w:color="auto" w:fill="auto"/>
                  <w:noWrap w:val="0"/>
                  <w:vAlign w:val="center"/>
                </w:tcPr>
                <w:p w14:paraId="5F9C8D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756" w:type="pct"/>
                  <w:vMerge w:val="restart"/>
                  <w:tcBorders>
                    <w:tl2br w:val="nil"/>
                    <w:tr2bl w:val="nil"/>
                  </w:tcBorders>
                  <w:shd w:val="clear" w:color="auto" w:fill="auto"/>
                  <w:noWrap w:val="0"/>
                  <w:vAlign w:val="center"/>
                </w:tcPr>
                <w:p w14:paraId="569647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排气筒DA00</w:t>
                  </w:r>
                  <w:r>
                    <w:rPr>
                      <w:rFonts w:hint="eastAsia" w:ascii="Times New Roman" w:hAnsi="Times New Roman" w:eastAsia="宋体" w:cs="Times New Roman"/>
                      <w:color w:val="auto"/>
                      <w:sz w:val="21"/>
                      <w:szCs w:val="21"/>
                      <w:highlight w:val="none"/>
                      <w:lang w:val="en-US" w:eastAsia="zh-CN"/>
                    </w:rPr>
                    <w:t>4</w:t>
                  </w:r>
                </w:p>
              </w:tc>
              <w:tc>
                <w:tcPr>
                  <w:tcW w:w="676" w:type="pct"/>
                  <w:tcBorders>
                    <w:tl2br w:val="nil"/>
                    <w:tr2bl w:val="nil"/>
                  </w:tcBorders>
                  <w:shd w:val="clear" w:color="auto" w:fill="auto"/>
                  <w:noWrap w:val="0"/>
                  <w:vAlign w:val="center"/>
                </w:tcPr>
                <w:p w14:paraId="24679F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386" w:type="pct"/>
                  <w:vMerge w:val="restart"/>
                  <w:tcBorders>
                    <w:tl2br w:val="nil"/>
                    <w:tr2bl w:val="nil"/>
                  </w:tcBorders>
                  <w:shd w:val="clear" w:color="auto" w:fill="auto"/>
                  <w:noWrap w:val="0"/>
                  <w:vAlign w:val="center"/>
                </w:tcPr>
                <w:p w14:paraId="78DFFC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w:t>
                  </w:r>
                  <w:r>
                    <w:rPr>
                      <w:rFonts w:hint="eastAsia" w:ascii="Times New Roman" w:hAnsi="Times New Roman" w:eastAsia="宋体" w:cs="Times New Roman"/>
                      <w:color w:val="auto"/>
                      <w:sz w:val="21"/>
                      <w:szCs w:val="21"/>
                      <w:highlight w:val="none"/>
                      <w:lang w:val="en-US" w:eastAsia="zh-CN"/>
                    </w:rPr>
                    <w:t>半</w:t>
                  </w:r>
                  <w:r>
                    <w:rPr>
                      <w:rFonts w:hint="default" w:ascii="Times New Roman" w:hAnsi="Times New Roman" w:eastAsia="宋体" w:cs="Times New Roman"/>
                      <w:color w:val="auto"/>
                      <w:sz w:val="21"/>
                      <w:szCs w:val="21"/>
                      <w:highlight w:val="none"/>
                      <w:lang w:val="en-US" w:eastAsia="zh-CN"/>
                    </w:rPr>
                    <w:t>年</w:t>
                  </w:r>
                </w:p>
              </w:tc>
            </w:tr>
            <w:tr w14:paraId="45C1A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4" w:hRule="atLeast"/>
                <w:jc w:val="center"/>
              </w:trPr>
              <w:tc>
                <w:tcPr>
                  <w:tcW w:w="331" w:type="pct"/>
                  <w:vMerge w:val="continue"/>
                  <w:tcBorders>
                    <w:tl2br w:val="nil"/>
                    <w:tr2bl w:val="nil"/>
                  </w:tcBorders>
                  <w:shd w:val="clear" w:color="auto" w:fill="auto"/>
                  <w:noWrap w:val="0"/>
                  <w:vAlign w:val="center"/>
                </w:tcPr>
                <w:p w14:paraId="6FC9E6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p>
              </w:tc>
              <w:tc>
                <w:tcPr>
                  <w:tcW w:w="408" w:type="pct"/>
                  <w:vMerge w:val="continue"/>
                  <w:tcBorders>
                    <w:tl2br w:val="nil"/>
                    <w:tr2bl w:val="nil"/>
                  </w:tcBorders>
                  <w:shd w:val="clear" w:color="auto" w:fill="auto"/>
                  <w:noWrap w:val="0"/>
                  <w:vAlign w:val="center"/>
                </w:tcPr>
                <w:p w14:paraId="62D018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261" w:type="pct"/>
                  <w:vMerge w:val="continue"/>
                  <w:tcBorders>
                    <w:tl2br w:val="nil"/>
                    <w:tr2bl w:val="nil"/>
                  </w:tcBorders>
                  <w:shd w:val="clear" w:color="auto" w:fill="auto"/>
                  <w:noWrap w:val="0"/>
                  <w:vAlign w:val="center"/>
                </w:tcPr>
                <w:p w14:paraId="034AE3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kern w:val="0"/>
                      <w:szCs w:val="21"/>
                      <w:highlight w:val="none"/>
                      <w:lang w:val="en-US" w:eastAsia="zh-CN"/>
                    </w:rPr>
                  </w:pPr>
                </w:p>
              </w:tc>
              <w:tc>
                <w:tcPr>
                  <w:tcW w:w="247" w:type="pct"/>
                  <w:vMerge w:val="continue"/>
                  <w:tcBorders>
                    <w:tl2br w:val="nil"/>
                    <w:tr2bl w:val="nil"/>
                  </w:tcBorders>
                  <w:shd w:val="clear" w:color="auto" w:fill="auto"/>
                  <w:noWrap w:val="0"/>
                  <w:vAlign w:val="center"/>
                </w:tcPr>
                <w:p w14:paraId="58D0D8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p>
              </w:tc>
              <w:tc>
                <w:tcPr>
                  <w:tcW w:w="266" w:type="pct"/>
                  <w:vMerge w:val="continue"/>
                  <w:tcBorders>
                    <w:tl2br w:val="nil"/>
                    <w:tr2bl w:val="nil"/>
                  </w:tcBorders>
                  <w:shd w:val="clear" w:color="auto" w:fill="auto"/>
                  <w:noWrap w:val="0"/>
                  <w:vAlign w:val="center"/>
                </w:tcPr>
                <w:p w14:paraId="30CB3CB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480" w:type="pct"/>
                  <w:vMerge w:val="continue"/>
                  <w:tcBorders>
                    <w:tl2br w:val="nil"/>
                    <w:tr2bl w:val="nil"/>
                  </w:tcBorders>
                  <w:shd w:val="clear" w:color="auto" w:fill="auto"/>
                  <w:noWrap w:val="0"/>
                  <w:vAlign w:val="center"/>
                </w:tcPr>
                <w:p w14:paraId="6C3839F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3" w:type="pct"/>
                  <w:vMerge w:val="continue"/>
                  <w:tcBorders>
                    <w:tl2br w:val="nil"/>
                    <w:tr2bl w:val="nil"/>
                  </w:tcBorders>
                  <w:shd w:val="clear" w:color="auto" w:fill="auto"/>
                  <w:noWrap w:val="0"/>
                  <w:vAlign w:val="center"/>
                </w:tcPr>
                <w:p w14:paraId="5C2627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highlight w:val="none"/>
                      <w:lang w:val="en-US" w:eastAsia="zh-CN"/>
                    </w:rPr>
                  </w:pPr>
                </w:p>
              </w:tc>
              <w:tc>
                <w:tcPr>
                  <w:tcW w:w="431" w:type="pct"/>
                  <w:tcBorders>
                    <w:tl2br w:val="nil"/>
                    <w:tr2bl w:val="nil"/>
                  </w:tcBorders>
                  <w:shd w:val="clear" w:color="auto" w:fill="auto"/>
                  <w:noWrap w:val="0"/>
                  <w:vAlign w:val="center"/>
                </w:tcPr>
                <w:p w14:paraId="5B2720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120</w:t>
                  </w:r>
                </w:p>
              </w:tc>
              <w:tc>
                <w:tcPr>
                  <w:tcW w:w="400" w:type="pct"/>
                  <w:tcBorders>
                    <w:tl2br w:val="nil"/>
                    <w:tr2bl w:val="nil"/>
                  </w:tcBorders>
                  <w:shd w:val="clear" w:color="auto" w:fill="auto"/>
                  <w:noWrap w:val="0"/>
                  <w:vAlign w:val="center"/>
                </w:tcPr>
                <w:p w14:paraId="019777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10</w:t>
                  </w:r>
                </w:p>
              </w:tc>
              <w:tc>
                <w:tcPr>
                  <w:tcW w:w="756" w:type="pct"/>
                  <w:vMerge w:val="continue"/>
                  <w:tcBorders>
                    <w:tl2br w:val="nil"/>
                    <w:tr2bl w:val="nil"/>
                  </w:tcBorders>
                  <w:shd w:val="clear" w:color="auto" w:fill="auto"/>
                  <w:noWrap w:val="0"/>
                  <w:vAlign w:val="center"/>
                </w:tcPr>
                <w:p w14:paraId="2265E8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676" w:type="pct"/>
                  <w:tcBorders>
                    <w:tl2br w:val="nil"/>
                    <w:tr2bl w:val="nil"/>
                  </w:tcBorders>
                  <w:shd w:val="clear" w:color="auto" w:fill="auto"/>
                  <w:noWrap w:val="0"/>
                  <w:vAlign w:val="center"/>
                </w:tcPr>
                <w:p w14:paraId="57CBA7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挥发性有机物（以非甲烷总烃计）</w:t>
                  </w:r>
                </w:p>
              </w:tc>
              <w:tc>
                <w:tcPr>
                  <w:tcW w:w="386" w:type="pct"/>
                  <w:vMerge w:val="continue"/>
                  <w:tcBorders>
                    <w:tl2br w:val="nil"/>
                    <w:tr2bl w:val="nil"/>
                  </w:tcBorders>
                  <w:shd w:val="clear" w:color="auto" w:fill="auto"/>
                  <w:noWrap w:val="0"/>
                  <w:vAlign w:val="center"/>
                </w:tcPr>
                <w:p w14:paraId="1DFB28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p>
              </w:tc>
            </w:tr>
            <w:tr w14:paraId="5319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4" w:hRule="atLeast"/>
                <w:jc w:val="center"/>
              </w:trPr>
              <w:tc>
                <w:tcPr>
                  <w:tcW w:w="331" w:type="pct"/>
                  <w:vMerge w:val="continue"/>
                  <w:tcBorders>
                    <w:tl2br w:val="nil"/>
                    <w:tr2bl w:val="nil"/>
                  </w:tcBorders>
                  <w:shd w:val="clear" w:color="auto" w:fill="auto"/>
                  <w:noWrap w:val="0"/>
                  <w:vAlign w:val="center"/>
                </w:tcPr>
                <w:p w14:paraId="63167D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p>
              </w:tc>
              <w:tc>
                <w:tcPr>
                  <w:tcW w:w="408" w:type="pct"/>
                  <w:tcBorders>
                    <w:tl2br w:val="nil"/>
                    <w:tr2bl w:val="nil"/>
                  </w:tcBorders>
                  <w:shd w:val="clear" w:color="auto" w:fill="auto"/>
                  <w:noWrap w:val="0"/>
                  <w:vAlign w:val="center"/>
                </w:tcPr>
                <w:p w14:paraId="403117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5</w:t>
                  </w:r>
                </w:p>
              </w:tc>
              <w:tc>
                <w:tcPr>
                  <w:tcW w:w="261" w:type="pct"/>
                  <w:tcBorders>
                    <w:tl2br w:val="nil"/>
                    <w:tr2bl w:val="nil"/>
                  </w:tcBorders>
                  <w:shd w:val="clear" w:color="auto" w:fill="auto"/>
                  <w:noWrap w:val="0"/>
                  <w:vAlign w:val="center"/>
                </w:tcPr>
                <w:p w14:paraId="4EE6F1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ascii="Times New Roman" w:hAnsi="Times New Roman" w:cs="Times New Roman"/>
                      <w:color w:val="auto"/>
                      <w:kern w:val="0"/>
                      <w:szCs w:val="21"/>
                      <w:highlight w:val="none"/>
                      <w:lang w:val="en-US" w:eastAsia="zh-CN"/>
                    </w:rPr>
                    <w:t>15</w:t>
                  </w:r>
                </w:p>
              </w:tc>
              <w:tc>
                <w:tcPr>
                  <w:tcW w:w="247" w:type="pct"/>
                  <w:tcBorders>
                    <w:tl2br w:val="nil"/>
                    <w:tr2bl w:val="nil"/>
                  </w:tcBorders>
                  <w:shd w:val="clear" w:color="auto" w:fill="auto"/>
                  <w:noWrap w:val="0"/>
                  <w:vAlign w:val="center"/>
                </w:tcPr>
                <w:p w14:paraId="478BF6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highlight w:val="none"/>
                      <w:lang w:val="en-US" w:eastAsia="zh-CN"/>
                    </w:rPr>
                  </w:pPr>
                  <w:r>
                    <w:rPr>
                      <w:rFonts w:hint="eastAsia"/>
                      <w:color w:val="auto"/>
                      <w:highlight w:val="none"/>
                      <w:lang w:val="en-US" w:eastAsia="zh-CN"/>
                    </w:rPr>
                    <w:t>0.5</w:t>
                  </w:r>
                </w:p>
              </w:tc>
              <w:tc>
                <w:tcPr>
                  <w:tcW w:w="266" w:type="pct"/>
                  <w:tcBorders>
                    <w:tl2br w:val="nil"/>
                    <w:tr2bl w:val="nil"/>
                  </w:tcBorders>
                  <w:shd w:val="clear" w:color="auto" w:fill="auto"/>
                  <w:noWrap w:val="0"/>
                  <w:vAlign w:val="center"/>
                </w:tcPr>
                <w:p w14:paraId="694FA4B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cs="Times New Roman"/>
                      <w:color w:val="auto"/>
                      <w:kern w:val="0"/>
                      <w:szCs w:val="21"/>
                      <w:highlight w:val="none"/>
                      <w:lang w:val="en-US" w:eastAsia="zh-CN"/>
                    </w:rPr>
                    <w:t>25</w:t>
                  </w:r>
                </w:p>
              </w:tc>
              <w:tc>
                <w:tcPr>
                  <w:tcW w:w="480" w:type="pct"/>
                  <w:tcBorders>
                    <w:tl2br w:val="nil"/>
                    <w:tr2bl w:val="nil"/>
                  </w:tcBorders>
                  <w:shd w:val="clear" w:color="auto" w:fill="auto"/>
                  <w:noWrap w:val="0"/>
                  <w:vAlign w:val="center"/>
                </w:tcPr>
                <w:p w14:paraId="5A822ECA">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118.45262</w:t>
                  </w:r>
                  <w:r>
                    <w:rPr>
                      <w:rFonts w:hint="eastAsia" w:cs="Times New Roman"/>
                      <w:color w:val="auto"/>
                      <w:sz w:val="21"/>
                      <w:szCs w:val="21"/>
                      <w:highlight w:val="none"/>
                      <w:lang w:val="en-US" w:eastAsia="zh-CN"/>
                    </w:rPr>
                    <w:t>8</w:t>
                  </w:r>
                </w:p>
                <w:p w14:paraId="6A39500A">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30.6964</w:t>
                  </w:r>
                  <w:r>
                    <w:rPr>
                      <w:rFonts w:hint="eastAsia" w:cs="Times New Roman"/>
                      <w:color w:val="auto"/>
                      <w:sz w:val="21"/>
                      <w:szCs w:val="21"/>
                      <w:highlight w:val="none"/>
                      <w:lang w:val="en-US" w:eastAsia="zh-CN"/>
                    </w:rPr>
                    <w:t>11</w:t>
                  </w:r>
                </w:p>
              </w:tc>
              <w:tc>
                <w:tcPr>
                  <w:tcW w:w="353" w:type="pct"/>
                  <w:tcBorders>
                    <w:tl2br w:val="nil"/>
                    <w:tr2bl w:val="nil"/>
                  </w:tcBorders>
                  <w:shd w:val="clear" w:color="auto" w:fill="auto"/>
                  <w:noWrap w:val="0"/>
                  <w:vAlign w:val="center"/>
                </w:tcPr>
                <w:p w14:paraId="406F27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color w:val="auto"/>
                      <w:highlight w:val="none"/>
                      <w:lang w:val="en-US" w:eastAsia="zh-CN"/>
                    </w:rPr>
                    <w:t>一般排放口</w:t>
                  </w:r>
                </w:p>
              </w:tc>
              <w:tc>
                <w:tcPr>
                  <w:tcW w:w="431" w:type="pct"/>
                  <w:tcBorders>
                    <w:tl2br w:val="nil"/>
                    <w:tr2bl w:val="nil"/>
                  </w:tcBorders>
                  <w:shd w:val="clear" w:color="auto" w:fill="auto"/>
                  <w:noWrap w:val="0"/>
                  <w:vAlign w:val="center"/>
                </w:tcPr>
                <w:p w14:paraId="4117BD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400" w:type="pct"/>
                  <w:tcBorders>
                    <w:tl2br w:val="nil"/>
                    <w:tr2bl w:val="nil"/>
                  </w:tcBorders>
                  <w:shd w:val="clear" w:color="auto" w:fill="auto"/>
                  <w:noWrap w:val="0"/>
                  <w:vAlign w:val="center"/>
                </w:tcPr>
                <w:p w14:paraId="2D944F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756" w:type="pct"/>
                  <w:tcBorders>
                    <w:tl2br w:val="nil"/>
                    <w:tr2bl w:val="nil"/>
                  </w:tcBorders>
                  <w:shd w:val="clear" w:color="auto" w:fill="auto"/>
                  <w:noWrap w:val="0"/>
                  <w:vAlign w:val="center"/>
                </w:tcPr>
                <w:p w14:paraId="4B401A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排气筒DA00</w:t>
                  </w:r>
                  <w:r>
                    <w:rPr>
                      <w:rFonts w:hint="eastAsia" w:ascii="Times New Roman" w:hAnsi="Times New Roman" w:eastAsia="宋体" w:cs="Times New Roman"/>
                      <w:color w:val="auto"/>
                      <w:sz w:val="21"/>
                      <w:szCs w:val="21"/>
                      <w:highlight w:val="none"/>
                      <w:lang w:val="en-US" w:eastAsia="zh-CN"/>
                    </w:rPr>
                    <w:t>5</w:t>
                  </w:r>
                </w:p>
              </w:tc>
              <w:tc>
                <w:tcPr>
                  <w:tcW w:w="676" w:type="pct"/>
                  <w:tcBorders>
                    <w:tl2br w:val="nil"/>
                    <w:tr2bl w:val="nil"/>
                  </w:tcBorders>
                  <w:shd w:val="clear" w:color="auto" w:fill="auto"/>
                  <w:noWrap w:val="0"/>
                  <w:vAlign w:val="center"/>
                </w:tcPr>
                <w:p w14:paraId="6D8057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86" w:type="pct"/>
                  <w:tcBorders>
                    <w:tl2br w:val="nil"/>
                    <w:tr2bl w:val="nil"/>
                  </w:tcBorders>
                  <w:shd w:val="clear" w:color="auto" w:fill="auto"/>
                  <w:noWrap w:val="0"/>
                  <w:vAlign w:val="center"/>
                </w:tcPr>
                <w:p w14:paraId="622AD2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w:t>
                  </w:r>
                  <w:r>
                    <w:rPr>
                      <w:rFonts w:hint="eastAsia" w:ascii="Times New Roman" w:hAnsi="Times New Roman" w:eastAsia="宋体" w:cs="Times New Roman"/>
                      <w:color w:val="auto"/>
                      <w:sz w:val="21"/>
                      <w:szCs w:val="21"/>
                      <w:highlight w:val="none"/>
                      <w:lang w:val="en-US" w:eastAsia="zh-CN"/>
                    </w:rPr>
                    <w:t>半</w:t>
                  </w:r>
                  <w:r>
                    <w:rPr>
                      <w:rFonts w:hint="default" w:ascii="Times New Roman" w:hAnsi="Times New Roman" w:eastAsia="宋体" w:cs="Times New Roman"/>
                      <w:color w:val="auto"/>
                      <w:sz w:val="21"/>
                      <w:szCs w:val="21"/>
                      <w:highlight w:val="none"/>
                      <w:lang w:val="en-US" w:eastAsia="zh-CN"/>
                    </w:rPr>
                    <w:t>年</w:t>
                  </w:r>
                </w:p>
              </w:tc>
            </w:tr>
            <w:tr w14:paraId="46033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4" w:hRule="atLeast"/>
                <w:jc w:val="center"/>
              </w:trPr>
              <w:tc>
                <w:tcPr>
                  <w:tcW w:w="331" w:type="pct"/>
                  <w:vMerge w:val="continue"/>
                  <w:tcBorders>
                    <w:tl2br w:val="nil"/>
                    <w:tr2bl w:val="nil"/>
                  </w:tcBorders>
                  <w:shd w:val="clear" w:color="auto" w:fill="auto"/>
                  <w:noWrap w:val="0"/>
                  <w:vAlign w:val="center"/>
                </w:tcPr>
                <w:p w14:paraId="16B2FB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p>
              </w:tc>
              <w:tc>
                <w:tcPr>
                  <w:tcW w:w="408" w:type="pct"/>
                  <w:tcBorders>
                    <w:tl2br w:val="nil"/>
                    <w:tr2bl w:val="nil"/>
                  </w:tcBorders>
                  <w:shd w:val="clear" w:color="auto" w:fill="auto"/>
                  <w:noWrap w:val="0"/>
                  <w:vAlign w:val="center"/>
                </w:tcPr>
                <w:p w14:paraId="1B81CC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eastAsia="宋体" w:cs="Times New Roman"/>
                      <w:color w:val="auto"/>
                      <w:sz w:val="21"/>
                      <w:szCs w:val="21"/>
                      <w:highlight w:val="none"/>
                      <w:lang w:val="en-US" w:eastAsia="zh-CN"/>
                    </w:rPr>
                    <w:t>6</w:t>
                  </w:r>
                </w:p>
              </w:tc>
              <w:tc>
                <w:tcPr>
                  <w:tcW w:w="261" w:type="pct"/>
                  <w:tcBorders>
                    <w:tl2br w:val="nil"/>
                    <w:tr2bl w:val="nil"/>
                  </w:tcBorders>
                  <w:shd w:val="clear" w:color="auto" w:fill="auto"/>
                  <w:noWrap w:val="0"/>
                  <w:vAlign w:val="center"/>
                </w:tcPr>
                <w:p w14:paraId="40A0F1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ascii="Times New Roman" w:hAnsi="Times New Roman" w:cs="Times New Roman"/>
                      <w:color w:val="auto"/>
                      <w:kern w:val="0"/>
                      <w:szCs w:val="21"/>
                      <w:highlight w:val="none"/>
                      <w:lang w:val="en-US" w:eastAsia="zh-CN"/>
                    </w:rPr>
                    <w:t>15</w:t>
                  </w:r>
                </w:p>
              </w:tc>
              <w:tc>
                <w:tcPr>
                  <w:tcW w:w="247" w:type="pct"/>
                  <w:tcBorders>
                    <w:tl2br w:val="nil"/>
                    <w:tr2bl w:val="nil"/>
                  </w:tcBorders>
                  <w:shd w:val="clear" w:color="auto" w:fill="auto"/>
                  <w:noWrap w:val="0"/>
                  <w:vAlign w:val="center"/>
                </w:tcPr>
                <w:p w14:paraId="1A6A3F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highlight w:val="none"/>
                      <w:lang w:val="en-US" w:eastAsia="zh-CN"/>
                    </w:rPr>
                  </w:pPr>
                  <w:r>
                    <w:rPr>
                      <w:rFonts w:hint="eastAsia"/>
                      <w:color w:val="auto"/>
                      <w:highlight w:val="none"/>
                      <w:lang w:val="en-US" w:eastAsia="zh-CN"/>
                    </w:rPr>
                    <w:t>0.5</w:t>
                  </w:r>
                </w:p>
              </w:tc>
              <w:tc>
                <w:tcPr>
                  <w:tcW w:w="266" w:type="pct"/>
                  <w:tcBorders>
                    <w:tl2br w:val="nil"/>
                    <w:tr2bl w:val="nil"/>
                  </w:tcBorders>
                  <w:shd w:val="clear" w:color="auto" w:fill="auto"/>
                  <w:noWrap w:val="0"/>
                  <w:vAlign w:val="center"/>
                </w:tcPr>
                <w:p w14:paraId="16BD0A5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Cs w:val="21"/>
                      <w:highlight w:val="none"/>
                      <w:lang w:val="en-US" w:eastAsia="zh-CN"/>
                    </w:rPr>
                    <w:t>25</w:t>
                  </w:r>
                </w:p>
              </w:tc>
              <w:tc>
                <w:tcPr>
                  <w:tcW w:w="480" w:type="pct"/>
                  <w:tcBorders>
                    <w:tl2br w:val="nil"/>
                    <w:tr2bl w:val="nil"/>
                  </w:tcBorders>
                  <w:shd w:val="clear" w:color="auto" w:fill="auto"/>
                  <w:noWrap w:val="0"/>
                  <w:vAlign w:val="center"/>
                </w:tcPr>
                <w:p w14:paraId="741FF4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highlight w:val="none"/>
                      <w:lang w:eastAsia="zh-CN"/>
                    </w:rPr>
                  </w:pPr>
                  <w:r>
                    <w:rPr>
                      <w:rFonts w:hint="default"/>
                      <w:color w:val="auto"/>
                      <w:highlight w:val="none"/>
                    </w:rPr>
                    <w:t>118.45262</w:t>
                  </w:r>
                  <w:r>
                    <w:rPr>
                      <w:rFonts w:hint="eastAsia"/>
                      <w:color w:val="auto"/>
                      <w:highlight w:val="none"/>
                      <w:lang w:val="en-US" w:eastAsia="zh-CN"/>
                    </w:rPr>
                    <w:t>7</w:t>
                  </w:r>
                </w:p>
                <w:p w14:paraId="074165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color w:val="auto"/>
                      <w:highlight w:val="none"/>
                    </w:rPr>
                    <w:t>30.696</w:t>
                  </w:r>
                  <w:r>
                    <w:rPr>
                      <w:rFonts w:hint="eastAsia"/>
                      <w:color w:val="auto"/>
                      <w:highlight w:val="none"/>
                      <w:lang w:val="en-US" w:eastAsia="zh-CN"/>
                    </w:rPr>
                    <w:t>39</w:t>
                  </w:r>
                  <w:r>
                    <w:rPr>
                      <w:rFonts w:hint="default"/>
                      <w:color w:val="auto"/>
                      <w:highlight w:val="none"/>
                    </w:rPr>
                    <w:t>00</w:t>
                  </w:r>
                </w:p>
              </w:tc>
              <w:tc>
                <w:tcPr>
                  <w:tcW w:w="353" w:type="pct"/>
                  <w:tcBorders>
                    <w:tl2br w:val="nil"/>
                    <w:tr2bl w:val="nil"/>
                  </w:tcBorders>
                  <w:shd w:val="clear" w:color="auto" w:fill="auto"/>
                  <w:noWrap w:val="0"/>
                  <w:vAlign w:val="center"/>
                </w:tcPr>
                <w:p w14:paraId="5DB9B8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highlight w:val="none"/>
                    </w:rPr>
                  </w:pPr>
                  <w:r>
                    <w:rPr>
                      <w:rFonts w:hint="default"/>
                      <w:color w:val="auto"/>
                      <w:highlight w:val="none"/>
                      <w:lang w:val="en-US" w:eastAsia="zh-CN"/>
                    </w:rPr>
                    <w:t>一般排放口</w:t>
                  </w:r>
                </w:p>
              </w:tc>
              <w:tc>
                <w:tcPr>
                  <w:tcW w:w="431" w:type="pct"/>
                  <w:tcBorders>
                    <w:tl2br w:val="nil"/>
                    <w:tr2bl w:val="nil"/>
                  </w:tcBorders>
                  <w:shd w:val="clear" w:color="auto" w:fill="auto"/>
                  <w:noWrap w:val="0"/>
                  <w:vAlign w:val="center"/>
                </w:tcPr>
                <w:p w14:paraId="7D2B95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400" w:type="pct"/>
                  <w:tcBorders>
                    <w:tl2br w:val="nil"/>
                    <w:tr2bl w:val="nil"/>
                  </w:tcBorders>
                  <w:shd w:val="clear" w:color="auto" w:fill="auto"/>
                  <w:noWrap w:val="0"/>
                  <w:vAlign w:val="center"/>
                </w:tcPr>
                <w:p w14:paraId="69408E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756" w:type="pct"/>
                  <w:tcBorders>
                    <w:tl2br w:val="nil"/>
                    <w:tr2bl w:val="nil"/>
                  </w:tcBorders>
                  <w:shd w:val="clear" w:color="auto" w:fill="auto"/>
                  <w:noWrap w:val="0"/>
                  <w:vAlign w:val="center"/>
                </w:tcPr>
                <w:p w14:paraId="5F8782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排气筒DA00</w:t>
                  </w:r>
                  <w:r>
                    <w:rPr>
                      <w:rFonts w:hint="eastAsia" w:ascii="Times New Roman" w:hAnsi="Times New Roman" w:eastAsia="宋体" w:cs="Times New Roman"/>
                      <w:color w:val="auto"/>
                      <w:sz w:val="21"/>
                      <w:szCs w:val="21"/>
                      <w:highlight w:val="none"/>
                      <w:lang w:val="en-US" w:eastAsia="zh-CN"/>
                    </w:rPr>
                    <w:t>6</w:t>
                  </w:r>
                </w:p>
              </w:tc>
              <w:tc>
                <w:tcPr>
                  <w:tcW w:w="676" w:type="pct"/>
                  <w:tcBorders>
                    <w:tl2br w:val="nil"/>
                    <w:tr2bl w:val="nil"/>
                  </w:tcBorders>
                  <w:shd w:val="clear" w:color="auto" w:fill="auto"/>
                  <w:noWrap w:val="0"/>
                  <w:vAlign w:val="center"/>
                </w:tcPr>
                <w:p w14:paraId="0FC6B4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86" w:type="pct"/>
                  <w:tcBorders>
                    <w:tl2br w:val="nil"/>
                    <w:tr2bl w:val="nil"/>
                  </w:tcBorders>
                  <w:shd w:val="clear" w:color="auto" w:fill="auto"/>
                  <w:noWrap w:val="0"/>
                  <w:vAlign w:val="center"/>
                </w:tcPr>
                <w:p w14:paraId="3F718D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w:t>
                  </w:r>
                  <w:r>
                    <w:rPr>
                      <w:rFonts w:hint="eastAsia" w:ascii="Times New Roman" w:hAnsi="Times New Roman" w:eastAsia="宋体" w:cs="Times New Roman"/>
                      <w:color w:val="auto"/>
                      <w:sz w:val="21"/>
                      <w:szCs w:val="21"/>
                      <w:highlight w:val="none"/>
                      <w:lang w:val="en-US" w:eastAsia="zh-CN"/>
                    </w:rPr>
                    <w:t>半</w:t>
                  </w:r>
                  <w:r>
                    <w:rPr>
                      <w:rFonts w:hint="default" w:ascii="Times New Roman" w:hAnsi="Times New Roman" w:eastAsia="宋体" w:cs="Times New Roman"/>
                      <w:color w:val="auto"/>
                      <w:sz w:val="21"/>
                      <w:szCs w:val="21"/>
                      <w:highlight w:val="none"/>
                      <w:lang w:val="en-US" w:eastAsia="zh-CN"/>
                    </w:rPr>
                    <w:t>年</w:t>
                  </w:r>
                </w:p>
              </w:tc>
            </w:tr>
            <w:tr w14:paraId="3E8EC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31" w:type="pct"/>
                  <w:vMerge w:val="restart"/>
                  <w:tcBorders>
                    <w:tl2br w:val="nil"/>
                    <w:tr2bl w:val="nil"/>
                  </w:tcBorders>
                  <w:shd w:val="clear" w:color="auto" w:fill="auto"/>
                  <w:noWrap w:val="0"/>
                  <w:vAlign w:val="center"/>
                </w:tcPr>
                <w:p w14:paraId="5DE5A6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无组织</w:t>
                  </w:r>
                </w:p>
              </w:tc>
              <w:tc>
                <w:tcPr>
                  <w:tcW w:w="408" w:type="pct"/>
                  <w:vMerge w:val="restart"/>
                  <w:tcBorders>
                    <w:tl2br w:val="nil"/>
                    <w:tr2bl w:val="nil"/>
                  </w:tcBorders>
                  <w:shd w:val="clear" w:color="auto" w:fill="auto"/>
                  <w:noWrap w:val="0"/>
                  <w:vAlign w:val="center"/>
                </w:tcPr>
                <w:p w14:paraId="541F99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w:t>
                  </w:r>
                </w:p>
              </w:tc>
              <w:tc>
                <w:tcPr>
                  <w:tcW w:w="707" w:type="dxa"/>
                  <w:tcBorders>
                    <w:tl2br w:val="nil"/>
                    <w:tr2bl w:val="nil"/>
                  </w:tcBorders>
                  <w:shd w:val="clear" w:color="auto" w:fill="auto"/>
                  <w:noWrap w:val="0"/>
                  <w:vAlign w:val="center"/>
                </w:tcPr>
                <w:p w14:paraId="2E13EA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669" w:type="dxa"/>
                  <w:tcBorders>
                    <w:tl2br w:val="nil"/>
                    <w:tr2bl w:val="nil"/>
                  </w:tcBorders>
                  <w:shd w:val="clear" w:color="auto" w:fill="auto"/>
                  <w:noWrap w:val="0"/>
                  <w:vAlign w:val="center"/>
                </w:tcPr>
                <w:p w14:paraId="1C36A4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20" w:type="dxa"/>
                  <w:tcBorders>
                    <w:tl2br w:val="nil"/>
                    <w:tr2bl w:val="nil"/>
                  </w:tcBorders>
                  <w:shd w:val="clear" w:color="auto" w:fill="auto"/>
                  <w:noWrap w:val="0"/>
                  <w:vAlign w:val="center"/>
                </w:tcPr>
                <w:p w14:paraId="299B08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FF000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80" w:type="pct"/>
                  <w:tcBorders>
                    <w:tl2br w:val="nil"/>
                    <w:tr2bl w:val="nil"/>
                  </w:tcBorders>
                  <w:shd w:val="clear" w:color="auto" w:fill="auto"/>
                  <w:noWrap w:val="0"/>
                  <w:vAlign w:val="center"/>
                </w:tcPr>
                <w:p w14:paraId="31E409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tcBorders>
                    <w:tl2br w:val="nil"/>
                    <w:tr2bl w:val="nil"/>
                  </w:tcBorders>
                  <w:shd w:val="clear" w:color="auto" w:fill="auto"/>
                  <w:noWrap w:val="0"/>
                  <w:vAlign w:val="center"/>
                </w:tcPr>
                <w:p w14:paraId="2355C5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31" w:type="pct"/>
                  <w:tcBorders>
                    <w:tl2br w:val="nil"/>
                    <w:tr2bl w:val="nil"/>
                  </w:tcBorders>
                  <w:shd w:val="clear" w:color="auto" w:fill="auto"/>
                  <w:noWrap w:val="0"/>
                  <w:vAlign w:val="center"/>
                </w:tcPr>
                <w:p w14:paraId="5582E8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w:t>
                  </w:r>
                </w:p>
              </w:tc>
              <w:tc>
                <w:tcPr>
                  <w:tcW w:w="400" w:type="pct"/>
                  <w:tcBorders>
                    <w:tl2br w:val="nil"/>
                    <w:tr2bl w:val="nil"/>
                  </w:tcBorders>
                  <w:shd w:val="clear" w:color="auto" w:fill="auto"/>
                  <w:noWrap w:val="0"/>
                  <w:vAlign w:val="center"/>
                </w:tcPr>
                <w:p w14:paraId="5DED96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56" w:type="pct"/>
                  <w:vMerge w:val="restart"/>
                  <w:tcBorders>
                    <w:tl2br w:val="nil"/>
                    <w:tr2bl w:val="nil"/>
                  </w:tcBorders>
                  <w:shd w:val="clear" w:color="auto" w:fill="auto"/>
                  <w:noWrap w:val="0"/>
                  <w:vAlign w:val="center"/>
                </w:tcPr>
                <w:p w14:paraId="501E08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厂界20m处上风向设参照点，下风向设3个监控点</w:t>
                  </w:r>
                </w:p>
              </w:tc>
              <w:tc>
                <w:tcPr>
                  <w:tcW w:w="676" w:type="pct"/>
                  <w:tcBorders>
                    <w:tl2br w:val="nil"/>
                    <w:tr2bl w:val="nil"/>
                  </w:tcBorders>
                  <w:shd w:val="clear" w:color="auto" w:fill="auto"/>
                  <w:noWrap w:val="0"/>
                  <w:vAlign w:val="center"/>
                </w:tcPr>
                <w:p w14:paraId="428A43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86" w:type="pct"/>
                  <w:tcBorders>
                    <w:tl2br w:val="nil"/>
                    <w:tr2bl w:val="nil"/>
                  </w:tcBorders>
                  <w:shd w:val="clear" w:color="auto" w:fill="auto"/>
                  <w:noWrap w:val="0"/>
                  <w:vAlign w:val="center"/>
                </w:tcPr>
                <w:p w14:paraId="032599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1次/年</w:t>
                  </w:r>
                </w:p>
              </w:tc>
            </w:tr>
            <w:tr w14:paraId="14847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31" w:type="pct"/>
                  <w:vMerge w:val="continue"/>
                  <w:tcBorders>
                    <w:tl2br w:val="nil"/>
                    <w:tr2bl w:val="nil"/>
                  </w:tcBorders>
                  <w:shd w:val="clear" w:color="auto" w:fill="auto"/>
                  <w:noWrap w:val="0"/>
                  <w:vAlign w:val="center"/>
                </w:tcPr>
                <w:p w14:paraId="2978D3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408" w:type="pct"/>
                  <w:vMerge w:val="continue"/>
                  <w:tcBorders>
                    <w:tl2br w:val="nil"/>
                    <w:tr2bl w:val="nil"/>
                  </w:tcBorders>
                  <w:shd w:val="clear" w:color="auto" w:fill="auto"/>
                  <w:noWrap w:val="0"/>
                  <w:vAlign w:val="center"/>
                </w:tcPr>
                <w:p w14:paraId="733E0C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261" w:type="pct"/>
                  <w:tcBorders>
                    <w:tl2br w:val="nil"/>
                    <w:tr2bl w:val="nil"/>
                  </w:tcBorders>
                  <w:shd w:val="clear" w:color="auto" w:fill="auto"/>
                  <w:noWrap w:val="0"/>
                  <w:vAlign w:val="center"/>
                </w:tcPr>
                <w:p w14:paraId="2AE9A3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47" w:type="pct"/>
                  <w:tcBorders>
                    <w:tl2br w:val="nil"/>
                    <w:tr2bl w:val="nil"/>
                  </w:tcBorders>
                  <w:shd w:val="clear" w:color="auto" w:fill="auto"/>
                  <w:noWrap w:val="0"/>
                  <w:vAlign w:val="center"/>
                </w:tcPr>
                <w:p w14:paraId="56DA47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66" w:type="pct"/>
                  <w:tcBorders>
                    <w:tl2br w:val="nil"/>
                    <w:tr2bl w:val="nil"/>
                  </w:tcBorders>
                  <w:shd w:val="clear" w:color="auto" w:fill="auto"/>
                  <w:noWrap w:val="0"/>
                  <w:vAlign w:val="center"/>
                </w:tcPr>
                <w:p w14:paraId="789B49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80" w:type="pct"/>
                  <w:tcBorders>
                    <w:tl2br w:val="nil"/>
                    <w:tr2bl w:val="nil"/>
                  </w:tcBorders>
                  <w:shd w:val="clear" w:color="auto" w:fill="auto"/>
                  <w:noWrap w:val="0"/>
                  <w:vAlign w:val="center"/>
                </w:tcPr>
                <w:p w14:paraId="596275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tcBorders>
                    <w:tl2br w:val="nil"/>
                    <w:tr2bl w:val="nil"/>
                  </w:tcBorders>
                  <w:shd w:val="clear" w:color="auto" w:fill="auto"/>
                  <w:noWrap w:val="0"/>
                  <w:vAlign w:val="center"/>
                </w:tcPr>
                <w:p w14:paraId="416327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31" w:type="pct"/>
                  <w:tcBorders>
                    <w:tl2br w:val="nil"/>
                    <w:tr2bl w:val="nil"/>
                  </w:tcBorders>
                  <w:shd w:val="clear" w:color="auto" w:fill="auto"/>
                  <w:noWrap w:val="0"/>
                  <w:vAlign w:val="center"/>
                </w:tcPr>
                <w:p w14:paraId="4FCECF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4.0</w:t>
                  </w:r>
                </w:p>
              </w:tc>
              <w:tc>
                <w:tcPr>
                  <w:tcW w:w="400" w:type="pct"/>
                  <w:tcBorders>
                    <w:tl2br w:val="nil"/>
                    <w:tr2bl w:val="nil"/>
                  </w:tcBorders>
                  <w:shd w:val="clear" w:color="auto" w:fill="auto"/>
                  <w:noWrap w:val="0"/>
                  <w:vAlign w:val="center"/>
                </w:tcPr>
                <w:p w14:paraId="3D7392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56" w:type="pct"/>
                  <w:vMerge w:val="continue"/>
                  <w:tcBorders>
                    <w:tl2br w:val="nil"/>
                    <w:tr2bl w:val="nil"/>
                  </w:tcBorders>
                  <w:shd w:val="clear" w:color="auto" w:fill="auto"/>
                  <w:noWrap w:val="0"/>
                  <w:vAlign w:val="center"/>
                </w:tcPr>
                <w:p w14:paraId="2C74DD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676" w:type="pct"/>
                  <w:tcBorders>
                    <w:tl2br w:val="nil"/>
                    <w:tr2bl w:val="nil"/>
                  </w:tcBorders>
                  <w:shd w:val="clear" w:color="auto" w:fill="auto"/>
                  <w:noWrap w:val="0"/>
                  <w:vAlign w:val="center"/>
                </w:tcPr>
                <w:p w14:paraId="65B44F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386" w:type="pct"/>
                  <w:tcBorders>
                    <w:tl2br w:val="nil"/>
                    <w:tr2bl w:val="nil"/>
                  </w:tcBorders>
                  <w:shd w:val="clear" w:color="auto" w:fill="auto"/>
                  <w:noWrap w:val="0"/>
                  <w:vAlign w:val="center"/>
                </w:tcPr>
                <w:p w14:paraId="741D7B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1次/年</w:t>
                  </w:r>
                </w:p>
              </w:tc>
            </w:tr>
            <w:tr w14:paraId="16334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1" w:hRule="atLeast"/>
                <w:jc w:val="center"/>
              </w:trPr>
              <w:tc>
                <w:tcPr>
                  <w:tcW w:w="331" w:type="pct"/>
                  <w:vMerge w:val="continue"/>
                  <w:tcBorders>
                    <w:tl2br w:val="nil"/>
                    <w:tr2bl w:val="nil"/>
                  </w:tcBorders>
                  <w:shd w:val="clear" w:color="auto" w:fill="auto"/>
                  <w:noWrap w:val="0"/>
                  <w:vAlign w:val="center"/>
                </w:tcPr>
                <w:p w14:paraId="5F691F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408" w:type="pct"/>
                  <w:vMerge w:val="restart"/>
                  <w:tcBorders>
                    <w:tl2br w:val="nil"/>
                    <w:tr2bl w:val="nil"/>
                  </w:tcBorders>
                  <w:shd w:val="clear" w:color="auto" w:fill="auto"/>
                  <w:noWrap w:val="0"/>
                  <w:vAlign w:val="center"/>
                </w:tcPr>
                <w:p w14:paraId="0AF2DE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厂区内厂房外</w:t>
                  </w:r>
                </w:p>
              </w:tc>
              <w:tc>
                <w:tcPr>
                  <w:tcW w:w="261" w:type="pct"/>
                  <w:vMerge w:val="restart"/>
                  <w:tcBorders>
                    <w:tl2br w:val="nil"/>
                    <w:tr2bl w:val="nil"/>
                  </w:tcBorders>
                  <w:shd w:val="clear" w:color="auto" w:fill="auto"/>
                  <w:noWrap w:val="0"/>
                  <w:vAlign w:val="center"/>
                </w:tcPr>
                <w:p w14:paraId="0DAF2E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47" w:type="pct"/>
                  <w:vMerge w:val="restart"/>
                  <w:tcBorders>
                    <w:tl2br w:val="nil"/>
                    <w:tr2bl w:val="nil"/>
                  </w:tcBorders>
                  <w:shd w:val="clear" w:color="auto" w:fill="auto"/>
                  <w:noWrap w:val="0"/>
                  <w:vAlign w:val="center"/>
                </w:tcPr>
                <w:p w14:paraId="5EEE25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66" w:type="pct"/>
                  <w:vMerge w:val="restart"/>
                  <w:tcBorders>
                    <w:tl2br w:val="nil"/>
                    <w:tr2bl w:val="nil"/>
                  </w:tcBorders>
                  <w:shd w:val="clear" w:color="auto" w:fill="auto"/>
                  <w:noWrap w:val="0"/>
                  <w:vAlign w:val="center"/>
                </w:tcPr>
                <w:p w14:paraId="0DEC6B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80" w:type="pct"/>
                  <w:vMerge w:val="restart"/>
                  <w:tcBorders>
                    <w:tl2br w:val="nil"/>
                    <w:tr2bl w:val="nil"/>
                  </w:tcBorders>
                  <w:shd w:val="clear" w:color="auto" w:fill="auto"/>
                  <w:noWrap w:val="0"/>
                  <w:vAlign w:val="center"/>
                </w:tcPr>
                <w:p w14:paraId="46C919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353" w:type="pct"/>
                  <w:vMerge w:val="restart"/>
                  <w:tcBorders>
                    <w:tl2br w:val="nil"/>
                    <w:tr2bl w:val="nil"/>
                  </w:tcBorders>
                  <w:shd w:val="clear" w:color="auto" w:fill="auto"/>
                  <w:noWrap w:val="0"/>
                  <w:vAlign w:val="center"/>
                </w:tcPr>
                <w:p w14:paraId="7A3F34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31" w:type="pct"/>
                  <w:tcBorders>
                    <w:tl2br w:val="nil"/>
                    <w:tr2bl w:val="nil"/>
                  </w:tcBorders>
                  <w:shd w:val="clear" w:color="auto" w:fill="auto"/>
                  <w:noWrap w:val="0"/>
                  <w:vAlign w:val="center"/>
                </w:tcPr>
                <w:p w14:paraId="6226C7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c>
                <w:tcPr>
                  <w:tcW w:w="400" w:type="pct"/>
                  <w:tcBorders>
                    <w:tl2br w:val="nil"/>
                    <w:tr2bl w:val="nil"/>
                  </w:tcBorders>
                  <w:shd w:val="clear" w:color="auto" w:fill="auto"/>
                  <w:noWrap w:val="0"/>
                  <w:vAlign w:val="center"/>
                </w:tcPr>
                <w:p w14:paraId="31BB11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56" w:type="pct"/>
                  <w:vMerge w:val="restart"/>
                  <w:tcBorders>
                    <w:tl2br w:val="nil"/>
                    <w:tr2bl w:val="nil"/>
                  </w:tcBorders>
                  <w:shd w:val="clear" w:color="auto" w:fill="auto"/>
                  <w:noWrap w:val="0"/>
                  <w:vAlign w:val="center"/>
                </w:tcPr>
                <w:p w14:paraId="76D066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厂区内厂房外</w:t>
                  </w:r>
                </w:p>
              </w:tc>
              <w:tc>
                <w:tcPr>
                  <w:tcW w:w="676" w:type="pct"/>
                  <w:tcBorders>
                    <w:tl2br w:val="nil"/>
                    <w:tr2bl w:val="nil"/>
                  </w:tcBorders>
                  <w:shd w:val="clear" w:color="auto" w:fill="auto"/>
                  <w:noWrap w:val="0"/>
                  <w:vAlign w:val="center"/>
                </w:tcPr>
                <w:p w14:paraId="66974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86" w:type="pct"/>
                  <w:vMerge w:val="restart"/>
                  <w:tcBorders>
                    <w:tl2br w:val="nil"/>
                    <w:tr2bl w:val="nil"/>
                  </w:tcBorders>
                  <w:shd w:val="clear" w:color="auto" w:fill="auto"/>
                  <w:noWrap w:val="0"/>
                  <w:vAlign w:val="center"/>
                </w:tcPr>
                <w:p w14:paraId="4F408F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1次/年</w:t>
                  </w:r>
                </w:p>
              </w:tc>
            </w:tr>
            <w:tr w14:paraId="0C06E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1" w:hRule="atLeast"/>
                <w:jc w:val="center"/>
              </w:trPr>
              <w:tc>
                <w:tcPr>
                  <w:tcW w:w="331" w:type="pct"/>
                  <w:vMerge w:val="continue"/>
                  <w:tcBorders>
                    <w:tl2br w:val="nil"/>
                    <w:tr2bl w:val="nil"/>
                  </w:tcBorders>
                  <w:shd w:val="clear" w:color="auto" w:fill="auto"/>
                  <w:noWrap w:val="0"/>
                  <w:vAlign w:val="center"/>
                </w:tcPr>
                <w:p w14:paraId="67BB5098">
                  <w:pPr>
                    <w:widowControl/>
                    <w:adjustRightInd w:val="0"/>
                    <w:snapToGrid w:val="0"/>
                    <w:spacing w:line="240" w:lineRule="auto"/>
                    <w:jc w:val="left"/>
                    <w:rPr>
                      <w:rFonts w:hint="default" w:ascii="Times New Roman" w:hAnsi="Times New Roman" w:eastAsia="宋体" w:cs="Times New Roman"/>
                      <w:b/>
                      <w:bCs/>
                      <w:color w:val="FF0000"/>
                      <w:kern w:val="0"/>
                      <w:sz w:val="18"/>
                      <w:szCs w:val="18"/>
                      <w:highlight w:val="none"/>
                      <w:lang w:val="en-US" w:eastAsia="zh-CN"/>
                    </w:rPr>
                  </w:pPr>
                </w:p>
              </w:tc>
              <w:tc>
                <w:tcPr>
                  <w:tcW w:w="408" w:type="pct"/>
                  <w:vMerge w:val="continue"/>
                  <w:tcBorders>
                    <w:tl2br w:val="nil"/>
                    <w:tr2bl w:val="nil"/>
                  </w:tcBorders>
                  <w:shd w:val="clear" w:color="auto" w:fill="auto"/>
                  <w:noWrap w:val="0"/>
                  <w:vAlign w:val="center"/>
                </w:tcPr>
                <w:p w14:paraId="1E965F7E">
                  <w:pPr>
                    <w:widowControl/>
                    <w:adjustRightInd w:val="0"/>
                    <w:snapToGrid w:val="0"/>
                    <w:spacing w:line="240" w:lineRule="auto"/>
                    <w:jc w:val="left"/>
                    <w:rPr>
                      <w:rFonts w:hint="default" w:ascii="Times New Roman" w:hAnsi="Times New Roman" w:eastAsia="宋体" w:cs="Times New Roman"/>
                      <w:b/>
                      <w:bCs/>
                      <w:color w:val="FF0000"/>
                      <w:kern w:val="0"/>
                      <w:sz w:val="18"/>
                      <w:szCs w:val="18"/>
                      <w:highlight w:val="none"/>
                      <w:lang w:val="en-US" w:eastAsia="zh-CN"/>
                    </w:rPr>
                  </w:pPr>
                </w:p>
              </w:tc>
              <w:tc>
                <w:tcPr>
                  <w:tcW w:w="261" w:type="pct"/>
                  <w:vMerge w:val="continue"/>
                  <w:tcBorders>
                    <w:tl2br w:val="nil"/>
                    <w:tr2bl w:val="nil"/>
                  </w:tcBorders>
                  <w:shd w:val="clear" w:color="auto" w:fill="auto"/>
                  <w:noWrap w:val="0"/>
                  <w:vAlign w:val="center"/>
                </w:tcPr>
                <w:p w14:paraId="0F7D70F3">
                  <w:pPr>
                    <w:widowControl/>
                    <w:adjustRightInd w:val="0"/>
                    <w:snapToGrid w:val="0"/>
                    <w:spacing w:line="240" w:lineRule="auto"/>
                    <w:jc w:val="left"/>
                    <w:rPr>
                      <w:rFonts w:hint="default" w:ascii="Times New Roman" w:hAnsi="Times New Roman" w:eastAsia="宋体" w:cs="Times New Roman"/>
                      <w:b/>
                      <w:bCs/>
                      <w:color w:val="auto"/>
                      <w:kern w:val="0"/>
                      <w:sz w:val="18"/>
                      <w:szCs w:val="18"/>
                      <w:highlight w:val="none"/>
                      <w:lang w:val="en-US" w:eastAsia="zh-CN"/>
                    </w:rPr>
                  </w:pPr>
                </w:p>
              </w:tc>
              <w:tc>
                <w:tcPr>
                  <w:tcW w:w="247" w:type="pct"/>
                  <w:vMerge w:val="continue"/>
                  <w:tcBorders>
                    <w:tl2br w:val="nil"/>
                    <w:tr2bl w:val="nil"/>
                  </w:tcBorders>
                  <w:shd w:val="clear" w:color="auto" w:fill="auto"/>
                  <w:noWrap w:val="0"/>
                  <w:vAlign w:val="center"/>
                </w:tcPr>
                <w:p w14:paraId="0F8DCB11">
                  <w:pPr>
                    <w:widowControl/>
                    <w:adjustRightInd w:val="0"/>
                    <w:snapToGrid w:val="0"/>
                    <w:spacing w:line="240" w:lineRule="auto"/>
                    <w:jc w:val="left"/>
                    <w:rPr>
                      <w:rFonts w:hint="default" w:ascii="Times New Roman" w:hAnsi="Times New Roman" w:eastAsia="宋体" w:cs="Times New Roman"/>
                      <w:b/>
                      <w:bCs/>
                      <w:color w:val="auto"/>
                      <w:kern w:val="0"/>
                      <w:sz w:val="18"/>
                      <w:szCs w:val="18"/>
                      <w:highlight w:val="none"/>
                      <w:lang w:val="en-US" w:eastAsia="zh-CN"/>
                    </w:rPr>
                  </w:pPr>
                </w:p>
              </w:tc>
              <w:tc>
                <w:tcPr>
                  <w:tcW w:w="266" w:type="pct"/>
                  <w:vMerge w:val="continue"/>
                  <w:tcBorders>
                    <w:tl2br w:val="nil"/>
                    <w:tr2bl w:val="nil"/>
                  </w:tcBorders>
                  <w:shd w:val="clear" w:color="auto" w:fill="auto"/>
                  <w:noWrap w:val="0"/>
                  <w:vAlign w:val="center"/>
                </w:tcPr>
                <w:p w14:paraId="073375D4">
                  <w:pPr>
                    <w:widowControl/>
                    <w:adjustRightInd w:val="0"/>
                    <w:snapToGrid w:val="0"/>
                    <w:spacing w:line="240" w:lineRule="auto"/>
                    <w:jc w:val="left"/>
                    <w:rPr>
                      <w:rFonts w:hint="default" w:ascii="Times New Roman" w:hAnsi="Times New Roman" w:eastAsia="宋体" w:cs="Times New Roman"/>
                      <w:b/>
                      <w:bCs/>
                      <w:color w:val="auto"/>
                      <w:kern w:val="0"/>
                      <w:sz w:val="18"/>
                      <w:szCs w:val="18"/>
                      <w:highlight w:val="none"/>
                      <w:lang w:val="en-US" w:eastAsia="zh-CN"/>
                    </w:rPr>
                  </w:pPr>
                </w:p>
              </w:tc>
              <w:tc>
                <w:tcPr>
                  <w:tcW w:w="480" w:type="pct"/>
                  <w:vMerge w:val="continue"/>
                  <w:tcBorders>
                    <w:tl2br w:val="nil"/>
                    <w:tr2bl w:val="nil"/>
                  </w:tcBorders>
                  <w:shd w:val="clear" w:color="auto" w:fill="auto"/>
                  <w:noWrap w:val="0"/>
                  <w:vAlign w:val="center"/>
                </w:tcPr>
                <w:p w14:paraId="512D8168">
                  <w:pPr>
                    <w:widowControl/>
                    <w:adjustRightInd w:val="0"/>
                    <w:snapToGrid w:val="0"/>
                    <w:spacing w:line="240" w:lineRule="auto"/>
                    <w:jc w:val="left"/>
                    <w:rPr>
                      <w:rFonts w:hint="default" w:ascii="Times New Roman" w:hAnsi="Times New Roman" w:eastAsia="宋体" w:cs="Times New Roman"/>
                      <w:b/>
                      <w:bCs/>
                      <w:color w:val="auto"/>
                      <w:kern w:val="0"/>
                      <w:sz w:val="18"/>
                      <w:szCs w:val="18"/>
                      <w:highlight w:val="none"/>
                      <w:lang w:val="en-US" w:eastAsia="zh-CN"/>
                    </w:rPr>
                  </w:pPr>
                </w:p>
              </w:tc>
              <w:tc>
                <w:tcPr>
                  <w:tcW w:w="353" w:type="pct"/>
                  <w:vMerge w:val="continue"/>
                  <w:tcBorders>
                    <w:tl2br w:val="nil"/>
                    <w:tr2bl w:val="nil"/>
                  </w:tcBorders>
                  <w:shd w:val="clear" w:color="auto" w:fill="auto"/>
                  <w:noWrap w:val="0"/>
                  <w:vAlign w:val="center"/>
                </w:tcPr>
                <w:p w14:paraId="769A8181">
                  <w:pPr>
                    <w:widowControl/>
                    <w:adjustRightInd w:val="0"/>
                    <w:snapToGrid w:val="0"/>
                    <w:spacing w:line="240" w:lineRule="auto"/>
                    <w:jc w:val="left"/>
                    <w:rPr>
                      <w:rFonts w:hint="default" w:ascii="Times New Roman" w:hAnsi="Times New Roman" w:eastAsia="宋体" w:cs="Times New Roman"/>
                      <w:b/>
                      <w:bCs/>
                      <w:color w:val="auto"/>
                      <w:kern w:val="0"/>
                      <w:sz w:val="18"/>
                      <w:szCs w:val="18"/>
                      <w:highlight w:val="none"/>
                      <w:lang w:val="en-US" w:eastAsia="zh-CN"/>
                    </w:rPr>
                  </w:pPr>
                </w:p>
              </w:tc>
              <w:tc>
                <w:tcPr>
                  <w:tcW w:w="431" w:type="pct"/>
                  <w:tcBorders>
                    <w:tl2br w:val="nil"/>
                    <w:tr2bl w:val="nil"/>
                  </w:tcBorders>
                  <w:shd w:val="clear" w:color="auto" w:fill="auto"/>
                  <w:noWrap w:val="0"/>
                  <w:vAlign w:val="center"/>
                </w:tcPr>
                <w:p w14:paraId="074C85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6/20</w:t>
                  </w:r>
                </w:p>
              </w:tc>
              <w:tc>
                <w:tcPr>
                  <w:tcW w:w="400" w:type="pct"/>
                  <w:tcBorders>
                    <w:tl2br w:val="nil"/>
                    <w:tr2bl w:val="nil"/>
                  </w:tcBorders>
                  <w:shd w:val="clear" w:color="auto" w:fill="auto"/>
                  <w:noWrap w:val="0"/>
                  <w:vAlign w:val="center"/>
                </w:tcPr>
                <w:p w14:paraId="7006D4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756" w:type="pct"/>
                  <w:vMerge w:val="continue"/>
                  <w:tcBorders>
                    <w:tl2br w:val="nil"/>
                    <w:tr2bl w:val="nil"/>
                  </w:tcBorders>
                  <w:shd w:val="clear" w:color="auto" w:fill="auto"/>
                  <w:noWrap w:val="0"/>
                  <w:vAlign w:val="center"/>
                </w:tcPr>
                <w:p w14:paraId="4FF917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676" w:type="pct"/>
                  <w:tcBorders>
                    <w:tl2br w:val="nil"/>
                    <w:tr2bl w:val="nil"/>
                  </w:tcBorders>
                  <w:shd w:val="clear" w:color="auto" w:fill="auto"/>
                  <w:noWrap w:val="0"/>
                  <w:vAlign w:val="center"/>
                </w:tcPr>
                <w:p w14:paraId="14B5A7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386" w:type="pct"/>
                  <w:vMerge w:val="continue"/>
                  <w:tcBorders>
                    <w:tl2br w:val="nil"/>
                    <w:tr2bl w:val="nil"/>
                  </w:tcBorders>
                  <w:shd w:val="clear" w:color="auto" w:fill="auto"/>
                  <w:noWrap w:val="0"/>
                  <w:vAlign w:val="center"/>
                </w:tcPr>
                <w:p w14:paraId="3CB1145B">
                  <w:pPr>
                    <w:widowControl/>
                    <w:adjustRightInd w:val="0"/>
                    <w:snapToGrid w:val="0"/>
                    <w:spacing w:line="240" w:lineRule="auto"/>
                    <w:jc w:val="left"/>
                    <w:rPr>
                      <w:rFonts w:hint="eastAsia" w:ascii="Times New Roman" w:hAnsi="Times New Roman" w:eastAsia="宋体" w:cs="Times New Roman"/>
                      <w:b/>
                      <w:bCs/>
                      <w:color w:val="FF0000"/>
                      <w:kern w:val="0"/>
                      <w:sz w:val="18"/>
                      <w:szCs w:val="18"/>
                      <w:highlight w:val="none"/>
                      <w:lang w:val="en-US" w:eastAsia="zh-CN"/>
                    </w:rPr>
                  </w:pPr>
                </w:p>
              </w:tc>
            </w:tr>
          </w:tbl>
          <w:p w14:paraId="521AAB6C">
            <w:pPr>
              <w:widowControl/>
              <w:adjustRightInd w:val="0"/>
              <w:snapToGrid w:val="0"/>
              <w:spacing w:line="240" w:lineRule="auto"/>
              <w:jc w:val="left"/>
              <w:rPr>
                <w:rFonts w:hint="default" w:ascii="Times New Roman" w:hAnsi="Times New Roman" w:eastAsia="宋体" w:cs="Times New Roman"/>
                <w:color w:val="FF0000"/>
                <w:sz w:val="24"/>
                <w:szCs w:val="24"/>
                <w:highlight w:val="none"/>
                <w:lang w:val="en-US" w:eastAsia="zh-CN"/>
              </w:rPr>
            </w:pPr>
          </w:p>
        </w:tc>
      </w:tr>
    </w:tbl>
    <w:p w14:paraId="28EA28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sectPr>
          <w:pgSz w:w="16840" w:h="11907" w:orient="landscape"/>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72"/>
        <w:gridCol w:w="8536"/>
      </w:tblGrid>
      <w:tr w14:paraId="069A3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2" w:type="dxa"/>
            <w:tcBorders>
              <w:tl2br w:val="nil"/>
              <w:tr2bl w:val="nil"/>
            </w:tcBorders>
            <w:noWrap w:val="0"/>
            <w:tcMar>
              <w:left w:w="28" w:type="dxa"/>
              <w:right w:w="28" w:type="dxa"/>
            </w:tcMar>
            <w:vAlign w:val="center"/>
          </w:tcPr>
          <w:p w14:paraId="621B2DF0">
            <w:pPr>
              <w:adjustRightInd w:val="0"/>
              <w:snapToGrid w:val="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运营期环境影响和保护措施</w:t>
            </w:r>
          </w:p>
        </w:tc>
        <w:tc>
          <w:tcPr>
            <w:tcW w:w="8536" w:type="dxa"/>
            <w:tcBorders>
              <w:tl2br w:val="nil"/>
              <w:tr2bl w:val="nil"/>
            </w:tcBorders>
            <w:noWrap w:val="0"/>
            <w:vAlign w:val="center"/>
          </w:tcPr>
          <w:p w14:paraId="03070D9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（3）非正常工况</w:t>
            </w:r>
          </w:p>
          <w:p w14:paraId="2A8D1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非正常排放是指生产过程中设备检修、工艺设备运转异常等非正常工况下的污染物排放，以及污染物排放控制措施达不到应有效率等情况下的排放。</w:t>
            </w:r>
          </w:p>
          <w:p w14:paraId="0E362431">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表4-8  污染源非正常排放量核算表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34"/>
              <w:gridCol w:w="730"/>
              <w:gridCol w:w="1410"/>
              <w:gridCol w:w="746"/>
              <w:gridCol w:w="1429"/>
              <w:gridCol w:w="1230"/>
              <w:gridCol w:w="945"/>
              <w:gridCol w:w="855"/>
              <w:gridCol w:w="629"/>
            </w:tblGrid>
            <w:tr w14:paraId="0960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noWrap w:val="0"/>
                  <w:vAlign w:val="center"/>
                </w:tcPr>
                <w:p w14:paraId="69979772">
                  <w:pPr>
                    <w:pStyle w:val="116"/>
                    <w:bidi w:val="0"/>
                    <w:rPr>
                      <w:rFonts w:hint="default"/>
                      <w:b/>
                      <w:bCs/>
                      <w:color w:val="auto"/>
                      <w:sz w:val="21"/>
                      <w:szCs w:val="21"/>
                      <w:highlight w:val="none"/>
                    </w:rPr>
                  </w:pPr>
                  <w:r>
                    <w:rPr>
                      <w:rFonts w:hint="default"/>
                      <w:b/>
                      <w:bCs/>
                      <w:color w:val="auto"/>
                      <w:sz w:val="21"/>
                      <w:szCs w:val="21"/>
                      <w:highlight w:val="none"/>
                    </w:rPr>
                    <w:t>序号</w:t>
                  </w:r>
                </w:p>
              </w:tc>
              <w:tc>
                <w:tcPr>
                  <w:tcW w:w="439" w:type="pct"/>
                  <w:noWrap w:val="0"/>
                  <w:vAlign w:val="center"/>
                </w:tcPr>
                <w:p w14:paraId="0092FD1D">
                  <w:pPr>
                    <w:pStyle w:val="116"/>
                    <w:bidi w:val="0"/>
                    <w:rPr>
                      <w:rFonts w:hint="default"/>
                      <w:b/>
                      <w:bCs/>
                      <w:color w:val="auto"/>
                      <w:sz w:val="21"/>
                      <w:szCs w:val="21"/>
                      <w:highlight w:val="none"/>
                    </w:rPr>
                  </w:pPr>
                  <w:r>
                    <w:rPr>
                      <w:rFonts w:hint="default"/>
                      <w:b/>
                      <w:bCs/>
                      <w:color w:val="auto"/>
                      <w:sz w:val="21"/>
                      <w:szCs w:val="21"/>
                      <w:highlight w:val="none"/>
                    </w:rPr>
                    <w:t>污染源</w:t>
                  </w:r>
                </w:p>
              </w:tc>
              <w:tc>
                <w:tcPr>
                  <w:tcW w:w="848" w:type="pct"/>
                  <w:noWrap w:val="0"/>
                  <w:vAlign w:val="center"/>
                </w:tcPr>
                <w:p w14:paraId="0DDA729B">
                  <w:pPr>
                    <w:pStyle w:val="116"/>
                    <w:bidi w:val="0"/>
                    <w:rPr>
                      <w:rFonts w:hint="default"/>
                      <w:b/>
                      <w:bCs/>
                      <w:color w:val="auto"/>
                      <w:sz w:val="21"/>
                      <w:szCs w:val="21"/>
                      <w:highlight w:val="none"/>
                    </w:rPr>
                  </w:pPr>
                  <w:r>
                    <w:rPr>
                      <w:rFonts w:hint="default"/>
                      <w:b/>
                      <w:bCs/>
                      <w:color w:val="auto"/>
                      <w:sz w:val="21"/>
                      <w:szCs w:val="21"/>
                      <w:highlight w:val="none"/>
                    </w:rPr>
                    <w:t>非正常排放原因</w:t>
                  </w:r>
                </w:p>
              </w:tc>
              <w:tc>
                <w:tcPr>
                  <w:tcW w:w="448" w:type="pct"/>
                  <w:noWrap w:val="0"/>
                  <w:vAlign w:val="center"/>
                </w:tcPr>
                <w:p w14:paraId="58DFBB9E">
                  <w:pPr>
                    <w:pStyle w:val="116"/>
                    <w:bidi w:val="0"/>
                    <w:rPr>
                      <w:rFonts w:hint="default"/>
                      <w:b/>
                      <w:bCs/>
                      <w:color w:val="auto"/>
                      <w:sz w:val="21"/>
                      <w:szCs w:val="21"/>
                      <w:highlight w:val="none"/>
                    </w:rPr>
                  </w:pPr>
                  <w:r>
                    <w:rPr>
                      <w:rFonts w:hint="default"/>
                      <w:b/>
                      <w:bCs/>
                      <w:color w:val="auto"/>
                      <w:sz w:val="21"/>
                      <w:szCs w:val="21"/>
                      <w:highlight w:val="none"/>
                    </w:rPr>
                    <w:t>污染物</w:t>
                  </w:r>
                </w:p>
              </w:tc>
              <w:tc>
                <w:tcPr>
                  <w:tcW w:w="860" w:type="pct"/>
                  <w:noWrap w:val="0"/>
                  <w:vAlign w:val="center"/>
                </w:tcPr>
                <w:p w14:paraId="785ED2D3">
                  <w:pPr>
                    <w:pStyle w:val="116"/>
                    <w:bidi w:val="0"/>
                    <w:rPr>
                      <w:rFonts w:hint="eastAsia" w:eastAsia="宋体"/>
                      <w:b/>
                      <w:bCs/>
                      <w:color w:val="auto"/>
                      <w:sz w:val="21"/>
                      <w:szCs w:val="21"/>
                      <w:highlight w:val="none"/>
                      <w:lang w:eastAsia="zh-CN"/>
                    </w:rPr>
                  </w:pPr>
                  <w:r>
                    <w:rPr>
                      <w:rFonts w:hint="default"/>
                      <w:b/>
                      <w:bCs/>
                      <w:color w:val="auto"/>
                      <w:sz w:val="21"/>
                      <w:szCs w:val="21"/>
                      <w:highlight w:val="none"/>
                    </w:rPr>
                    <w:t>非正常排放浓度/</w:t>
                  </w:r>
                  <w:r>
                    <w:rPr>
                      <w:rFonts w:hint="eastAsia"/>
                      <w:b/>
                      <w:bCs/>
                      <w:color w:val="auto"/>
                      <w:sz w:val="21"/>
                      <w:szCs w:val="21"/>
                      <w:highlight w:val="none"/>
                      <w:lang w:eastAsia="zh-CN"/>
                    </w:rPr>
                    <w:t>（</w:t>
                  </w:r>
                  <w:r>
                    <w:rPr>
                      <w:rFonts w:hint="default"/>
                      <w:b/>
                      <w:bCs/>
                      <w:color w:val="auto"/>
                      <w:sz w:val="21"/>
                      <w:szCs w:val="21"/>
                      <w:highlight w:val="none"/>
                    </w:rPr>
                    <w:t>mg/m</w:t>
                  </w:r>
                  <w:r>
                    <w:rPr>
                      <w:rFonts w:hint="default"/>
                      <w:b/>
                      <w:bCs/>
                      <w:color w:val="auto"/>
                      <w:sz w:val="21"/>
                      <w:szCs w:val="21"/>
                      <w:highlight w:val="none"/>
                      <w:vertAlign w:val="superscript"/>
                    </w:rPr>
                    <w:t>3</w:t>
                  </w:r>
                  <w:r>
                    <w:rPr>
                      <w:rFonts w:hint="eastAsia"/>
                      <w:b/>
                      <w:bCs/>
                      <w:color w:val="auto"/>
                      <w:sz w:val="21"/>
                      <w:szCs w:val="21"/>
                      <w:highlight w:val="none"/>
                      <w:lang w:eastAsia="zh-CN"/>
                    </w:rPr>
                    <w:t>）</w:t>
                  </w:r>
                </w:p>
              </w:tc>
              <w:tc>
                <w:tcPr>
                  <w:tcW w:w="740" w:type="pct"/>
                  <w:noWrap w:val="0"/>
                  <w:vAlign w:val="center"/>
                </w:tcPr>
                <w:p w14:paraId="10BDC1BF">
                  <w:pPr>
                    <w:pStyle w:val="116"/>
                    <w:bidi w:val="0"/>
                    <w:rPr>
                      <w:rFonts w:hint="default"/>
                      <w:b/>
                      <w:bCs/>
                      <w:color w:val="auto"/>
                      <w:sz w:val="21"/>
                      <w:szCs w:val="21"/>
                      <w:highlight w:val="none"/>
                    </w:rPr>
                  </w:pPr>
                  <w:r>
                    <w:rPr>
                      <w:rFonts w:hint="default"/>
                      <w:b/>
                      <w:bCs/>
                      <w:color w:val="auto"/>
                      <w:sz w:val="21"/>
                      <w:szCs w:val="21"/>
                      <w:highlight w:val="none"/>
                    </w:rPr>
                    <w:t>非正常排放速率/</w:t>
                  </w:r>
                  <w:r>
                    <w:rPr>
                      <w:rFonts w:hint="eastAsia"/>
                      <w:b/>
                      <w:bCs/>
                      <w:color w:val="auto"/>
                      <w:sz w:val="21"/>
                      <w:szCs w:val="21"/>
                      <w:highlight w:val="none"/>
                      <w:lang w:eastAsia="zh-CN"/>
                    </w:rPr>
                    <w:t>（</w:t>
                  </w:r>
                  <w:r>
                    <w:rPr>
                      <w:rFonts w:hint="default"/>
                      <w:b/>
                      <w:bCs/>
                      <w:color w:val="auto"/>
                      <w:sz w:val="21"/>
                      <w:szCs w:val="21"/>
                      <w:highlight w:val="none"/>
                    </w:rPr>
                    <w:t>kg/h</w:t>
                  </w:r>
                  <w:r>
                    <w:rPr>
                      <w:rFonts w:hint="eastAsia"/>
                      <w:b/>
                      <w:bCs/>
                      <w:color w:val="auto"/>
                      <w:sz w:val="21"/>
                      <w:szCs w:val="21"/>
                      <w:highlight w:val="none"/>
                      <w:lang w:eastAsia="zh-CN"/>
                    </w:rPr>
                    <w:t>）</w:t>
                  </w:r>
                </w:p>
              </w:tc>
              <w:tc>
                <w:tcPr>
                  <w:tcW w:w="568" w:type="pct"/>
                  <w:noWrap w:val="0"/>
                  <w:vAlign w:val="center"/>
                </w:tcPr>
                <w:p w14:paraId="7F7DE017">
                  <w:pPr>
                    <w:pStyle w:val="116"/>
                    <w:bidi w:val="0"/>
                    <w:rPr>
                      <w:rFonts w:hint="default"/>
                      <w:b/>
                      <w:bCs/>
                      <w:color w:val="auto"/>
                      <w:sz w:val="21"/>
                      <w:szCs w:val="21"/>
                      <w:highlight w:val="none"/>
                    </w:rPr>
                  </w:pPr>
                  <w:r>
                    <w:rPr>
                      <w:rFonts w:hint="default"/>
                      <w:b/>
                      <w:bCs/>
                      <w:color w:val="auto"/>
                      <w:sz w:val="21"/>
                      <w:szCs w:val="21"/>
                      <w:highlight w:val="none"/>
                    </w:rPr>
                    <w:t>单次持续时间/h</w:t>
                  </w:r>
                </w:p>
              </w:tc>
              <w:tc>
                <w:tcPr>
                  <w:tcW w:w="514" w:type="pct"/>
                  <w:noWrap w:val="0"/>
                  <w:vAlign w:val="center"/>
                </w:tcPr>
                <w:p w14:paraId="64EADF3B">
                  <w:pPr>
                    <w:pStyle w:val="116"/>
                    <w:bidi w:val="0"/>
                    <w:rPr>
                      <w:rFonts w:hint="default"/>
                      <w:b/>
                      <w:bCs/>
                      <w:color w:val="auto"/>
                      <w:sz w:val="21"/>
                      <w:szCs w:val="21"/>
                      <w:highlight w:val="none"/>
                    </w:rPr>
                  </w:pPr>
                  <w:r>
                    <w:rPr>
                      <w:rFonts w:hint="default"/>
                      <w:b/>
                      <w:bCs/>
                      <w:color w:val="auto"/>
                      <w:sz w:val="21"/>
                      <w:szCs w:val="21"/>
                      <w:highlight w:val="none"/>
                    </w:rPr>
                    <w:t>年发生频次/次</w:t>
                  </w:r>
                </w:p>
              </w:tc>
              <w:tc>
                <w:tcPr>
                  <w:tcW w:w="378" w:type="pct"/>
                  <w:noWrap w:val="0"/>
                  <w:vAlign w:val="center"/>
                </w:tcPr>
                <w:p w14:paraId="504F0392">
                  <w:pPr>
                    <w:pStyle w:val="116"/>
                    <w:bidi w:val="0"/>
                    <w:rPr>
                      <w:rFonts w:hint="default"/>
                      <w:b/>
                      <w:bCs/>
                      <w:color w:val="auto"/>
                      <w:sz w:val="21"/>
                      <w:szCs w:val="21"/>
                      <w:highlight w:val="none"/>
                    </w:rPr>
                  </w:pPr>
                  <w:r>
                    <w:rPr>
                      <w:rFonts w:hint="default"/>
                      <w:b/>
                      <w:bCs/>
                      <w:color w:val="auto"/>
                      <w:sz w:val="21"/>
                      <w:szCs w:val="21"/>
                      <w:highlight w:val="none"/>
                    </w:rPr>
                    <w:t>应对措施</w:t>
                  </w:r>
                </w:p>
              </w:tc>
            </w:tr>
            <w:tr w14:paraId="1224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noWrap w:val="0"/>
                  <w:vAlign w:val="center"/>
                </w:tcPr>
                <w:p w14:paraId="77F4B308">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439" w:type="pct"/>
                  <w:noWrap w:val="0"/>
                  <w:vAlign w:val="center"/>
                </w:tcPr>
                <w:p w14:paraId="56355999">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DA001</w:t>
                  </w:r>
                </w:p>
              </w:tc>
              <w:tc>
                <w:tcPr>
                  <w:tcW w:w="848" w:type="pct"/>
                  <w:noWrap w:val="0"/>
                  <w:vAlign w:val="center"/>
                </w:tcPr>
                <w:p w14:paraId="11A8E433">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设备故障、非正常工况</w:t>
                  </w:r>
                </w:p>
              </w:tc>
              <w:tc>
                <w:tcPr>
                  <w:tcW w:w="448" w:type="pct"/>
                  <w:noWrap w:val="0"/>
                  <w:vAlign w:val="center"/>
                </w:tcPr>
                <w:p w14:paraId="0F566CDA">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w:t>
                  </w:r>
                </w:p>
              </w:tc>
              <w:tc>
                <w:tcPr>
                  <w:tcW w:w="860" w:type="pct"/>
                  <w:shd w:val="clear" w:color="auto" w:fill="auto"/>
                  <w:noWrap w:val="0"/>
                  <w:vAlign w:val="center"/>
                </w:tcPr>
                <w:p w14:paraId="1337D95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148</w:t>
                  </w:r>
                </w:p>
              </w:tc>
              <w:tc>
                <w:tcPr>
                  <w:tcW w:w="740" w:type="pct"/>
                  <w:shd w:val="clear" w:color="auto" w:fill="auto"/>
                  <w:noWrap w:val="0"/>
                  <w:vAlign w:val="center"/>
                </w:tcPr>
                <w:p w14:paraId="08DB2A36">
                  <w:pPr>
                    <w:keepNext w:val="0"/>
                    <w:keepLines w:val="0"/>
                    <w:widowControl/>
                    <w:suppressLineNumbers w:val="0"/>
                    <w:jc w:val="center"/>
                    <w:textAlignment w:val="center"/>
                    <w:rPr>
                      <w:rFonts w:hint="default" w:ascii="Times New Roman" w:hAnsi="Times New Roman" w:eastAsia="宋体" w:cs="Times New Roman"/>
                      <w:i w:val="0"/>
                      <w:iCs w:val="0"/>
                      <w:color w:val="FF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0.7</w:t>
                  </w:r>
                  <w:r>
                    <w:rPr>
                      <w:rFonts w:hint="eastAsia" w:cs="Times New Roman"/>
                      <w:i w:val="0"/>
                      <w:iCs w:val="0"/>
                      <w:color w:val="000000"/>
                      <w:kern w:val="0"/>
                      <w:sz w:val="18"/>
                      <w:szCs w:val="18"/>
                      <w:u w:val="none"/>
                      <w:lang w:val="en-US" w:eastAsia="zh-CN" w:bidi="ar"/>
                    </w:rPr>
                    <w:t>4</w:t>
                  </w:r>
                </w:p>
              </w:tc>
              <w:tc>
                <w:tcPr>
                  <w:tcW w:w="568" w:type="pct"/>
                  <w:noWrap w:val="0"/>
                  <w:vAlign w:val="center"/>
                </w:tcPr>
                <w:p w14:paraId="77718A3B">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noWrap w:val="0"/>
                  <w:vAlign w:val="center"/>
                </w:tcPr>
                <w:p w14:paraId="6A193890">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restart"/>
                  <w:noWrap w:val="0"/>
                  <w:vAlign w:val="center"/>
                </w:tcPr>
                <w:p w14:paraId="7C76CD5B">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定期检修和维护</w:t>
                  </w:r>
                </w:p>
              </w:tc>
            </w:tr>
            <w:tr w14:paraId="1B266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noWrap w:val="0"/>
                  <w:vAlign w:val="center"/>
                </w:tcPr>
                <w:p w14:paraId="0AE83CE9">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2</w:t>
                  </w:r>
                </w:p>
              </w:tc>
              <w:tc>
                <w:tcPr>
                  <w:tcW w:w="439" w:type="pct"/>
                  <w:noWrap w:val="0"/>
                  <w:vAlign w:val="center"/>
                </w:tcPr>
                <w:p w14:paraId="399ED294">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DA002</w:t>
                  </w:r>
                </w:p>
              </w:tc>
              <w:tc>
                <w:tcPr>
                  <w:tcW w:w="848" w:type="pct"/>
                  <w:noWrap w:val="0"/>
                  <w:vAlign w:val="center"/>
                </w:tcPr>
                <w:p w14:paraId="176E3579">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设备故障、非正常工况</w:t>
                  </w:r>
                </w:p>
              </w:tc>
              <w:tc>
                <w:tcPr>
                  <w:tcW w:w="448" w:type="pct"/>
                  <w:noWrap w:val="0"/>
                  <w:vAlign w:val="center"/>
                </w:tcPr>
                <w:p w14:paraId="298F87B9">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w:t>
                  </w:r>
                </w:p>
              </w:tc>
              <w:tc>
                <w:tcPr>
                  <w:tcW w:w="860" w:type="pct"/>
                  <w:shd w:val="clear" w:color="auto" w:fill="auto"/>
                  <w:noWrap w:val="0"/>
                  <w:vAlign w:val="center"/>
                </w:tcPr>
                <w:p w14:paraId="495089E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3528.57</w:t>
                  </w:r>
                </w:p>
              </w:tc>
              <w:tc>
                <w:tcPr>
                  <w:tcW w:w="740" w:type="pct"/>
                  <w:shd w:val="clear" w:color="auto" w:fill="auto"/>
                  <w:noWrap w:val="0"/>
                  <w:vAlign w:val="center"/>
                </w:tcPr>
                <w:p w14:paraId="40C8F037">
                  <w:pPr>
                    <w:keepNext w:val="0"/>
                    <w:keepLines w:val="0"/>
                    <w:widowControl/>
                    <w:suppressLineNumbers w:val="0"/>
                    <w:jc w:val="center"/>
                    <w:textAlignment w:val="center"/>
                    <w:rPr>
                      <w:rFonts w:hint="default" w:ascii="Times New Roman" w:hAnsi="Times New Roman" w:eastAsia="宋体" w:cs="Times New Roman"/>
                      <w:i w:val="0"/>
                      <w:iCs w:val="0"/>
                      <w:color w:val="FF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24.</w:t>
                  </w:r>
                  <w:r>
                    <w:rPr>
                      <w:rFonts w:hint="eastAsia" w:cs="Times New Roman"/>
                      <w:i w:val="0"/>
                      <w:iCs w:val="0"/>
                      <w:color w:val="000000"/>
                      <w:kern w:val="0"/>
                      <w:sz w:val="18"/>
                      <w:szCs w:val="18"/>
                      <w:u w:val="none"/>
                      <w:lang w:val="en-US" w:eastAsia="zh-CN" w:bidi="ar"/>
                    </w:rPr>
                    <w:t>7</w:t>
                  </w:r>
                </w:p>
              </w:tc>
              <w:tc>
                <w:tcPr>
                  <w:tcW w:w="568" w:type="pct"/>
                  <w:noWrap w:val="0"/>
                  <w:vAlign w:val="center"/>
                </w:tcPr>
                <w:p w14:paraId="4991890B">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noWrap w:val="0"/>
                  <w:vAlign w:val="center"/>
                </w:tcPr>
                <w:p w14:paraId="3E4AF3FD">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continue"/>
                  <w:noWrap w:val="0"/>
                  <w:vAlign w:val="center"/>
                </w:tcPr>
                <w:p w14:paraId="60C4085B">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p>
              </w:tc>
            </w:tr>
            <w:tr w14:paraId="0AB0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noWrap w:val="0"/>
                  <w:vAlign w:val="center"/>
                </w:tcPr>
                <w:p w14:paraId="4E5A2A47">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w:t>
                  </w:r>
                </w:p>
              </w:tc>
              <w:tc>
                <w:tcPr>
                  <w:tcW w:w="439" w:type="pct"/>
                  <w:noWrap w:val="0"/>
                  <w:vAlign w:val="center"/>
                </w:tcPr>
                <w:p w14:paraId="39CE8203">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DA003</w:t>
                  </w:r>
                </w:p>
              </w:tc>
              <w:tc>
                <w:tcPr>
                  <w:tcW w:w="848" w:type="pct"/>
                  <w:noWrap w:val="0"/>
                  <w:vAlign w:val="center"/>
                </w:tcPr>
                <w:p w14:paraId="2555DF9A">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设备故障、非正常工况</w:t>
                  </w:r>
                </w:p>
              </w:tc>
              <w:tc>
                <w:tcPr>
                  <w:tcW w:w="448" w:type="pct"/>
                  <w:noWrap w:val="0"/>
                  <w:vAlign w:val="center"/>
                </w:tcPr>
                <w:p w14:paraId="41745025">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w:t>
                  </w:r>
                </w:p>
              </w:tc>
              <w:tc>
                <w:tcPr>
                  <w:tcW w:w="860" w:type="pct"/>
                  <w:shd w:val="clear" w:color="auto" w:fill="auto"/>
                  <w:noWrap w:val="0"/>
                  <w:vAlign w:val="center"/>
                </w:tcPr>
                <w:p w14:paraId="05A4ACC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482.857</w:t>
                  </w:r>
                </w:p>
              </w:tc>
              <w:tc>
                <w:tcPr>
                  <w:tcW w:w="740" w:type="pct"/>
                  <w:noWrap w:val="0"/>
                  <w:vAlign w:val="center"/>
                </w:tcPr>
                <w:p w14:paraId="142EE61F">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FF0000"/>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3.38</w:t>
                  </w:r>
                </w:p>
              </w:tc>
              <w:tc>
                <w:tcPr>
                  <w:tcW w:w="568" w:type="pct"/>
                  <w:noWrap w:val="0"/>
                  <w:vAlign w:val="center"/>
                </w:tcPr>
                <w:p w14:paraId="754288DF">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noWrap w:val="0"/>
                  <w:vAlign w:val="center"/>
                </w:tcPr>
                <w:p w14:paraId="6EA25DEC">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continue"/>
                  <w:noWrap w:val="0"/>
                  <w:vAlign w:val="center"/>
                </w:tcPr>
                <w:p w14:paraId="4A16165A">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r>
            <w:tr w14:paraId="2720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vMerge w:val="restart"/>
                  <w:noWrap w:val="0"/>
                  <w:vAlign w:val="center"/>
                </w:tcPr>
                <w:p w14:paraId="0E915FEC">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4</w:t>
                  </w:r>
                </w:p>
              </w:tc>
              <w:tc>
                <w:tcPr>
                  <w:tcW w:w="439" w:type="pct"/>
                  <w:vMerge w:val="restart"/>
                  <w:noWrap w:val="0"/>
                  <w:vAlign w:val="center"/>
                </w:tcPr>
                <w:p w14:paraId="1AFEA109">
                  <w:pPr>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DA004</w:t>
                  </w:r>
                </w:p>
              </w:tc>
              <w:tc>
                <w:tcPr>
                  <w:tcW w:w="848" w:type="pct"/>
                  <w:noWrap w:val="0"/>
                  <w:vAlign w:val="center"/>
                </w:tcPr>
                <w:p w14:paraId="6FB70DD5">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设备故障、非正常工况</w:t>
                  </w:r>
                </w:p>
              </w:tc>
              <w:tc>
                <w:tcPr>
                  <w:tcW w:w="448" w:type="pct"/>
                  <w:noWrap w:val="0"/>
                  <w:vAlign w:val="center"/>
                </w:tcPr>
                <w:p w14:paraId="03992136">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w:t>
                  </w:r>
                </w:p>
              </w:tc>
              <w:tc>
                <w:tcPr>
                  <w:tcW w:w="860" w:type="pct"/>
                  <w:shd w:val="clear" w:color="auto" w:fill="auto"/>
                  <w:noWrap w:val="0"/>
                  <w:vAlign w:val="center"/>
                </w:tcPr>
                <w:p w14:paraId="36A1FAFB">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2"/>
                      <w:sz w:val="18"/>
                      <w:szCs w:val="18"/>
                      <w:u w:val="none"/>
                      <w:lang w:val="en-US" w:eastAsia="zh-CN" w:bidi="ar-SA"/>
                    </w:rPr>
                    <w:t>642.5</w:t>
                  </w:r>
                </w:p>
              </w:tc>
              <w:tc>
                <w:tcPr>
                  <w:tcW w:w="740" w:type="pct"/>
                  <w:noWrap w:val="0"/>
                  <w:vAlign w:val="center"/>
                </w:tcPr>
                <w:p w14:paraId="03B367D4">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FF0000"/>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3.61</w:t>
                  </w:r>
                </w:p>
              </w:tc>
              <w:tc>
                <w:tcPr>
                  <w:tcW w:w="568" w:type="pct"/>
                  <w:shd w:val="clear" w:color="auto" w:fill="auto"/>
                  <w:noWrap w:val="0"/>
                  <w:vAlign w:val="center"/>
                </w:tcPr>
                <w:p w14:paraId="6C0EC985">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shd w:val="clear" w:color="auto" w:fill="auto"/>
                  <w:noWrap w:val="0"/>
                  <w:vAlign w:val="center"/>
                </w:tcPr>
                <w:p w14:paraId="62C2EC00">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continue"/>
                  <w:noWrap w:val="0"/>
                  <w:vAlign w:val="center"/>
                </w:tcPr>
                <w:p w14:paraId="7E5AB294">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FF0000"/>
                      <w:kern w:val="2"/>
                      <w:sz w:val="21"/>
                      <w:szCs w:val="21"/>
                      <w:highlight w:val="none"/>
                      <w:lang w:val="en-US" w:eastAsia="zh-CN" w:bidi="ar-SA"/>
                    </w:rPr>
                  </w:pPr>
                </w:p>
              </w:tc>
            </w:tr>
            <w:tr w14:paraId="0120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vMerge w:val="continue"/>
                  <w:noWrap w:val="0"/>
                  <w:vAlign w:val="center"/>
                </w:tcPr>
                <w:p w14:paraId="4110EA2E">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439" w:type="pct"/>
                  <w:vMerge w:val="continue"/>
                  <w:noWrap w:val="0"/>
                  <w:vAlign w:val="center"/>
                </w:tcPr>
                <w:p w14:paraId="108AB60D">
                  <w:pPr>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848" w:type="pct"/>
                  <w:noWrap w:val="0"/>
                  <w:vAlign w:val="center"/>
                </w:tcPr>
                <w:p w14:paraId="0EF4F8D1">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二级活性炭失效</w:t>
                  </w:r>
                </w:p>
              </w:tc>
              <w:tc>
                <w:tcPr>
                  <w:tcW w:w="448" w:type="pct"/>
                  <w:noWrap w:val="0"/>
                  <w:vAlign w:val="center"/>
                </w:tcPr>
                <w:p w14:paraId="3F99258A">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非甲烷总烃</w:t>
                  </w:r>
                </w:p>
              </w:tc>
              <w:tc>
                <w:tcPr>
                  <w:tcW w:w="860" w:type="pct"/>
                  <w:shd w:val="clear" w:color="auto" w:fill="auto"/>
                  <w:noWrap w:val="0"/>
                  <w:vAlign w:val="center"/>
                </w:tcPr>
                <w:p w14:paraId="13A9756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2"/>
                      <w:sz w:val="18"/>
                      <w:szCs w:val="18"/>
                      <w:u w:val="none"/>
                      <w:lang w:val="en-US" w:eastAsia="zh-CN" w:bidi="ar-SA"/>
                    </w:rPr>
                    <w:t>84.375</w:t>
                  </w:r>
                </w:p>
              </w:tc>
              <w:tc>
                <w:tcPr>
                  <w:tcW w:w="740" w:type="pct"/>
                  <w:shd w:val="clear" w:color="auto" w:fill="auto"/>
                  <w:noWrap w:val="0"/>
                  <w:vAlign w:val="center"/>
                </w:tcPr>
                <w:p w14:paraId="1B1BD1F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2"/>
                      <w:sz w:val="18"/>
                      <w:szCs w:val="18"/>
                      <w:u w:val="none"/>
                      <w:lang w:val="en-US" w:eastAsia="zh-CN" w:bidi="ar-SA"/>
                    </w:rPr>
                    <w:t>0.444</w:t>
                  </w:r>
                </w:p>
              </w:tc>
              <w:tc>
                <w:tcPr>
                  <w:tcW w:w="568" w:type="pct"/>
                  <w:shd w:val="clear" w:color="auto" w:fill="auto"/>
                  <w:noWrap w:val="0"/>
                  <w:vAlign w:val="center"/>
                </w:tcPr>
                <w:p w14:paraId="2DABA3DE">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shd w:val="clear" w:color="auto" w:fill="auto"/>
                  <w:noWrap w:val="0"/>
                  <w:vAlign w:val="center"/>
                </w:tcPr>
                <w:p w14:paraId="24E45465">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continue"/>
                  <w:noWrap w:val="0"/>
                  <w:vAlign w:val="center"/>
                </w:tcPr>
                <w:p w14:paraId="1E43F342">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FF0000"/>
                      <w:kern w:val="2"/>
                      <w:sz w:val="21"/>
                      <w:szCs w:val="21"/>
                      <w:highlight w:val="none"/>
                      <w:lang w:val="en-US" w:eastAsia="zh-CN" w:bidi="ar-SA"/>
                    </w:rPr>
                  </w:pPr>
                </w:p>
              </w:tc>
            </w:tr>
            <w:tr w14:paraId="7739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noWrap w:val="0"/>
                  <w:vAlign w:val="center"/>
                </w:tcPr>
                <w:p w14:paraId="4C9C86FD">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5</w:t>
                  </w:r>
                </w:p>
              </w:tc>
              <w:tc>
                <w:tcPr>
                  <w:tcW w:w="439" w:type="pct"/>
                  <w:noWrap w:val="0"/>
                  <w:vAlign w:val="center"/>
                </w:tcPr>
                <w:p w14:paraId="653C32A6">
                  <w:pPr>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DA005</w:t>
                  </w:r>
                </w:p>
              </w:tc>
              <w:tc>
                <w:tcPr>
                  <w:tcW w:w="848" w:type="pct"/>
                  <w:noWrap w:val="0"/>
                  <w:vAlign w:val="center"/>
                </w:tcPr>
                <w:p w14:paraId="5C5E44EB">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设备故障、非正常工况</w:t>
                  </w:r>
                </w:p>
              </w:tc>
              <w:tc>
                <w:tcPr>
                  <w:tcW w:w="448" w:type="pct"/>
                  <w:shd w:val="clear" w:color="auto" w:fill="auto"/>
                  <w:noWrap w:val="0"/>
                  <w:vAlign w:val="center"/>
                </w:tcPr>
                <w:p w14:paraId="4A8120C1">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w:t>
                  </w:r>
                </w:p>
              </w:tc>
              <w:tc>
                <w:tcPr>
                  <w:tcW w:w="860" w:type="pct"/>
                  <w:shd w:val="clear" w:color="auto" w:fill="auto"/>
                  <w:noWrap w:val="0"/>
                  <w:vAlign w:val="center"/>
                </w:tcPr>
                <w:p w14:paraId="0FE7B762">
                  <w:pPr>
                    <w:keepNext w:val="0"/>
                    <w:keepLines w:val="0"/>
                    <w:widowControl/>
                    <w:suppressLineNumbers w:val="0"/>
                    <w:jc w:val="center"/>
                    <w:textAlignment w:val="center"/>
                    <w:rPr>
                      <w:rFonts w:hint="eastAsia" w:ascii="Times New Roman" w:hAnsi="Times New Roman" w:eastAsia="宋体" w:cs="Times New Roman"/>
                      <w:i w:val="0"/>
                      <w:iCs w:val="0"/>
                      <w:color w:val="FF0000"/>
                      <w:kern w:val="2"/>
                      <w:sz w:val="18"/>
                      <w:szCs w:val="18"/>
                      <w:u w:val="none"/>
                      <w:lang w:val="en-US" w:eastAsia="zh-CN" w:bidi="ar-SA"/>
                    </w:rPr>
                  </w:pPr>
                  <w:r>
                    <w:rPr>
                      <w:rFonts w:hint="eastAsia" w:ascii="Times New Roman" w:hAnsi="Times New Roman" w:eastAsia="宋体" w:cs="Times New Roman"/>
                      <w:i w:val="0"/>
                      <w:iCs w:val="0"/>
                      <w:color w:val="000000"/>
                      <w:kern w:val="0"/>
                      <w:sz w:val="18"/>
                      <w:szCs w:val="18"/>
                      <w:u w:val="none"/>
                      <w:lang w:val="en-US" w:eastAsia="zh-CN" w:bidi="ar"/>
                    </w:rPr>
                    <w:t>845</w:t>
                  </w:r>
                </w:p>
              </w:tc>
              <w:tc>
                <w:tcPr>
                  <w:tcW w:w="740" w:type="pct"/>
                  <w:shd w:val="clear" w:color="auto" w:fill="auto"/>
                  <w:noWrap w:val="0"/>
                  <w:vAlign w:val="center"/>
                </w:tcPr>
                <w:p w14:paraId="2B685592">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18"/>
                      <w:szCs w:val="18"/>
                      <w:u w:val="none"/>
                      <w:lang w:val="en-US" w:eastAsia="zh-CN" w:bidi="ar-SA"/>
                    </w:rPr>
                  </w:pPr>
                  <w:r>
                    <w:rPr>
                      <w:rFonts w:hint="eastAsia" w:cs="Times New Roman"/>
                      <w:i w:val="0"/>
                      <w:iCs w:val="0"/>
                      <w:color w:val="000000"/>
                      <w:kern w:val="0"/>
                      <w:sz w:val="18"/>
                      <w:szCs w:val="18"/>
                      <w:u w:val="none"/>
                      <w:lang w:val="en-US" w:eastAsia="zh-CN" w:bidi="ar"/>
                    </w:rPr>
                    <w:t>1.69</w:t>
                  </w:r>
                </w:p>
              </w:tc>
              <w:tc>
                <w:tcPr>
                  <w:tcW w:w="568" w:type="pct"/>
                  <w:shd w:val="clear" w:color="auto" w:fill="auto"/>
                  <w:noWrap w:val="0"/>
                  <w:vAlign w:val="center"/>
                </w:tcPr>
                <w:p w14:paraId="4B80AA61">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shd w:val="clear" w:color="auto" w:fill="auto"/>
                  <w:noWrap w:val="0"/>
                  <w:vAlign w:val="center"/>
                </w:tcPr>
                <w:p w14:paraId="4661860D">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continue"/>
                  <w:noWrap w:val="0"/>
                  <w:vAlign w:val="center"/>
                </w:tcPr>
                <w:p w14:paraId="1838B7B0">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FF0000"/>
                      <w:kern w:val="2"/>
                      <w:sz w:val="21"/>
                      <w:szCs w:val="21"/>
                      <w:highlight w:val="none"/>
                      <w:lang w:val="en-US" w:eastAsia="zh-CN" w:bidi="ar-SA"/>
                    </w:rPr>
                  </w:pPr>
                </w:p>
              </w:tc>
            </w:tr>
            <w:tr w14:paraId="4F492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0" w:hRule="atLeast"/>
                <w:jc w:val="center"/>
              </w:trPr>
              <w:tc>
                <w:tcPr>
                  <w:tcW w:w="201" w:type="pct"/>
                  <w:noWrap w:val="0"/>
                  <w:vAlign w:val="center"/>
                </w:tcPr>
                <w:p w14:paraId="3CC44FD9">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6</w:t>
                  </w:r>
                </w:p>
              </w:tc>
              <w:tc>
                <w:tcPr>
                  <w:tcW w:w="439" w:type="pct"/>
                  <w:noWrap w:val="0"/>
                  <w:vAlign w:val="center"/>
                </w:tcPr>
                <w:p w14:paraId="50C60D8B">
                  <w:pPr>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DA006</w:t>
                  </w:r>
                </w:p>
              </w:tc>
              <w:tc>
                <w:tcPr>
                  <w:tcW w:w="848" w:type="pct"/>
                  <w:noWrap w:val="0"/>
                  <w:vAlign w:val="center"/>
                </w:tcPr>
                <w:p w14:paraId="5E24DBD3">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设备故障、非正常工况</w:t>
                  </w:r>
                </w:p>
              </w:tc>
              <w:tc>
                <w:tcPr>
                  <w:tcW w:w="448" w:type="pct"/>
                  <w:shd w:val="clear" w:color="auto" w:fill="auto"/>
                  <w:noWrap w:val="0"/>
                  <w:vAlign w:val="center"/>
                </w:tcPr>
                <w:p w14:paraId="0996ABE0">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w:t>
                  </w:r>
                </w:p>
              </w:tc>
              <w:tc>
                <w:tcPr>
                  <w:tcW w:w="860" w:type="pct"/>
                  <w:shd w:val="clear" w:color="auto" w:fill="auto"/>
                  <w:noWrap w:val="0"/>
                  <w:vAlign w:val="center"/>
                </w:tcPr>
                <w:p w14:paraId="1F80693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845</w:t>
                  </w:r>
                </w:p>
              </w:tc>
              <w:tc>
                <w:tcPr>
                  <w:tcW w:w="740" w:type="pct"/>
                  <w:shd w:val="clear" w:color="auto" w:fill="auto"/>
                  <w:noWrap w:val="0"/>
                  <w:vAlign w:val="center"/>
                </w:tcPr>
                <w:p w14:paraId="6F4D44C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1.69</w:t>
                  </w:r>
                </w:p>
              </w:tc>
              <w:tc>
                <w:tcPr>
                  <w:tcW w:w="568" w:type="pct"/>
                  <w:shd w:val="clear" w:color="auto" w:fill="auto"/>
                  <w:noWrap w:val="0"/>
                  <w:vAlign w:val="center"/>
                </w:tcPr>
                <w:p w14:paraId="79026CC7">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0.5</w:t>
                  </w:r>
                </w:p>
              </w:tc>
              <w:tc>
                <w:tcPr>
                  <w:tcW w:w="514" w:type="pct"/>
                  <w:shd w:val="clear" w:color="auto" w:fill="auto"/>
                  <w:noWrap w:val="0"/>
                  <w:vAlign w:val="center"/>
                </w:tcPr>
                <w:p w14:paraId="2AF4F823">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w:t>
                  </w:r>
                </w:p>
              </w:tc>
              <w:tc>
                <w:tcPr>
                  <w:tcW w:w="378" w:type="pct"/>
                  <w:vMerge w:val="continue"/>
                  <w:noWrap w:val="0"/>
                  <w:vAlign w:val="center"/>
                </w:tcPr>
                <w:p w14:paraId="706B5303">
                  <w:pPr>
                    <w:pStyle w:val="116"/>
                    <w:keepNext w:val="0"/>
                    <w:keepLines w:val="0"/>
                    <w:pageBreakBefore w:val="0"/>
                    <w:widowControl w:val="0"/>
                    <w:kinsoku/>
                    <w:wordWrap/>
                    <w:overflowPunct/>
                    <w:topLinePunct w:val="0"/>
                    <w:autoSpaceDE/>
                    <w:autoSpaceDN/>
                    <w:bidi w:val="0"/>
                    <w:ind w:firstLine="0" w:firstLineChars="0"/>
                    <w:jc w:val="center"/>
                    <w:textAlignment w:val="auto"/>
                    <w:rPr>
                      <w:rFonts w:hint="default" w:ascii="Times New Roman" w:hAnsi="Times New Roman" w:eastAsia="宋体" w:cs="Times New Roman"/>
                      <w:b w:val="0"/>
                      <w:bCs w:val="0"/>
                      <w:color w:val="FF0000"/>
                      <w:kern w:val="2"/>
                      <w:sz w:val="21"/>
                      <w:szCs w:val="21"/>
                      <w:highlight w:val="none"/>
                      <w:lang w:val="en-US" w:eastAsia="zh-CN" w:bidi="ar-SA"/>
                    </w:rPr>
                  </w:pPr>
                </w:p>
              </w:tc>
            </w:tr>
          </w:tbl>
          <w:p w14:paraId="0B20F6DD">
            <w:pPr>
              <w:widowControl/>
              <w:adjustRightInd w:val="0"/>
              <w:snapToGrid w:val="0"/>
              <w:spacing w:line="240" w:lineRule="auto"/>
              <w:jc w:val="left"/>
              <w:rPr>
                <w:rFonts w:hint="eastAsia" w:ascii="Times New Roman" w:hAnsi="Times New Roman" w:eastAsia="宋体" w:cs="Times New Roman"/>
                <w:b w:val="0"/>
                <w:bCs w:val="0"/>
                <w:color w:val="FF0000"/>
                <w:kern w:val="0"/>
                <w:sz w:val="18"/>
                <w:szCs w:val="18"/>
                <w:highlight w:val="none"/>
                <w:lang w:val="en-US" w:eastAsia="zh-CN"/>
              </w:rPr>
            </w:pPr>
          </w:p>
          <w:p w14:paraId="090FA92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（4）措施可行性分析</w:t>
            </w:r>
          </w:p>
          <w:p w14:paraId="6C8E28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本项目废气收集治理措施</w:t>
            </w:r>
            <w:r>
              <w:rPr>
                <w:rFonts w:hint="eastAsia" w:ascii="Times New Roman" w:hAnsi="Times New Roman" w:eastAsia="宋体" w:cs="Times New Roman"/>
                <w:color w:val="auto"/>
                <w:kern w:val="2"/>
                <w:sz w:val="24"/>
                <w:szCs w:val="21"/>
                <w:highlight w:val="none"/>
                <w:lang w:val="en-US" w:eastAsia="zh-CN" w:bidi="ar"/>
              </w:rPr>
              <w:t>以及与《排污许可证申请与核发技术规范 金属铸造工业》（HJ 1115-2020）中“表 A.1  废气防治可行技术参考表”相关内容对照情况</w:t>
            </w:r>
            <w:r>
              <w:rPr>
                <w:rFonts w:hint="default" w:ascii="Times New Roman" w:hAnsi="Times New Roman" w:eastAsia="宋体" w:cs="Times New Roman"/>
                <w:color w:val="auto"/>
                <w:kern w:val="2"/>
                <w:sz w:val="24"/>
                <w:szCs w:val="21"/>
                <w:highlight w:val="none"/>
                <w:lang w:val="en-US" w:eastAsia="zh-CN" w:bidi="ar"/>
              </w:rPr>
              <w:t>见下表：</w:t>
            </w:r>
          </w:p>
          <w:p w14:paraId="06049F1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表4-</w:t>
            </w:r>
            <w:r>
              <w:rPr>
                <w:rFonts w:hint="eastAsia" w:ascii="Times New Roman" w:hAnsi="Times New Roman" w:eastAsia="宋体" w:cs="Times New Roman"/>
                <w:b/>
                <w:bCs/>
                <w:color w:val="auto"/>
                <w:kern w:val="2"/>
                <w:sz w:val="24"/>
                <w:szCs w:val="24"/>
                <w:lang w:val="en-US" w:eastAsia="zh-CN"/>
              </w:rPr>
              <w:t xml:space="preserve">9  </w:t>
            </w:r>
            <w:r>
              <w:rPr>
                <w:rFonts w:hint="default" w:ascii="Times New Roman" w:hAnsi="Times New Roman" w:eastAsia="宋体" w:cs="Times New Roman"/>
                <w:b/>
                <w:bCs/>
                <w:color w:val="auto"/>
                <w:kern w:val="2"/>
                <w:sz w:val="24"/>
                <w:szCs w:val="24"/>
                <w:lang w:val="en-US" w:eastAsia="zh-CN"/>
              </w:rPr>
              <w:t>废气治理措施一览表</w:t>
            </w:r>
          </w:p>
          <w:tbl>
            <w:tblPr>
              <w:tblStyle w:val="36"/>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72"/>
              <w:gridCol w:w="2231"/>
              <w:gridCol w:w="5297"/>
            </w:tblGrid>
            <w:tr w14:paraId="318D76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0" w:hRule="atLeast"/>
                <w:jc w:val="center"/>
              </w:trPr>
              <w:tc>
                <w:tcPr>
                  <w:tcW w:w="465" w:type="pct"/>
                  <w:noWrap w:val="0"/>
                  <w:vAlign w:val="center"/>
                </w:tcPr>
                <w:p w14:paraId="58F73C18">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污染源</w:t>
                  </w:r>
                </w:p>
              </w:tc>
              <w:tc>
                <w:tcPr>
                  <w:tcW w:w="1343" w:type="pct"/>
                  <w:noWrap w:val="0"/>
                  <w:vAlign w:val="center"/>
                </w:tcPr>
                <w:p w14:paraId="3D7FA95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治理措施</w:t>
                  </w:r>
                </w:p>
              </w:tc>
              <w:tc>
                <w:tcPr>
                  <w:tcW w:w="3190" w:type="pct"/>
                  <w:noWrap w:val="0"/>
                  <w:vAlign w:val="center"/>
                </w:tcPr>
                <w:p w14:paraId="33092BCD">
                  <w:pPr>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排污许可推荐技术</w:t>
                  </w:r>
                </w:p>
              </w:tc>
            </w:tr>
            <w:tr w14:paraId="1C0BB6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jc w:val="center"/>
              </w:trPr>
              <w:tc>
                <w:tcPr>
                  <w:tcW w:w="465" w:type="pct"/>
                  <w:noWrap w:val="0"/>
                  <w:vAlign w:val="center"/>
                </w:tcPr>
                <w:p w14:paraId="31A5D9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熔化</w:t>
                  </w:r>
                </w:p>
              </w:tc>
              <w:tc>
                <w:tcPr>
                  <w:tcW w:w="1343" w:type="pct"/>
                  <w:noWrap w:val="0"/>
                  <w:vAlign w:val="center"/>
                </w:tcPr>
                <w:p w14:paraId="742FB44B">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熔化废气经集气罩收集后，经现有“布袋除尘装置”（TA001）</w:t>
                  </w:r>
                  <w:r>
                    <w:rPr>
                      <w:rFonts w:hint="default" w:ascii="Times New Roman" w:hAnsi="Times New Roman" w:eastAsia="宋体" w:cs="Times New Roman"/>
                      <w:b w:val="0"/>
                      <w:bCs w:val="0"/>
                      <w:color w:val="auto"/>
                      <w:kern w:val="2"/>
                      <w:sz w:val="21"/>
                      <w:szCs w:val="21"/>
                      <w:highlight w:val="none"/>
                      <w:lang w:val="en-US" w:eastAsia="zh-CN" w:bidi="ar-SA"/>
                    </w:rPr>
                    <w:t>处理</w:t>
                  </w:r>
                  <w:r>
                    <w:rPr>
                      <w:rFonts w:hint="eastAsia" w:ascii="Times New Roman" w:hAnsi="Times New Roman" w:eastAsia="宋体" w:cs="Times New Roman"/>
                      <w:b w:val="0"/>
                      <w:bCs w:val="0"/>
                      <w:color w:val="auto"/>
                      <w:kern w:val="2"/>
                      <w:sz w:val="21"/>
                      <w:szCs w:val="21"/>
                      <w:highlight w:val="none"/>
                      <w:lang w:val="en-US" w:eastAsia="zh-CN" w:bidi="ar-SA"/>
                    </w:rPr>
                    <w:t>达标后通过1根15m高的排气筒（DA001）排放；</w:t>
                  </w:r>
                </w:p>
              </w:tc>
              <w:tc>
                <w:tcPr>
                  <w:tcW w:w="3190" w:type="pct"/>
                  <w:noWrap w:val="0"/>
                  <w:vAlign w:val="center"/>
                </w:tcPr>
                <w:p w14:paraId="1E847676">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颗粒物推荐：设置集气罩，连接袋式除尘器进行除尘（布袋需覆膜或控制风量），除尘效率可达99.5%以上。</w:t>
                  </w:r>
                </w:p>
                <w:p w14:paraId="2766F9AE">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项目采用布袋除尘，设计除尘效率为99.5%，故符合排污许可推荐技术。</w:t>
                  </w:r>
                </w:p>
              </w:tc>
            </w:tr>
            <w:tr w14:paraId="35DF98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jc w:val="center"/>
              </w:trPr>
              <w:tc>
                <w:tcPr>
                  <w:tcW w:w="465" w:type="pct"/>
                  <w:noWrap w:val="0"/>
                  <w:vAlign w:val="center"/>
                </w:tcPr>
                <w:p w14:paraId="1555EC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砂处理</w:t>
                  </w:r>
                </w:p>
              </w:tc>
              <w:tc>
                <w:tcPr>
                  <w:tcW w:w="1343" w:type="pct"/>
                  <w:noWrap w:val="0"/>
                  <w:vAlign w:val="center"/>
                </w:tcPr>
                <w:p w14:paraId="04FBF15D">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w:t>
                  </w:r>
                  <w:r>
                    <w:rPr>
                      <w:rFonts w:hint="default" w:ascii="Times New Roman" w:hAnsi="Times New Roman" w:eastAsia="宋体" w:cs="Times New Roman"/>
                      <w:b w:val="0"/>
                      <w:bCs w:val="0"/>
                      <w:color w:val="auto"/>
                      <w:kern w:val="2"/>
                      <w:sz w:val="21"/>
                      <w:szCs w:val="21"/>
                      <w:highlight w:val="none"/>
                      <w:lang w:val="en-US" w:eastAsia="zh-CN" w:bidi="ar-SA"/>
                    </w:rPr>
                    <w:t>砂处理废气</w:t>
                  </w:r>
                  <w:r>
                    <w:rPr>
                      <w:rFonts w:hint="eastAsia" w:cs="Times New Roman"/>
                      <w:b w:val="0"/>
                      <w:bCs w:val="0"/>
                      <w:color w:val="auto"/>
                      <w:kern w:val="2"/>
                      <w:sz w:val="21"/>
                      <w:szCs w:val="21"/>
                      <w:highlight w:val="none"/>
                      <w:lang w:val="en-US" w:eastAsia="zh-CN" w:bidi="ar-SA"/>
                    </w:rPr>
                    <w:t>经过布袋除尘器处理后通过一根15m高排气筒（DA002）排放</w:t>
                  </w:r>
                  <w:r>
                    <w:rPr>
                      <w:rFonts w:hint="eastAsia" w:ascii="Times New Roman" w:hAnsi="Times New Roman" w:eastAsia="宋体" w:cs="Times New Roman"/>
                      <w:b w:val="0"/>
                      <w:bCs w:val="0"/>
                      <w:color w:val="auto"/>
                      <w:kern w:val="2"/>
                      <w:sz w:val="21"/>
                      <w:szCs w:val="21"/>
                      <w:highlight w:val="none"/>
                      <w:lang w:val="en-US" w:eastAsia="zh-CN" w:bidi="ar-SA"/>
                    </w:rPr>
                    <w:t>。</w:t>
                  </w:r>
                </w:p>
              </w:tc>
              <w:tc>
                <w:tcPr>
                  <w:tcW w:w="3190" w:type="pct"/>
                  <w:noWrap w:val="0"/>
                  <w:vAlign w:val="center"/>
                </w:tcPr>
                <w:p w14:paraId="1F74FEFD">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颗粒物推荐：砂处理工序应密闭，连接袋式除尘器（布袋需覆膜或控制风量）进行除尘，除尘效率99.5%以上。</w:t>
                  </w:r>
                </w:p>
                <w:p w14:paraId="53D2DEE5">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w:t>
                  </w:r>
                  <w:r>
                    <w:rPr>
                      <w:rFonts w:hint="eastAsia" w:cs="Times New Roman"/>
                      <w:b w:val="0"/>
                      <w:bCs w:val="0"/>
                      <w:color w:val="auto"/>
                      <w:kern w:val="2"/>
                      <w:sz w:val="21"/>
                      <w:szCs w:val="21"/>
                      <w:highlight w:val="none"/>
                      <w:lang w:val="en-US" w:eastAsia="zh-CN" w:bidi="ar-SA"/>
                    </w:rPr>
                    <w:t>技改后</w:t>
                  </w:r>
                  <w:r>
                    <w:rPr>
                      <w:rFonts w:hint="eastAsia" w:ascii="Times New Roman" w:hAnsi="Times New Roman" w:eastAsia="宋体" w:cs="Times New Roman"/>
                      <w:b w:val="0"/>
                      <w:bCs w:val="0"/>
                      <w:color w:val="auto"/>
                      <w:kern w:val="2"/>
                      <w:sz w:val="21"/>
                      <w:szCs w:val="21"/>
                      <w:highlight w:val="none"/>
                      <w:lang w:val="en-US" w:eastAsia="zh-CN" w:bidi="ar-SA"/>
                    </w:rPr>
                    <w:t>对砂处理区进行密闭，并在设备上方添加软帘，废气采用吸风收集+布袋除尘，设计除尘效率为99.5%，故符合排污许可推荐技术。</w:t>
                  </w:r>
                </w:p>
              </w:tc>
            </w:tr>
            <w:tr w14:paraId="12FE63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jc w:val="center"/>
              </w:trPr>
              <w:tc>
                <w:tcPr>
                  <w:tcW w:w="465" w:type="pct"/>
                  <w:noWrap w:val="0"/>
                  <w:vAlign w:val="center"/>
                </w:tcPr>
                <w:p w14:paraId="2B2168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造型、浇铸</w:t>
                  </w:r>
                </w:p>
              </w:tc>
              <w:tc>
                <w:tcPr>
                  <w:tcW w:w="1343" w:type="pct"/>
                  <w:noWrap w:val="0"/>
                  <w:vAlign w:val="center"/>
                </w:tcPr>
                <w:p w14:paraId="7B1D5B5B">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项目造型</w:t>
                  </w:r>
                  <w:r>
                    <w:rPr>
                      <w:rFonts w:hint="eastAsia"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浇铸废气经</w:t>
                  </w:r>
                  <w:r>
                    <w:rPr>
                      <w:rFonts w:hint="eastAsia" w:cs="Times New Roman"/>
                      <w:b w:val="0"/>
                      <w:bCs w:val="0"/>
                      <w:color w:val="auto"/>
                      <w:kern w:val="2"/>
                      <w:sz w:val="21"/>
                      <w:szCs w:val="21"/>
                      <w:highlight w:val="none"/>
                      <w:lang w:val="en-US" w:eastAsia="zh-CN" w:bidi="ar-SA"/>
                    </w:rPr>
                    <w:t>移动侧吸装置</w:t>
                  </w:r>
                  <w:r>
                    <w:rPr>
                      <w:rFonts w:hint="eastAsia" w:ascii="Times New Roman" w:hAnsi="Times New Roman" w:eastAsia="宋体" w:cs="Times New Roman"/>
                      <w:b w:val="0"/>
                      <w:bCs w:val="0"/>
                      <w:color w:val="auto"/>
                      <w:kern w:val="2"/>
                      <w:sz w:val="21"/>
                      <w:szCs w:val="21"/>
                      <w:highlight w:val="none"/>
                      <w:lang w:val="en-US" w:eastAsia="zh-CN" w:bidi="ar-SA"/>
                    </w:rPr>
                    <w:t>收集后，</w:t>
                  </w:r>
                  <w:r>
                    <w:rPr>
                      <w:rFonts w:hint="eastAsia" w:cs="Times New Roman"/>
                      <w:b w:val="0"/>
                      <w:bCs w:val="0"/>
                      <w:color w:val="auto"/>
                      <w:kern w:val="2"/>
                      <w:sz w:val="21"/>
                      <w:szCs w:val="21"/>
                      <w:highlight w:val="none"/>
                      <w:lang w:val="en-US" w:eastAsia="zh-CN" w:bidi="ar-SA"/>
                    </w:rPr>
                    <w:t>经过布袋除尘+活性炭吸附后通过15m高排气筒（DA004）排放</w:t>
                  </w:r>
                  <w:r>
                    <w:rPr>
                      <w:rFonts w:hint="eastAsia" w:ascii="Times New Roman" w:hAnsi="Times New Roman" w:eastAsia="宋体" w:cs="Times New Roman"/>
                      <w:b w:val="0"/>
                      <w:bCs w:val="0"/>
                      <w:color w:val="auto"/>
                      <w:kern w:val="2"/>
                      <w:sz w:val="21"/>
                      <w:szCs w:val="21"/>
                      <w:highlight w:val="none"/>
                      <w:lang w:val="en-US" w:eastAsia="zh-CN" w:bidi="ar-SA"/>
                    </w:rPr>
                    <w:t>。</w:t>
                  </w:r>
                </w:p>
              </w:tc>
              <w:tc>
                <w:tcPr>
                  <w:tcW w:w="3190" w:type="pct"/>
                  <w:noWrap w:val="0"/>
                  <w:vAlign w:val="center"/>
                </w:tcPr>
                <w:p w14:paraId="29B3B570">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造型颗粒物推荐：采取集气措施，连接袋式除尘器（布袋需覆膜或控制风量）进行除尘，除尘效率可达99.5%以上。</w:t>
                  </w:r>
                </w:p>
                <w:p w14:paraId="789C1979">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浇铸颗粒物推荐：在浇注工位上方设置集气罩连接袋式除尘器进行除尘，除尘效率可达99%以上。</w:t>
                  </w:r>
                </w:p>
                <w:p w14:paraId="5066CB7A">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浇铸非甲烷总烃推荐：连接活性炭吸附或催化燃烧装置。</w:t>
                  </w:r>
                </w:p>
                <w:p w14:paraId="5E689268">
                  <w:pPr>
                    <w:pStyle w:val="116"/>
                    <w:keepNext w:val="0"/>
                    <w:keepLines w:val="0"/>
                    <w:pageBreakBefore w:val="0"/>
                    <w:widowControl w:val="0"/>
                    <w:kinsoku/>
                    <w:wordWrap/>
                    <w:overflowPunct/>
                    <w:topLinePunct w:val="0"/>
                    <w:autoSpaceDE/>
                    <w:autoSpaceDN/>
                    <w:bidi w:val="0"/>
                    <w:ind w:firstLine="0" w:firstLineChars="0"/>
                    <w:jc w:val="left"/>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项目采用布袋除尘+活性炭吸附，设计除尘效率为99.5%，故符合排污许可推荐技术。</w:t>
                  </w:r>
                </w:p>
              </w:tc>
            </w:tr>
            <w:tr w14:paraId="5FE04B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jc w:val="center"/>
              </w:trPr>
              <w:tc>
                <w:tcPr>
                  <w:tcW w:w="465" w:type="pct"/>
                  <w:noWrap w:val="0"/>
                  <w:vAlign w:val="center"/>
                </w:tcPr>
                <w:p w14:paraId="203585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制芯（射芯）</w:t>
                  </w:r>
                </w:p>
              </w:tc>
              <w:tc>
                <w:tcPr>
                  <w:tcW w:w="1343" w:type="pct"/>
                  <w:noWrap w:val="0"/>
                  <w:vAlign w:val="center"/>
                </w:tcPr>
                <w:p w14:paraId="7AB7BF1A">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采用集气罩收集+布袋除尘+活性炭吸附</w:t>
                  </w:r>
                  <w:r>
                    <w:rPr>
                      <w:rFonts w:hint="eastAsia" w:cs="Times New Roman"/>
                      <w:b w:val="0"/>
                      <w:bCs w:val="0"/>
                      <w:color w:val="auto"/>
                      <w:kern w:val="2"/>
                      <w:sz w:val="21"/>
                      <w:szCs w:val="21"/>
                      <w:highlight w:val="none"/>
                      <w:lang w:val="en-US" w:eastAsia="zh-CN" w:bidi="ar-SA"/>
                    </w:rPr>
                    <w:t>后通过15m高排气筒（DA004）排放</w:t>
                  </w:r>
                  <w:r>
                    <w:rPr>
                      <w:rFonts w:hint="eastAsia" w:ascii="Times New Roman" w:hAnsi="Times New Roman" w:eastAsia="宋体" w:cs="Times New Roman"/>
                      <w:b w:val="0"/>
                      <w:bCs w:val="0"/>
                      <w:color w:val="auto"/>
                      <w:kern w:val="2"/>
                      <w:sz w:val="21"/>
                      <w:szCs w:val="21"/>
                      <w:highlight w:val="none"/>
                      <w:lang w:val="en-US" w:eastAsia="zh-CN" w:bidi="ar-SA"/>
                    </w:rPr>
                    <w:t>。</w:t>
                  </w:r>
                </w:p>
              </w:tc>
              <w:tc>
                <w:tcPr>
                  <w:tcW w:w="3190" w:type="pct"/>
                  <w:noWrap w:val="0"/>
                  <w:vAlign w:val="center"/>
                </w:tcPr>
                <w:p w14:paraId="39129D55">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制芯颗粒物推荐：采取集气措施，连接袋式除尘器进行除尘，除尘效率可达99 %以上。</w:t>
                  </w:r>
                </w:p>
                <w:p w14:paraId="18B48839">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项目采用集气罩收集+布袋除尘+活性炭吸附，设计除尘效率为99.5%，故符合排污许可推荐技术。</w:t>
                  </w:r>
                </w:p>
              </w:tc>
            </w:tr>
            <w:tr w14:paraId="073F78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3" w:hRule="atLeast"/>
                <w:jc w:val="center"/>
              </w:trPr>
              <w:tc>
                <w:tcPr>
                  <w:tcW w:w="465" w:type="pct"/>
                  <w:noWrap w:val="0"/>
                  <w:vAlign w:val="center"/>
                </w:tcPr>
                <w:p w14:paraId="1CE88C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抛丸、打磨</w:t>
                  </w:r>
                </w:p>
              </w:tc>
              <w:tc>
                <w:tcPr>
                  <w:tcW w:w="1343" w:type="pct"/>
                  <w:noWrap w:val="0"/>
                  <w:vAlign w:val="center"/>
                </w:tcPr>
                <w:p w14:paraId="69C1C3E6">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抛丸粉尘经吸风收集+自带布袋除尘器（TA00</w:t>
                  </w:r>
                  <w:r>
                    <w:rPr>
                      <w:rFonts w:hint="eastAsia" w:cs="Times New Roman"/>
                      <w:b w:val="0"/>
                      <w:bCs w:val="0"/>
                      <w:color w:val="auto"/>
                      <w:kern w:val="2"/>
                      <w:sz w:val="21"/>
                      <w:szCs w:val="21"/>
                      <w:highlight w:val="none"/>
                      <w:lang w:val="en-US" w:eastAsia="zh-CN" w:bidi="ar-SA"/>
                    </w:rPr>
                    <w:t>5、TA006</w:t>
                  </w:r>
                  <w:r>
                    <w:rPr>
                      <w:rFonts w:hint="eastAsia" w:ascii="Times New Roman" w:hAnsi="Times New Roman" w:eastAsia="宋体" w:cs="Times New Roman"/>
                      <w:b w:val="0"/>
                      <w:bCs w:val="0"/>
                      <w:color w:val="auto"/>
                      <w:kern w:val="2"/>
                      <w:sz w:val="21"/>
                      <w:szCs w:val="21"/>
                      <w:highlight w:val="none"/>
                      <w:lang w:val="en-US" w:eastAsia="zh-CN" w:bidi="ar-SA"/>
                    </w:rPr>
                    <w:t>）处理</w:t>
                  </w:r>
                  <w:r>
                    <w:rPr>
                      <w:rFonts w:hint="eastAsia" w:cs="Times New Roman"/>
                      <w:b w:val="0"/>
                      <w:bCs w:val="0"/>
                      <w:color w:val="auto"/>
                      <w:kern w:val="2"/>
                      <w:sz w:val="21"/>
                      <w:szCs w:val="21"/>
                      <w:highlight w:val="none"/>
                      <w:lang w:val="en-US" w:eastAsia="zh-CN" w:bidi="ar-SA"/>
                    </w:rPr>
                    <w:t>后</w:t>
                  </w:r>
                  <w:r>
                    <w:rPr>
                      <w:rFonts w:hint="eastAsia" w:ascii="Times New Roman" w:hAnsi="Times New Roman" w:eastAsia="宋体" w:cs="Times New Roman"/>
                      <w:b w:val="0"/>
                      <w:bCs w:val="0"/>
                      <w:color w:val="auto"/>
                      <w:kern w:val="2"/>
                      <w:sz w:val="21"/>
                      <w:szCs w:val="21"/>
                      <w:highlight w:val="none"/>
                      <w:lang w:val="en-US" w:eastAsia="zh-CN" w:bidi="ar-SA"/>
                    </w:rPr>
                    <w:t>通过15米高排气筒（DA00</w:t>
                  </w:r>
                  <w:r>
                    <w:rPr>
                      <w:rFonts w:hint="eastAsia" w:cs="Times New Roman"/>
                      <w:b w:val="0"/>
                      <w:bCs w:val="0"/>
                      <w:color w:val="auto"/>
                      <w:kern w:val="2"/>
                      <w:sz w:val="21"/>
                      <w:szCs w:val="21"/>
                      <w:highlight w:val="none"/>
                      <w:lang w:val="en-US" w:eastAsia="zh-CN" w:bidi="ar-SA"/>
                    </w:rPr>
                    <w:t>5、DA006</w:t>
                  </w:r>
                  <w:r>
                    <w:rPr>
                      <w:rFonts w:hint="eastAsia" w:ascii="Times New Roman" w:hAnsi="Times New Roman" w:eastAsia="宋体" w:cs="Times New Roman"/>
                      <w:b w:val="0"/>
                      <w:bCs w:val="0"/>
                      <w:color w:val="auto"/>
                      <w:kern w:val="2"/>
                      <w:sz w:val="21"/>
                      <w:szCs w:val="21"/>
                      <w:highlight w:val="none"/>
                      <w:lang w:val="en-US" w:eastAsia="zh-CN" w:bidi="ar-SA"/>
                    </w:rPr>
                    <w:t>）排放；、打磨粉尘经吸风收集+布袋除尘装置（TA003）处理后，通过15米高排气筒（DA003）排放；</w:t>
                  </w:r>
                </w:p>
              </w:tc>
              <w:tc>
                <w:tcPr>
                  <w:tcW w:w="3190" w:type="pct"/>
                  <w:noWrap w:val="0"/>
                  <w:vAlign w:val="center"/>
                </w:tcPr>
                <w:p w14:paraId="1E9C2A86">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颗粒物推荐：连接袋式除尘器（布袋需覆膜或控制风量）进行除尘。</w:t>
                  </w:r>
                </w:p>
                <w:p w14:paraId="06A5D463">
                  <w:pPr>
                    <w:pStyle w:val="116"/>
                    <w:keepNext w:val="0"/>
                    <w:keepLines w:val="0"/>
                    <w:pageBreakBefore w:val="0"/>
                    <w:widowControl w:val="0"/>
                    <w:kinsoku/>
                    <w:wordWrap/>
                    <w:overflowPunct/>
                    <w:topLinePunct w:val="0"/>
                    <w:autoSpaceDE/>
                    <w:autoSpaceDN/>
                    <w:bidi w:val="0"/>
                    <w:ind w:firstLine="0" w:firstLineChars="0"/>
                    <w:jc w:val="left"/>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项目抛丸粉尘采用吸风收集+自带布袋除尘器处理、打磨粉尘采用吸风收集+布袋除尘装置处理，故符合排污许可推荐技术。</w:t>
                  </w:r>
                </w:p>
              </w:tc>
            </w:tr>
          </w:tbl>
          <w:p w14:paraId="7CB43A25">
            <w:pPr>
              <w:widowControl/>
              <w:adjustRightInd w:val="0"/>
              <w:snapToGrid w:val="0"/>
              <w:spacing w:line="240" w:lineRule="auto"/>
              <w:jc w:val="left"/>
              <w:rPr>
                <w:rFonts w:hint="default" w:ascii="Times New Roman" w:hAnsi="Times New Roman" w:eastAsia="宋体" w:cs="Times New Roman"/>
                <w:b w:val="0"/>
                <w:bCs w:val="0"/>
                <w:color w:val="FF0000"/>
                <w:kern w:val="0"/>
                <w:sz w:val="18"/>
                <w:szCs w:val="18"/>
                <w:highlight w:val="none"/>
                <w:lang w:val="en-US" w:eastAsia="zh-CN"/>
              </w:rPr>
            </w:pPr>
          </w:p>
          <w:p w14:paraId="0F6F64C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①布袋除尘</w:t>
            </w:r>
          </w:p>
          <w:p w14:paraId="49A6E8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项目</w:t>
            </w:r>
            <w:r>
              <w:rPr>
                <w:rFonts w:hint="eastAsia" w:ascii="Times New Roman" w:hAnsi="Times New Roman" w:eastAsia="宋体" w:cs="Times New Roman"/>
                <w:color w:val="auto"/>
                <w:kern w:val="2"/>
                <w:sz w:val="24"/>
                <w:szCs w:val="21"/>
                <w:highlight w:val="none"/>
                <w:lang w:val="en-US" w:eastAsia="zh-CN" w:bidi="ar"/>
              </w:rPr>
              <w:t>生产过程中</w:t>
            </w:r>
            <w:r>
              <w:rPr>
                <w:rFonts w:hint="default" w:ascii="Times New Roman" w:hAnsi="Times New Roman" w:eastAsia="宋体" w:cs="Times New Roman"/>
                <w:color w:val="auto"/>
                <w:kern w:val="2"/>
                <w:sz w:val="24"/>
                <w:szCs w:val="21"/>
                <w:highlight w:val="none"/>
                <w:lang w:val="en-US" w:eastAsia="zh-CN" w:bidi="ar"/>
              </w:rPr>
              <w:t>产生的粉尘</w:t>
            </w:r>
            <w:r>
              <w:rPr>
                <w:rFonts w:hint="eastAsia" w:ascii="Times New Roman" w:hAnsi="Times New Roman" w:eastAsia="宋体" w:cs="Times New Roman"/>
                <w:color w:val="auto"/>
                <w:sz w:val="24"/>
                <w:szCs w:val="24"/>
                <w:highlight w:val="none"/>
                <w:lang w:val="en-US" w:eastAsia="zh-CN"/>
              </w:rPr>
              <w:t>分别收集后，均经过各自配备的布袋除尘器处理达标后分别通过相应的排气筒排放</w:t>
            </w:r>
            <w:r>
              <w:rPr>
                <w:rFonts w:hint="default" w:ascii="Times New Roman" w:hAnsi="Times New Roman" w:eastAsia="宋体" w:cs="Times New Roman"/>
                <w:color w:val="auto"/>
                <w:kern w:val="2"/>
                <w:sz w:val="24"/>
                <w:szCs w:val="21"/>
                <w:highlight w:val="none"/>
                <w:lang w:val="en-US" w:eastAsia="zh-CN" w:bidi="ar"/>
              </w:rPr>
              <w:t>，</w:t>
            </w:r>
            <w:r>
              <w:rPr>
                <w:rFonts w:hint="eastAsia" w:ascii="Times New Roman" w:hAnsi="Times New Roman" w:eastAsia="宋体" w:cs="Times New Roman"/>
                <w:color w:val="auto"/>
                <w:kern w:val="2"/>
                <w:sz w:val="24"/>
                <w:szCs w:val="21"/>
                <w:highlight w:val="none"/>
                <w:lang w:val="en-US" w:eastAsia="zh-CN" w:bidi="ar"/>
              </w:rPr>
              <w:t>项目</w:t>
            </w:r>
            <w:r>
              <w:rPr>
                <w:rFonts w:hint="default" w:ascii="Times New Roman" w:hAnsi="Times New Roman" w:eastAsia="宋体" w:cs="Times New Roman"/>
                <w:color w:val="auto"/>
                <w:kern w:val="2"/>
                <w:sz w:val="24"/>
                <w:szCs w:val="21"/>
                <w:highlight w:val="none"/>
                <w:lang w:val="en-US" w:eastAsia="zh-CN" w:bidi="ar"/>
              </w:rPr>
              <w:t>布袋除尘器</w:t>
            </w:r>
            <w:r>
              <w:rPr>
                <w:rFonts w:hint="eastAsia" w:ascii="Times New Roman" w:hAnsi="Times New Roman" w:eastAsia="宋体" w:cs="Times New Roman"/>
                <w:color w:val="auto"/>
                <w:kern w:val="2"/>
                <w:sz w:val="24"/>
                <w:szCs w:val="21"/>
                <w:highlight w:val="none"/>
                <w:lang w:val="en-US" w:eastAsia="zh-CN" w:bidi="ar"/>
              </w:rPr>
              <w:t>设计</w:t>
            </w:r>
            <w:r>
              <w:rPr>
                <w:rFonts w:hint="default" w:ascii="Times New Roman" w:hAnsi="Times New Roman" w:eastAsia="宋体" w:cs="Times New Roman"/>
                <w:color w:val="auto"/>
                <w:kern w:val="2"/>
                <w:sz w:val="24"/>
                <w:szCs w:val="21"/>
                <w:highlight w:val="none"/>
                <w:lang w:val="en-US" w:eastAsia="zh-CN" w:bidi="ar"/>
              </w:rPr>
              <w:t>除尘效率达9</w:t>
            </w:r>
            <w:r>
              <w:rPr>
                <w:rFonts w:hint="eastAsia" w:ascii="Times New Roman" w:hAnsi="Times New Roman" w:eastAsia="宋体" w:cs="Times New Roman"/>
                <w:color w:val="auto"/>
                <w:kern w:val="2"/>
                <w:sz w:val="24"/>
                <w:szCs w:val="21"/>
                <w:highlight w:val="none"/>
                <w:lang w:val="en-US" w:eastAsia="zh-CN" w:bidi="ar"/>
              </w:rPr>
              <w:t>9</w:t>
            </w:r>
            <w:r>
              <w:rPr>
                <w:rFonts w:hint="default" w:ascii="Times New Roman" w:hAnsi="Times New Roman" w:eastAsia="宋体" w:cs="Times New Roman"/>
                <w:color w:val="auto"/>
                <w:kern w:val="2"/>
                <w:sz w:val="24"/>
                <w:szCs w:val="21"/>
                <w:highlight w:val="none"/>
                <w:lang w:val="en-US" w:eastAsia="zh-CN" w:bidi="ar"/>
              </w:rPr>
              <w:t>%以上。</w:t>
            </w:r>
          </w:p>
          <w:p w14:paraId="530E6E5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b/>
                <w:bCs/>
                <w:color w:val="auto"/>
                <w:kern w:val="2"/>
                <w:sz w:val="24"/>
                <w:szCs w:val="21"/>
                <w:highlight w:val="none"/>
                <w:lang w:val="en-US" w:eastAsia="zh-CN" w:bidi="ar"/>
              </w:rPr>
              <w:t>布袋除尘器原理：</w:t>
            </w:r>
            <w:r>
              <w:rPr>
                <w:rFonts w:hint="default" w:ascii="Times New Roman" w:hAnsi="Times New Roman" w:eastAsia="宋体" w:cs="Times New Roman"/>
                <w:color w:val="auto"/>
                <w:kern w:val="2"/>
                <w:sz w:val="24"/>
                <w:szCs w:val="21"/>
                <w:highlight w:val="none"/>
                <w:lang w:val="en-US" w:eastAsia="zh-CN" w:bidi="ar"/>
              </w:rPr>
              <w:t>布袋除尘器是基于过滤原理的过滤式除尘设备，利用有机纤维或无机纤维过滤布将气体中的粉尘过滤出来。含尘气体由进气口进入中部箱体，从袋外进入布袋内，粉尘被阻挡在滤袋外的表面，净化的空气进入袋内，再由布袋上部进入上箱体，最后由排气管排出。</w:t>
            </w:r>
          </w:p>
          <w:p w14:paraId="4ABE53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布袋除尘器优点：</w:t>
            </w:r>
            <w:r>
              <w:rPr>
                <w:rFonts w:hint="eastAsia" w:ascii="Times New Roman" w:hAnsi="Times New Roman" w:eastAsia="宋体" w:cs="Times New Roman"/>
                <w:color w:val="auto"/>
                <w:kern w:val="2"/>
                <w:sz w:val="24"/>
                <w:szCs w:val="21"/>
                <w:highlight w:val="none"/>
                <w:lang w:val="en-US" w:eastAsia="zh-CN" w:bidi="ar"/>
              </w:rPr>
              <w:t>A、</w:t>
            </w:r>
            <w:r>
              <w:rPr>
                <w:rFonts w:hint="default" w:ascii="Times New Roman" w:hAnsi="Times New Roman" w:eastAsia="宋体" w:cs="Times New Roman"/>
                <w:color w:val="auto"/>
                <w:kern w:val="2"/>
                <w:sz w:val="24"/>
                <w:szCs w:val="21"/>
                <w:highlight w:val="none"/>
                <w:lang w:val="en-US" w:eastAsia="zh-CN" w:bidi="ar"/>
              </w:rPr>
              <w:t>净化效率高。符合国家和地方所规定的排放标准。</w:t>
            </w:r>
          </w:p>
          <w:p w14:paraId="5E22C9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B</w:t>
            </w:r>
            <w:r>
              <w:rPr>
                <w:rFonts w:hint="eastAsia" w:cs="Times New Roman"/>
                <w:color w:val="auto"/>
                <w:kern w:val="2"/>
                <w:sz w:val="24"/>
                <w:szCs w:val="21"/>
                <w:highlight w:val="none"/>
                <w:lang w:val="en-US" w:eastAsia="zh-CN" w:bidi="ar"/>
              </w:rPr>
              <w:t>且</w:t>
            </w:r>
            <w:r>
              <w:rPr>
                <w:rFonts w:hint="default" w:ascii="Times New Roman" w:hAnsi="Times New Roman" w:eastAsia="宋体" w:cs="Times New Roman"/>
                <w:color w:val="auto"/>
                <w:kern w:val="2"/>
                <w:sz w:val="24"/>
                <w:szCs w:val="21"/>
                <w:highlight w:val="none"/>
                <w:lang w:val="en-US" w:eastAsia="zh-CN" w:bidi="ar"/>
              </w:rPr>
              <w:t>运行稳定。检修方便，检修人员在上箱体换滤袋可不与灰尘接触。</w:t>
            </w:r>
          </w:p>
          <w:p w14:paraId="20465B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C</w:t>
            </w:r>
            <w:r>
              <w:rPr>
                <w:rFonts w:hint="eastAsia" w:cs="Times New Roman"/>
                <w:color w:val="auto"/>
                <w:kern w:val="2"/>
                <w:sz w:val="24"/>
                <w:szCs w:val="21"/>
                <w:highlight w:val="none"/>
                <w:lang w:val="en-US" w:eastAsia="zh-CN" w:bidi="ar"/>
              </w:rPr>
              <w:t>.</w:t>
            </w:r>
            <w:r>
              <w:rPr>
                <w:rFonts w:hint="default" w:ascii="Times New Roman" w:hAnsi="Times New Roman" w:eastAsia="宋体" w:cs="Times New Roman"/>
                <w:color w:val="auto"/>
                <w:kern w:val="2"/>
                <w:sz w:val="24"/>
                <w:szCs w:val="21"/>
                <w:highlight w:val="none"/>
                <w:lang w:val="en-US" w:eastAsia="zh-CN" w:bidi="ar"/>
              </w:rPr>
              <w:t>合理地利用空间，尽可能地占地面积小。</w:t>
            </w:r>
          </w:p>
          <w:p w14:paraId="40F543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D</w:t>
            </w:r>
            <w:r>
              <w:rPr>
                <w:rFonts w:hint="eastAsia" w:cs="Times New Roman"/>
                <w:color w:val="auto"/>
                <w:kern w:val="2"/>
                <w:sz w:val="24"/>
                <w:szCs w:val="21"/>
                <w:highlight w:val="none"/>
                <w:lang w:val="en-US" w:eastAsia="zh-CN" w:bidi="ar"/>
              </w:rPr>
              <w:t>.</w:t>
            </w:r>
            <w:r>
              <w:rPr>
                <w:rFonts w:hint="default" w:ascii="Times New Roman" w:hAnsi="Times New Roman" w:eastAsia="宋体" w:cs="Times New Roman"/>
                <w:color w:val="auto"/>
                <w:kern w:val="2"/>
                <w:sz w:val="24"/>
                <w:szCs w:val="21"/>
                <w:highlight w:val="none"/>
                <w:lang w:val="en-US" w:eastAsia="zh-CN" w:bidi="ar"/>
              </w:rPr>
              <w:t>所收集的粉尘属干式，且集尘量大，清灰方便。</w:t>
            </w:r>
          </w:p>
          <w:p w14:paraId="60A229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E</w:t>
            </w:r>
            <w:r>
              <w:rPr>
                <w:rFonts w:hint="eastAsia" w:cs="Times New Roman"/>
                <w:color w:val="auto"/>
                <w:kern w:val="2"/>
                <w:sz w:val="24"/>
                <w:szCs w:val="21"/>
                <w:highlight w:val="none"/>
                <w:lang w:val="en-US" w:eastAsia="zh-CN" w:bidi="ar"/>
              </w:rPr>
              <w:t>.</w:t>
            </w:r>
            <w:r>
              <w:rPr>
                <w:rFonts w:hint="default" w:ascii="Times New Roman" w:hAnsi="Times New Roman" w:eastAsia="宋体" w:cs="Times New Roman"/>
                <w:color w:val="auto"/>
                <w:kern w:val="2"/>
                <w:sz w:val="24"/>
                <w:szCs w:val="21"/>
                <w:highlight w:val="none"/>
                <w:lang w:val="en-US" w:eastAsia="zh-CN" w:bidi="ar"/>
              </w:rPr>
              <w:t>不会产生二次污染。</w:t>
            </w:r>
          </w:p>
          <w:p w14:paraId="2B5FCB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F</w:t>
            </w:r>
            <w:r>
              <w:rPr>
                <w:rFonts w:hint="eastAsia" w:cs="Times New Roman"/>
                <w:color w:val="auto"/>
                <w:kern w:val="2"/>
                <w:sz w:val="24"/>
                <w:szCs w:val="21"/>
                <w:highlight w:val="none"/>
                <w:lang w:val="en-US" w:eastAsia="zh-CN" w:bidi="ar"/>
              </w:rPr>
              <w:t>.</w:t>
            </w:r>
            <w:r>
              <w:rPr>
                <w:rFonts w:hint="default" w:ascii="Times New Roman" w:hAnsi="Times New Roman" w:eastAsia="宋体" w:cs="Times New Roman"/>
                <w:color w:val="auto"/>
                <w:kern w:val="2"/>
                <w:sz w:val="24"/>
                <w:szCs w:val="21"/>
                <w:highlight w:val="none"/>
                <w:lang w:val="en-US" w:eastAsia="zh-CN" w:bidi="ar"/>
              </w:rPr>
              <w:t>采用自动控制，是目前国内外各行各业首选的除尘设备。</w:t>
            </w:r>
          </w:p>
          <w:p w14:paraId="28FA569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②两级活性炭吸附</w:t>
            </w:r>
          </w:p>
          <w:p w14:paraId="1A3B6B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结合项目</w:t>
            </w:r>
            <w:r>
              <w:rPr>
                <w:rFonts w:hint="eastAsia" w:ascii="Times New Roman" w:hAnsi="Times New Roman" w:eastAsia="宋体" w:cs="Times New Roman"/>
                <w:color w:val="auto"/>
                <w:kern w:val="2"/>
                <w:sz w:val="24"/>
                <w:szCs w:val="21"/>
                <w:highlight w:val="none"/>
                <w:lang w:val="en-US" w:eastAsia="zh-CN" w:bidi="ar"/>
              </w:rPr>
              <w:t>生产过程中</w:t>
            </w:r>
            <w:r>
              <w:rPr>
                <w:rFonts w:hint="default" w:ascii="Times New Roman" w:hAnsi="Times New Roman" w:eastAsia="宋体" w:cs="Times New Roman"/>
                <w:color w:val="auto"/>
                <w:kern w:val="2"/>
                <w:sz w:val="24"/>
                <w:szCs w:val="21"/>
                <w:highlight w:val="none"/>
                <w:lang w:val="en-US" w:eastAsia="zh-CN" w:bidi="ar"/>
              </w:rPr>
              <w:t>有机废气的产生情况，根据《挥发性有机物（VOCs）污染防治技术政策》（公告2013年第31号）：</w:t>
            </w:r>
          </w:p>
          <w:p w14:paraId="17935E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w:t>
            </w:r>
            <w:r>
              <w:rPr>
                <w:rFonts w:hint="default" w:ascii="Times New Roman" w:hAnsi="Times New Roman" w:eastAsia="宋体" w:cs="Times New Roman"/>
                <w:color w:val="auto"/>
                <w:kern w:val="2"/>
                <w:sz w:val="24"/>
                <w:szCs w:val="21"/>
                <w:highlight w:val="none"/>
                <w:lang w:val="en-US" w:eastAsia="zh-CN" w:bidi="ar"/>
              </w:rPr>
              <w:t>（十五）对于含低浓度VOCs的废气，有回收价值时可采用吸附技术、吸收技术对有机溶剂回收后达标排放；不宜回收时，可采用吸附浓缩燃烧技术、生物技术、吸收技术、等离子体技术或紫外光高级氧化技术等净化后达标排放。</w:t>
            </w:r>
            <w:r>
              <w:rPr>
                <w:rFonts w:hint="eastAsia" w:ascii="Times New Roman" w:hAnsi="Times New Roman" w:eastAsia="宋体" w:cs="Times New Roman"/>
                <w:color w:val="auto"/>
                <w:kern w:val="2"/>
                <w:sz w:val="24"/>
                <w:szCs w:val="21"/>
                <w:highlight w:val="none"/>
                <w:lang w:val="en-US" w:eastAsia="zh-CN" w:bidi="ar"/>
              </w:rPr>
              <w:t>”</w:t>
            </w:r>
          </w:p>
          <w:p w14:paraId="06021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根据《其他工业涂装挥发性有机物治理实用手册》：</w:t>
            </w:r>
          </w:p>
          <w:p w14:paraId="12122F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u w:val="none"/>
                <w:lang w:val="en-US" w:eastAsia="zh-CN" w:bidi="ar"/>
              </w:rPr>
            </w:pPr>
            <w:r>
              <w:rPr>
                <w:rFonts w:hint="default" w:ascii="Times New Roman" w:hAnsi="Times New Roman" w:eastAsia="宋体" w:cs="Times New Roman"/>
                <w:color w:val="auto"/>
                <w:kern w:val="2"/>
                <w:sz w:val="24"/>
                <w:szCs w:val="21"/>
                <w:highlight w:val="none"/>
                <w:u w:val="none"/>
                <w:lang w:val="en-US" w:eastAsia="zh-CN" w:bidi="ar"/>
              </w:rPr>
              <w:t>末端治理：喷涂、晾（风）干废气宜采用吸附浓缩+燃烧或其他等效方式处置，小风量低浓度或不适宜浓缩脱附的废气可采用一次性活性炭吸附等工艺。</w:t>
            </w:r>
          </w:p>
          <w:p w14:paraId="48349F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本项目</w:t>
            </w:r>
            <w:r>
              <w:rPr>
                <w:rFonts w:hint="eastAsia" w:ascii="Times New Roman" w:hAnsi="Times New Roman" w:eastAsia="宋体" w:cs="Times New Roman"/>
                <w:color w:val="auto"/>
                <w:kern w:val="2"/>
                <w:sz w:val="24"/>
                <w:szCs w:val="21"/>
                <w:highlight w:val="none"/>
                <w:lang w:val="en-US" w:eastAsia="zh-CN" w:bidi="ar"/>
              </w:rPr>
              <w:t>废气中</w:t>
            </w:r>
            <w:r>
              <w:rPr>
                <w:rFonts w:hint="default" w:ascii="Times New Roman" w:hAnsi="Times New Roman" w:eastAsia="宋体" w:cs="Times New Roman"/>
                <w:color w:val="auto"/>
                <w:kern w:val="2"/>
                <w:sz w:val="24"/>
                <w:szCs w:val="21"/>
                <w:highlight w:val="none"/>
                <w:lang w:val="en-US" w:eastAsia="zh-CN" w:bidi="ar"/>
              </w:rPr>
              <w:t>有机废气最高产生浓度为</w:t>
            </w:r>
            <w:r>
              <w:rPr>
                <w:rFonts w:hint="eastAsia" w:ascii="Times New Roman" w:hAnsi="Times New Roman" w:eastAsia="宋体" w:cs="Times New Roman"/>
                <w:color w:val="auto"/>
                <w:kern w:val="2"/>
                <w:sz w:val="24"/>
                <w:szCs w:val="21"/>
                <w:highlight w:val="none"/>
                <w:lang w:val="en-US" w:eastAsia="zh-CN" w:bidi="ar"/>
              </w:rPr>
              <w:t>10.684</w:t>
            </w:r>
            <w:r>
              <w:rPr>
                <w:rFonts w:hint="default" w:ascii="Times New Roman" w:hAnsi="Times New Roman" w:eastAsia="宋体" w:cs="Times New Roman"/>
                <w:color w:val="auto"/>
                <w:kern w:val="2"/>
                <w:sz w:val="24"/>
                <w:szCs w:val="21"/>
                <w:highlight w:val="none"/>
                <w:lang w:val="en-US" w:eastAsia="zh-CN" w:bidi="ar"/>
              </w:rPr>
              <w:t>mg/m</w:t>
            </w:r>
            <w:r>
              <w:rPr>
                <w:rFonts w:hint="default" w:ascii="Times New Roman" w:hAnsi="Times New Roman" w:eastAsia="宋体" w:cs="Times New Roman"/>
                <w:color w:val="auto"/>
                <w:kern w:val="2"/>
                <w:sz w:val="24"/>
                <w:szCs w:val="21"/>
                <w:highlight w:val="none"/>
                <w:vertAlign w:val="superscript"/>
                <w:lang w:val="en-US" w:eastAsia="zh-CN" w:bidi="ar"/>
              </w:rPr>
              <w:t>3</w:t>
            </w:r>
            <w:r>
              <w:rPr>
                <w:rFonts w:hint="eastAsia" w:ascii="Times New Roman" w:hAnsi="Times New Roman" w:eastAsia="宋体" w:cs="Times New Roman"/>
                <w:color w:val="auto"/>
                <w:kern w:val="2"/>
                <w:sz w:val="24"/>
                <w:szCs w:val="21"/>
                <w:highlight w:val="none"/>
                <w:lang w:val="en-US" w:eastAsia="zh-CN" w:bidi="ar"/>
              </w:rPr>
              <w:t>，</w:t>
            </w:r>
            <w:r>
              <w:rPr>
                <w:rFonts w:hint="default" w:ascii="Times New Roman" w:hAnsi="Times New Roman" w:eastAsia="宋体" w:cs="Times New Roman"/>
                <w:color w:val="auto"/>
                <w:kern w:val="2"/>
                <w:sz w:val="24"/>
                <w:szCs w:val="21"/>
                <w:highlight w:val="none"/>
                <w:lang w:val="en-US" w:eastAsia="zh-CN" w:bidi="ar"/>
              </w:rPr>
              <w:t>均属于低浓度有机废气，且废气均不具备回收价值，选择“二级活性炭吸附”净化处理，满足催化、活性炭吸附法的适用范围。</w:t>
            </w:r>
          </w:p>
          <w:p w14:paraId="455189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b/>
                <w:bCs/>
                <w:color w:val="auto"/>
                <w:kern w:val="2"/>
                <w:sz w:val="24"/>
                <w:szCs w:val="21"/>
                <w:highlight w:val="none"/>
                <w:lang w:val="en-US" w:eastAsia="zh-CN" w:bidi="ar"/>
              </w:rPr>
              <w:t>活性炭吸附装置：</w:t>
            </w:r>
            <w:r>
              <w:rPr>
                <w:rFonts w:hint="default" w:ascii="Times New Roman" w:hAnsi="Times New Roman" w:eastAsia="宋体" w:cs="Times New Roman"/>
                <w:color w:val="auto"/>
                <w:kern w:val="2"/>
                <w:sz w:val="24"/>
                <w:szCs w:val="21"/>
                <w:highlight w:val="none"/>
                <w:lang w:val="en-US" w:eastAsia="zh-CN" w:bidi="ar"/>
              </w:rPr>
              <w:t>吸附现象是发生在两个不同的相界面的现象，吸附过程就是在界面上的扩散过程，是发生在固体表面的吸附，这</w:t>
            </w:r>
            <w:r>
              <w:rPr>
                <w:rFonts w:hint="eastAsia" w:cs="Times New Roman"/>
                <w:color w:val="auto"/>
                <w:kern w:val="2"/>
                <w:sz w:val="24"/>
                <w:szCs w:val="21"/>
                <w:highlight w:val="none"/>
                <w:lang w:val="en-US" w:eastAsia="zh-CN" w:bidi="ar"/>
              </w:rPr>
              <w:t>是由于固体表面存在着剩余的吸引而</w:t>
            </w:r>
            <w:r>
              <w:rPr>
                <w:rFonts w:hint="default" w:ascii="Times New Roman" w:hAnsi="Times New Roman" w:eastAsia="宋体" w:cs="Times New Roman"/>
                <w:color w:val="auto"/>
                <w:kern w:val="2"/>
                <w:sz w:val="24"/>
                <w:szCs w:val="21"/>
                <w:highlight w:val="none"/>
                <w:lang w:val="en-US" w:eastAsia="zh-CN" w:bidi="ar"/>
              </w:rPr>
              <w:t>。吸附可分为物理吸附和化学吸附；物理吸附亦称范德华吸附，是由于吸附剂与吸附质分子之间的静电力或范德华引力导致物理吸附引起的，当固体和气体之间的分子引力大于气体分子之间的引力时，即使气体的压力低于与操作温度相对应和饱和蒸气压，气体分子也会冷凝在固体表面上，物理吸附是一种吸热过程。化学吸附亦称活性吸附，是由于吸附剂表面与吸附质分子间的化学反应力导致化学吸附，它涉及分子中化学键的破坏和重新结合，因此，化学吸附过程的吸附热较物理吸附过程大。在吸附过程中，物理吸附和化学吸附之间没有严格的界限，同一物质在较低温度下往往是化学吸附。活性炭纤维吸附以物理吸附为主，但由于表面活性剂的存在，也有一定的化学吸附作用。</w:t>
            </w:r>
          </w:p>
          <w:p w14:paraId="51B49E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1"/>
                <w:highlight w:val="none"/>
                <w:lang w:val="en-US" w:eastAsia="zh-CN" w:bidi="ar"/>
              </w:rPr>
            </w:pPr>
            <w:r>
              <w:rPr>
                <w:rFonts w:hint="default" w:ascii="Times New Roman" w:hAnsi="Times New Roman" w:eastAsia="宋体" w:cs="Times New Roman"/>
                <w:color w:val="auto"/>
                <w:kern w:val="2"/>
                <w:sz w:val="24"/>
                <w:szCs w:val="21"/>
                <w:highlight w:val="none"/>
                <w:lang w:val="en-US" w:eastAsia="zh-CN" w:bidi="ar"/>
              </w:rPr>
              <w:t>活性炭吸附装置应符合《吸附法工业有机废气治理工程技术规范》（HJ</w:t>
            </w:r>
            <w:r>
              <w:rPr>
                <w:rFonts w:hint="eastAsia" w:ascii="Times New Roman" w:hAnsi="Times New Roman" w:eastAsia="宋体" w:cs="Times New Roman"/>
                <w:color w:val="auto"/>
                <w:kern w:val="2"/>
                <w:sz w:val="24"/>
                <w:szCs w:val="21"/>
                <w:highlight w:val="none"/>
                <w:lang w:val="en-US" w:eastAsia="zh-CN" w:bidi="ar"/>
              </w:rPr>
              <w:t xml:space="preserve"> </w:t>
            </w:r>
            <w:r>
              <w:rPr>
                <w:rFonts w:hint="default" w:ascii="Times New Roman" w:hAnsi="Times New Roman" w:eastAsia="宋体" w:cs="Times New Roman"/>
                <w:color w:val="auto"/>
                <w:kern w:val="2"/>
                <w:sz w:val="24"/>
                <w:szCs w:val="21"/>
                <w:highlight w:val="none"/>
                <w:lang w:val="en-US" w:eastAsia="zh-CN" w:bidi="ar"/>
              </w:rPr>
              <w:t>2026-2013）、《工程机械整机制造业挥发性有机物治理指导手册》中相关要求，本项目二级活性炭吸附装置技术参数如下：</w:t>
            </w:r>
          </w:p>
          <w:p w14:paraId="34AAF48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表4</w:t>
            </w:r>
            <w:r>
              <w:rPr>
                <w:rFonts w:hint="eastAsia" w:ascii="Times New Roman" w:hAnsi="Times New Roman" w:eastAsia="宋体" w:cs="Times New Roman"/>
                <w:b/>
                <w:bCs/>
                <w:color w:val="auto"/>
                <w:kern w:val="2"/>
                <w:sz w:val="24"/>
                <w:szCs w:val="24"/>
                <w:lang w:val="en-US" w:eastAsia="zh-CN"/>
              </w:rPr>
              <w:t xml:space="preserve">-10  </w:t>
            </w:r>
            <w:r>
              <w:rPr>
                <w:rFonts w:hint="default" w:ascii="Times New Roman" w:hAnsi="Times New Roman" w:eastAsia="宋体" w:cs="Times New Roman"/>
                <w:b/>
                <w:bCs/>
                <w:color w:val="auto"/>
                <w:kern w:val="2"/>
                <w:sz w:val="24"/>
                <w:szCs w:val="24"/>
                <w:lang w:val="en-US" w:eastAsia="zh-CN"/>
              </w:rPr>
              <w:t>活性炭技术参数一览表</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984"/>
              <w:gridCol w:w="2650"/>
              <w:gridCol w:w="639"/>
              <w:gridCol w:w="2066"/>
            </w:tblGrid>
            <w:tr w14:paraId="1AF4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7DCA0216">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参数名称</w:t>
                  </w:r>
                </w:p>
              </w:tc>
              <w:tc>
                <w:tcPr>
                  <w:tcW w:w="592" w:type="pct"/>
                  <w:tcBorders>
                    <w:tl2br w:val="nil"/>
                    <w:tr2bl w:val="nil"/>
                  </w:tcBorders>
                  <w:noWrap w:val="0"/>
                  <w:vAlign w:val="center"/>
                </w:tcPr>
                <w:p w14:paraId="1E8B9D3D">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单位</w:t>
                  </w:r>
                </w:p>
              </w:tc>
              <w:tc>
                <w:tcPr>
                  <w:tcW w:w="1979" w:type="pct"/>
                  <w:gridSpan w:val="2"/>
                  <w:tcBorders>
                    <w:tl2br w:val="nil"/>
                    <w:tr2bl w:val="nil"/>
                  </w:tcBorders>
                  <w:noWrap w:val="0"/>
                  <w:vAlign w:val="center"/>
                </w:tcPr>
                <w:p w14:paraId="51A7D0AF">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活性炭吸附塔技术参数值</w:t>
                  </w:r>
                </w:p>
              </w:tc>
              <w:tc>
                <w:tcPr>
                  <w:tcW w:w="1243" w:type="pct"/>
                  <w:tcBorders>
                    <w:tl2br w:val="nil"/>
                    <w:tr2bl w:val="nil"/>
                  </w:tcBorders>
                  <w:noWrap w:val="0"/>
                  <w:vAlign w:val="center"/>
                </w:tcPr>
                <w:p w14:paraId="43C6F7D9">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HJ</w:t>
                  </w:r>
                  <w:r>
                    <w:rPr>
                      <w:rFonts w:hint="eastAsia"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lang w:val="en-US" w:eastAsia="zh-CN"/>
                    </w:rPr>
                    <w:t>2026-2013 要求</w:t>
                  </w:r>
                </w:p>
              </w:tc>
            </w:tr>
            <w:tr w14:paraId="1A9E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5FB55915">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活性炭类型</w:t>
                  </w:r>
                </w:p>
              </w:tc>
              <w:tc>
                <w:tcPr>
                  <w:tcW w:w="592" w:type="pct"/>
                  <w:tcBorders>
                    <w:tl2br w:val="nil"/>
                    <w:tr2bl w:val="nil"/>
                  </w:tcBorders>
                  <w:noWrap w:val="0"/>
                  <w:vAlign w:val="center"/>
                </w:tcPr>
                <w:p w14:paraId="4CF36E16">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c>
                <w:tcPr>
                  <w:tcW w:w="1979" w:type="pct"/>
                  <w:gridSpan w:val="2"/>
                  <w:tcBorders>
                    <w:tl2br w:val="nil"/>
                    <w:tr2bl w:val="nil"/>
                  </w:tcBorders>
                  <w:noWrap w:val="0"/>
                  <w:vAlign w:val="center"/>
                </w:tcPr>
                <w:p w14:paraId="60212A40">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蜂窝状活性炭</w:t>
                  </w:r>
                </w:p>
              </w:tc>
              <w:tc>
                <w:tcPr>
                  <w:tcW w:w="1243" w:type="pct"/>
                  <w:tcBorders>
                    <w:tl2br w:val="nil"/>
                    <w:tr2bl w:val="nil"/>
                  </w:tcBorders>
                  <w:noWrap w:val="0"/>
                  <w:vAlign w:val="center"/>
                </w:tcPr>
                <w:p w14:paraId="723CA11B">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7CA2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45260FDC">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比表面积</w:t>
                  </w:r>
                </w:p>
              </w:tc>
              <w:tc>
                <w:tcPr>
                  <w:tcW w:w="592" w:type="pct"/>
                  <w:tcBorders>
                    <w:tl2br w:val="nil"/>
                    <w:tr2bl w:val="nil"/>
                  </w:tcBorders>
                  <w:noWrap w:val="0"/>
                  <w:vAlign w:val="center"/>
                </w:tcPr>
                <w:p w14:paraId="264FA1BD">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w:t>
                  </w:r>
                  <w:r>
                    <w:rPr>
                      <w:rFonts w:hint="default" w:ascii="Times New Roman" w:hAnsi="Times New Roman" w:cs="Times New Roman"/>
                      <w:color w:val="auto"/>
                      <w:highlight w:val="none"/>
                      <w:vertAlign w:val="superscript"/>
                      <w:lang w:val="en-US" w:eastAsia="zh-CN"/>
                    </w:rPr>
                    <w:t>2</w:t>
                  </w:r>
                  <w:r>
                    <w:rPr>
                      <w:rFonts w:hint="default" w:ascii="Times New Roman" w:hAnsi="Times New Roman" w:cs="Times New Roman"/>
                      <w:color w:val="auto"/>
                      <w:highlight w:val="none"/>
                      <w:lang w:val="en-US" w:eastAsia="zh-CN"/>
                    </w:rPr>
                    <w:t xml:space="preserve"> /g</w:t>
                  </w:r>
                </w:p>
              </w:tc>
              <w:tc>
                <w:tcPr>
                  <w:tcW w:w="1979" w:type="pct"/>
                  <w:gridSpan w:val="2"/>
                  <w:tcBorders>
                    <w:tl2br w:val="nil"/>
                    <w:tr2bl w:val="nil"/>
                  </w:tcBorders>
                  <w:noWrap w:val="0"/>
                  <w:vAlign w:val="center"/>
                </w:tcPr>
                <w:p w14:paraId="20DBF79A">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900</w:t>
                  </w:r>
                </w:p>
              </w:tc>
              <w:tc>
                <w:tcPr>
                  <w:tcW w:w="1243" w:type="pct"/>
                  <w:tcBorders>
                    <w:tl2br w:val="nil"/>
                    <w:tr2bl w:val="nil"/>
                  </w:tcBorders>
                  <w:noWrap w:val="0"/>
                  <w:vAlign w:val="center"/>
                </w:tcPr>
                <w:p w14:paraId="36F20067">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≥750</w:t>
                  </w:r>
                </w:p>
              </w:tc>
            </w:tr>
            <w:tr w14:paraId="715B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0A34ADEA">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活性炭密度</w:t>
                  </w:r>
                </w:p>
              </w:tc>
              <w:tc>
                <w:tcPr>
                  <w:tcW w:w="592" w:type="pct"/>
                  <w:tcBorders>
                    <w:tl2br w:val="nil"/>
                    <w:tr2bl w:val="nil"/>
                  </w:tcBorders>
                  <w:noWrap w:val="0"/>
                  <w:vAlign w:val="center"/>
                </w:tcPr>
                <w:p w14:paraId="325F6590">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eastAsia="zh-CN"/>
                    </w:rPr>
                    <w:t>g/cm</w:t>
                  </w:r>
                  <w:r>
                    <w:rPr>
                      <w:rFonts w:hint="default" w:ascii="Times New Roman" w:hAnsi="Times New Roman" w:cs="Times New Roman"/>
                      <w:color w:val="auto"/>
                      <w:highlight w:val="none"/>
                      <w:vertAlign w:val="superscript"/>
                      <w:lang w:val="en-US" w:eastAsia="zh-CN"/>
                    </w:rPr>
                    <w:t>3</w:t>
                  </w:r>
                </w:p>
              </w:tc>
              <w:tc>
                <w:tcPr>
                  <w:tcW w:w="1979" w:type="pct"/>
                  <w:gridSpan w:val="2"/>
                  <w:tcBorders>
                    <w:tl2br w:val="nil"/>
                    <w:tr2bl w:val="nil"/>
                  </w:tcBorders>
                  <w:noWrap w:val="0"/>
                  <w:vAlign w:val="center"/>
                </w:tcPr>
                <w:p w14:paraId="14DE4FDA">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0.5</w:t>
                  </w:r>
                </w:p>
              </w:tc>
              <w:tc>
                <w:tcPr>
                  <w:tcW w:w="1243" w:type="pct"/>
                  <w:tcBorders>
                    <w:tl2br w:val="nil"/>
                    <w:tr2bl w:val="nil"/>
                  </w:tcBorders>
                  <w:noWrap w:val="0"/>
                  <w:vAlign w:val="center"/>
                </w:tcPr>
                <w:p w14:paraId="425ED152">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6C54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65A42A0B">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吸附阻力损失</w:t>
                  </w:r>
                </w:p>
              </w:tc>
              <w:tc>
                <w:tcPr>
                  <w:tcW w:w="592" w:type="pct"/>
                  <w:tcBorders>
                    <w:tl2br w:val="nil"/>
                    <w:tr2bl w:val="nil"/>
                  </w:tcBorders>
                  <w:noWrap w:val="0"/>
                  <w:vAlign w:val="center"/>
                </w:tcPr>
                <w:p w14:paraId="418C9DAA">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Pa</w:t>
                  </w:r>
                </w:p>
              </w:tc>
              <w:tc>
                <w:tcPr>
                  <w:tcW w:w="1979" w:type="pct"/>
                  <w:gridSpan w:val="2"/>
                  <w:tcBorders>
                    <w:tl2br w:val="nil"/>
                    <w:tr2bl w:val="nil"/>
                  </w:tcBorders>
                  <w:noWrap w:val="0"/>
                  <w:vAlign w:val="center"/>
                </w:tcPr>
                <w:p w14:paraId="2B3B0D27">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70</w:t>
                  </w:r>
                  <w:r>
                    <w:rPr>
                      <w:rFonts w:hint="default" w:ascii="Times New Roman" w:hAnsi="Times New Roman" w:cs="Times New Roman"/>
                      <w:color w:val="auto"/>
                      <w:highlight w:val="none"/>
                      <w:lang w:val="en-US" w:eastAsia="zh-CN"/>
                    </w:rPr>
                    <w:t>0</w:t>
                  </w:r>
                </w:p>
              </w:tc>
              <w:tc>
                <w:tcPr>
                  <w:tcW w:w="1243" w:type="pct"/>
                  <w:tcBorders>
                    <w:tl2br w:val="nil"/>
                    <w:tr2bl w:val="nil"/>
                  </w:tcBorders>
                  <w:noWrap w:val="0"/>
                  <w:vAlign w:val="center"/>
                </w:tcPr>
                <w:p w14:paraId="4B8DF54B">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2.5kP</w:t>
                  </w:r>
                  <w:r>
                    <w:rPr>
                      <w:rFonts w:hint="eastAsia" w:cs="Times New Roman"/>
                      <w:color w:val="auto"/>
                      <w:highlight w:val="none"/>
                      <w:lang w:val="en-US" w:eastAsia="zh-CN"/>
                    </w:rPr>
                    <w:t>a</w:t>
                  </w:r>
                </w:p>
              </w:tc>
            </w:tr>
            <w:tr w14:paraId="76C2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142E059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碘值</w:t>
                  </w:r>
                </w:p>
              </w:tc>
              <w:tc>
                <w:tcPr>
                  <w:tcW w:w="592" w:type="pct"/>
                  <w:tcBorders>
                    <w:tl2br w:val="nil"/>
                    <w:tr2bl w:val="nil"/>
                  </w:tcBorders>
                  <w:noWrap w:val="0"/>
                  <w:vAlign w:val="center"/>
                </w:tcPr>
                <w:p w14:paraId="0DCF0DC7">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mg/g</w:t>
                  </w:r>
                </w:p>
              </w:tc>
              <w:tc>
                <w:tcPr>
                  <w:tcW w:w="1979" w:type="pct"/>
                  <w:gridSpan w:val="2"/>
                  <w:tcBorders>
                    <w:tl2br w:val="nil"/>
                    <w:tr2bl w:val="nil"/>
                  </w:tcBorders>
                  <w:noWrap w:val="0"/>
                  <w:vAlign w:val="center"/>
                </w:tcPr>
                <w:p w14:paraId="0465EA89">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800</w:t>
                  </w:r>
                </w:p>
              </w:tc>
              <w:tc>
                <w:tcPr>
                  <w:tcW w:w="1243" w:type="pct"/>
                  <w:tcBorders>
                    <w:tl2br w:val="nil"/>
                    <w:tr2bl w:val="nil"/>
                  </w:tcBorders>
                  <w:noWrap w:val="0"/>
                  <w:vAlign w:val="center"/>
                </w:tcPr>
                <w:p w14:paraId="748ECB5B">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7461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7E4316C5">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净化效率</w:t>
                  </w:r>
                </w:p>
              </w:tc>
              <w:tc>
                <w:tcPr>
                  <w:tcW w:w="592" w:type="pct"/>
                  <w:tcBorders>
                    <w:tl2br w:val="nil"/>
                    <w:tr2bl w:val="nil"/>
                  </w:tcBorders>
                  <w:noWrap w:val="0"/>
                  <w:vAlign w:val="center"/>
                </w:tcPr>
                <w:p w14:paraId="24FCDADA">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1979" w:type="pct"/>
                  <w:gridSpan w:val="2"/>
                  <w:tcBorders>
                    <w:tl2br w:val="nil"/>
                    <w:tr2bl w:val="nil"/>
                  </w:tcBorders>
                  <w:noWrap w:val="0"/>
                  <w:vAlign w:val="center"/>
                </w:tcPr>
                <w:p w14:paraId="4A074909">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理论单套70%，两套综合效率91%，本项目保守取90%</w:t>
                  </w:r>
                </w:p>
              </w:tc>
              <w:tc>
                <w:tcPr>
                  <w:tcW w:w="1243" w:type="pct"/>
                  <w:tcBorders>
                    <w:tl2br w:val="nil"/>
                    <w:tr2bl w:val="nil"/>
                  </w:tcBorders>
                  <w:noWrap w:val="0"/>
                  <w:vAlign w:val="center"/>
                </w:tcPr>
                <w:p w14:paraId="2585B0DC">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eastAsia="zh-CN"/>
                    </w:rPr>
                    <w:t>不低于</w:t>
                  </w:r>
                  <w:r>
                    <w:rPr>
                      <w:rFonts w:hint="eastAsia" w:ascii="Times New Roman" w:hAnsi="Times New Roman" w:cs="Times New Roman"/>
                      <w:color w:val="auto"/>
                      <w:highlight w:val="none"/>
                      <w:lang w:val="en-US" w:eastAsia="zh-CN"/>
                    </w:rPr>
                    <w:t>90%</w:t>
                  </w:r>
                </w:p>
              </w:tc>
            </w:tr>
            <w:tr w14:paraId="3D71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5000" w:type="pct"/>
                  <w:gridSpan w:val="5"/>
                  <w:tcBorders>
                    <w:tl2br w:val="nil"/>
                    <w:tr2bl w:val="nil"/>
                  </w:tcBorders>
                  <w:noWrap w:val="0"/>
                  <w:vAlign w:val="center"/>
                </w:tcPr>
                <w:p w14:paraId="713FE2A5">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cs="Times New Roman"/>
                      <w:b/>
                      <w:bCs/>
                      <w:color w:val="FF0000"/>
                      <w:highlight w:val="none"/>
                      <w:lang w:val="en-US" w:eastAsia="zh-CN"/>
                    </w:rPr>
                  </w:pPr>
                </w:p>
              </w:tc>
            </w:tr>
            <w:tr w14:paraId="13A8E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73C7E946">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参数</w:t>
                  </w:r>
                </w:p>
              </w:tc>
              <w:tc>
                <w:tcPr>
                  <w:tcW w:w="592" w:type="pct"/>
                  <w:tcBorders>
                    <w:tl2br w:val="nil"/>
                    <w:tr2bl w:val="nil"/>
                  </w:tcBorders>
                  <w:noWrap w:val="0"/>
                  <w:vAlign w:val="center"/>
                </w:tcPr>
                <w:p w14:paraId="576F2D54">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单位</w:t>
                  </w:r>
                </w:p>
              </w:tc>
              <w:tc>
                <w:tcPr>
                  <w:tcW w:w="1594" w:type="pct"/>
                  <w:tcBorders>
                    <w:tl2br w:val="nil"/>
                    <w:tr2bl w:val="nil"/>
                  </w:tcBorders>
                  <w:shd w:val="clear" w:color="auto" w:fill="auto"/>
                  <w:noWrap w:val="0"/>
                  <w:vAlign w:val="center"/>
                </w:tcPr>
                <w:p w14:paraId="5D762562">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TA00</w:t>
                  </w:r>
                  <w:r>
                    <w:rPr>
                      <w:rFonts w:hint="eastAsia" w:cs="Times New Roman"/>
                      <w:b/>
                      <w:bCs/>
                      <w:color w:val="auto"/>
                      <w:highlight w:val="none"/>
                      <w:lang w:val="en-US" w:eastAsia="zh-CN"/>
                    </w:rPr>
                    <w:t>4</w:t>
                  </w:r>
                  <w:r>
                    <w:rPr>
                      <w:rFonts w:hint="eastAsia" w:ascii="Times New Roman" w:hAnsi="Times New Roman" w:cs="Times New Roman"/>
                      <w:b/>
                      <w:bCs/>
                      <w:color w:val="auto"/>
                      <w:highlight w:val="none"/>
                      <w:lang w:val="en-US" w:eastAsia="zh-CN"/>
                    </w:rPr>
                    <w:t>-1</w:t>
                  </w:r>
                </w:p>
              </w:tc>
              <w:tc>
                <w:tcPr>
                  <w:tcW w:w="1627" w:type="pct"/>
                  <w:gridSpan w:val="2"/>
                  <w:tcBorders>
                    <w:tl2br w:val="nil"/>
                    <w:tr2bl w:val="nil"/>
                  </w:tcBorders>
                  <w:noWrap w:val="0"/>
                  <w:vAlign w:val="center"/>
                </w:tcPr>
                <w:p w14:paraId="1F30842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TA 00</w:t>
                  </w:r>
                  <w:r>
                    <w:rPr>
                      <w:rFonts w:hint="eastAsia" w:cs="Times New Roman"/>
                      <w:b/>
                      <w:bCs/>
                      <w:color w:val="auto"/>
                      <w:highlight w:val="none"/>
                      <w:lang w:val="en-US" w:eastAsia="zh-CN"/>
                    </w:rPr>
                    <w:t>4</w:t>
                  </w:r>
                  <w:r>
                    <w:rPr>
                      <w:rFonts w:hint="eastAsia" w:ascii="Times New Roman" w:hAnsi="Times New Roman" w:cs="Times New Roman"/>
                      <w:b/>
                      <w:bCs/>
                      <w:color w:val="auto"/>
                      <w:highlight w:val="none"/>
                      <w:lang w:val="en-US" w:eastAsia="zh-CN"/>
                    </w:rPr>
                    <w:t>-</w:t>
                  </w:r>
                  <w:r>
                    <w:rPr>
                      <w:rFonts w:hint="eastAsia" w:cs="Times New Roman"/>
                      <w:b/>
                      <w:bCs/>
                      <w:color w:val="auto"/>
                      <w:highlight w:val="none"/>
                      <w:lang w:val="en-US" w:eastAsia="zh-CN"/>
                    </w:rPr>
                    <w:t>2</w:t>
                  </w:r>
                </w:p>
              </w:tc>
            </w:tr>
            <w:tr w14:paraId="6901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24EAAF4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更换频次</w:t>
                  </w:r>
                </w:p>
              </w:tc>
              <w:tc>
                <w:tcPr>
                  <w:tcW w:w="592" w:type="pct"/>
                  <w:tcBorders>
                    <w:tl2br w:val="nil"/>
                    <w:tr2bl w:val="nil"/>
                  </w:tcBorders>
                  <w:noWrap w:val="0"/>
                  <w:vAlign w:val="center"/>
                </w:tcPr>
                <w:p w14:paraId="3518D303">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次/a</w:t>
                  </w:r>
                </w:p>
              </w:tc>
              <w:tc>
                <w:tcPr>
                  <w:tcW w:w="1594" w:type="pct"/>
                  <w:tcBorders>
                    <w:tl2br w:val="nil"/>
                    <w:tr2bl w:val="nil"/>
                  </w:tcBorders>
                  <w:shd w:val="clear" w:color="auto" w:fill="auto"/>
                  <w:noWrap w:val="0"/>
                  <w:vAlign w:val="center"/>
                </w:tcPr>
                <w:p w14:paraId="78C666FF">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4</w:t>
                  </w:r>
                </w:p>
              </w:tc>
              <w:tc>
                <w:tcPr>
                  <w:tcW w:w="1627" w:type="pct"/>
                  <w:gridSpan w:val="2"/>
                  <w:tcBorders>
                    <w:tl2br w:val="nil"/>
                    <w:tr2bl w:val="nil"/>
                  </w:tcBorders>
                  <w:noWrap w:val="0"/>
                  <w:vAlign w:val="center"/>
                </w:tcPr>
                <w:p w14:paraId="20032FE7">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9</w:t>
                  </w:r>
                </w:p>
              </w:tc>
            </w:tr>
            <w:tr w14:paraId="7B3E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2E4707C8">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一次性装填量</w:t>
                  </w:r>
                </w:p>
              </w:tc>
              <w:tc>
                <w:tcPr>
                  <w:tcW w:w="592" w:type="pct"/>
                  <w:tcBorders>
                    <w:tl2br w:val="nil"/>
                    <w:tr2bl w:val="nil"/>
                  </w:tcBorders>
                  <w:noWrap w:val="0"/>
                  <w:vAlign w:val="center"/>
                </w:tcPr>
                <w:p w14:paraId="3CC5B573">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t</w:t>
                  </w:r>
                </w:p>
              </w:tc>
              <w:tc>
                <w:tcPr>
                  <w:tcW w:w="1594" w:type="pct"/>
                  <w:tcBorders>
                    <w:tl2br w:val="nil"/>
                    <w:tr2bl w:val="nil"/>
                  </w:tcBorders>
                  <w:shd w:val="clear" w:color="auto" w:fill="auto"/>
                  <w:noWrap w:val="0"/>
                  <w:vAlign w:val="center"/>
                </w:tcPr>
                <w:p w14:paraId="57A2A894">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0.5</w:t>
                  </w:r>
                </w:p>
              </w:tc>
              <w:tc>
                <w:tcPr>
                  <w:tcW w:w="1627" w:type="pct"/>
                  <w:gridSpan w:val="2"/>
                  <w:tcBorders>
                    <w:tl2br w:val="nil"/>
                    <w:tr2bl w:val="nil"/>
                  </w:tcBorders>
                  <w:noWrap w:val="0"/>
                  <w:vAlign w:val="center"/>
                </w:tcPr>
                <w:p w14:paraId="7348FE12">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w:t>
                  </w:r>
                </w:p>
              </w:tc>
            </w:tr>
            <w:tr w14:paraId="3248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5012CCE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处理风量</w:t>
                  </w:r>
                </w:p>
              </w:tc>
              <w:tc>
                <w:tcPr>
                  <w:tcW w:w="592" w:type="pct"/>
                  <w:tcBorders>
                    <w:tl2br w:val="nil"/>
                    <w:tr2bl w:val="nil"/>
                  </w:tcBorders>
                  <w:noWrap w:val="0"/>
                  <w:vAlign w:val="center"/>
                </w:tcPr>
                <w:p w14:paraId="4576DD0F">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m</w:t>
                  </w:r>
                  <w:r>
                    <w:rPr>
                      <w:rFonts w:hint="default" w:ascii="Times New Roman" w:hAnsi="Times New Roman" w:eastAsia="宋体" w:cs="Times New Roman"/>
                      <w:color w:val="auto"/>
                      <w:highlight w:val="none"/>
                      <w:vertAlign w:val="superscript"/>
                      <w:lang w:val="en-US" w:eastAsia="zh-CN"/>
                    </w:rPr>
                    <w:t>3</w:t>
                  </w:r>
                  <w:r>
                    <w:rPr>
                      <w:rFonts w:hint="default" w:ascii="Times New Roman" w:hAnsi="Times New Roman" w:eastAsia="宋体" w:cs="Times New Roman"/>
                      <w:color w:val="auto"/>
                      <w:highlight w:val="none"/>
                      <w:lang w:val="en-US" w:eastAsia="zh-CN"/>
                    </w:rPr>
                    <w:t>/h</w:t>
                  </w:r>
                </w:p>
              </w:tc>
              <w:tc>
                <w:tcPr>
                  <w:tcW w:w="1594" w:type="pct"/>
                  <w:tcBorders>
                    <w:tl2br w:val="nil"/>
                    <w:tr2bl w:val="nil"/>
                  </w:tcBorders>
                  <w:shd w:val="clear" w:color="auto" w:fill="auto"/>
                  <w:noWrap w:val="0"/>
                  <w:vAlign w:val="center"/>
                </w:tcPr>
                <w:p w14:paraId="49B1D5B9">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w:t>
                  </w:r>
                  <w:r>
                    <w:rPr>
                      <w:rFonts w:hint="eastAsia" w:cs="Times New Roman"/>
                      <w:color w:val="auto"/>
                      <w:highlight w:val="none"/>
                      <w:lang w:val="en-US" w:eastAsia="zh-CN"/>
                    </w:rPr>
                    <w:t>0</w:t>
                  </w:r>
                  <w:r>
                    <w:rPr>
                      <w:rFonts w:hint="default" w:ascii="Times New Roman" w:hAnsi="Times New Roman" w:eastAsia="宋体" w:cs="Times New Roman"/>
                      <w:color w:val="auto"/>
                      <w:highlight w:val="none"/>
                      <w:lang w:val="en-US" w:eastAsia="zh-CN"/>
                    </w:rPr>
                    <w:t>00</w:t>
                  </w:r>
                </w:p>
              </w:tc>
              <w:tc>
                <w:tcPr>
                  <w:tcW w:w="1627" w:type="pct"/>
                  <w:gridSpan w:val="2"/>
                  <w:tcBorders>
                    <w:tl2br w:val="nil"/>
                    <w:tr2bl w:val="nil"/>
                  </w:tcBorders>
                  <w:noWrap w:val="0"/>
                  <w:vAlign w:val="center"/>
                </w:tcPr>
                <w:p w14:paraId="6B0EDE5D">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8</w:t>
                  </w:r>
                  <w:r>
                    <w:rPr>
                      <w:rFonts w:hint="default" w:ascii="Times New Roman" w:hAnsi="Times New Roman" w:eastAsia="宋体" w:cs="Times New Roman"/>
                      <w:color w:val="auto"/>
                      <w:highlight w:val="none"/>
                      <w:lang w:val="en-US" w:eastAsia="zh-CN"/>
                    </w:rPr>
                    <w:t>000</w:t>
                  </w:r>
                </w:p>
              </w:tc>
            </w:tr>
            <w:tr w14:paraId="02BF9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6E875E2A">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吸附量</w:t>
                  </w:r>
                </w:p>
              </w:tc>
              <w:tc>
                <w:tcPr>
                  <w:tcW w:w="592" w:type="pct"/>
                  <w:tcBorders>
                    <w:tl2br w:val="nil"/>
                    <w:tr2bl w:val="nil"/>
                  </w:tcBorders>
                  <w:noWrap w:val="0"/>
                  <w:vAlign w:val="center"/>
                </w:tcPr>
                <w:p w14:paraId="0165EFA0">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t/a</w:t>
                  </w:r>
                </w:p>
              </w:tc>
              <w:tc>
                <w:tcPr>
                  <w:tcW w:w="1594" w:type="pct"/>
                  <w:tcBorders>
                    <w:tl2br w:val="nil"/>
                    <w:tr2bl w:val="nil"/>
                  </w:tcBorders>
                  <w:shd w:val="clear" w:color="auto" w:fill="auto"/>
                  <w:noWrap w:val="0"/>
                  <w:vAlign w:val="center"/>
                </w:tcPr>
                <w:p w14:paraId="55777688">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0.4</w:t>
                  </w:r>
                  <w:r>
                    <w:rPr>
                      <w:rFonts w:hint="eastAsia" w:cs="Times New Roman"/>
                      <w:color w:val="auto"/>
                      <w:highlight w:val="none"/>
                      <w:lang w:val="en-US" w:eastAsia="zh-CN"/>
                    </w:rPr>
                    <w:t>5</w:t>
                  </w:r>
                </w:p>
              </w:tc>
              <w:tc>
                <w:tcPr>
                  <w:tcW w:w="1627" w:type="pct"/>
                  <w:gridSpan w:val="2"/>
                  <w:tcBorders>
                    <w:tl2br w:val="nil"/>
                    <w:tr2bl w:val="nil"/>
                  </w:tcBorders>
                  <w:noWrap w:val="0"/>
                  <w:vAlign w:val="center"/>
                </w:tcPr>
                <w:p w14:paraId="42CB43F9">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2.1</w:t>
                  </w:r>
                  <w:r>
                    <w:rPr>
                      <w:rFonts w:hint="eastAsia" w:cs="Times New Roman"/>
                      <w:color w:val="auto"/>
                      <w:highlight w:val="none"/>
                      <w:lang w:val="en-US" w:eastAsia="zh-CN"/>
                    </w:rPr>
                    <w:t>4</w:t>
                  </w:r>
                  <w:r>
                    <w:rPr>
                      <w:rFonts w:hint="default" w:ascii="Times New Roman" w:hAnsi="Times New Roman" w:eastAsia="宋体" w:cs="Times New Roman"/>
                      <w:color w:val="auto"/>
                      <w:highlight w:val="none"/>
                      <w:lang w:val="en-US" w:eastAsia="zh-CN"/>
                    </w:rPr>
                    <w:t>2</w:t>
                  </w:r>
                </w:p>
              </w:tc>
            </w:tr>
            <w:tr w14:paraId="530A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41CBEFD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理论需要活性炭</w:t>
                  </w:r>
                </w:p>
              </w:tc>
              <w:tc>
                <w:tcPr>
                  <w:tcW w:w="592" w:type="pct"/>
                  <w:tcBorders>
                    <w:tl2br w:val="nil"/>
                    <w:tr2bl w:val="nil"/>
                  </w:tcBorders>
                  <w:noWrap w:val="0"/>
                  <w:vAlign w:val="center"/>
                </w:tcPr>
                <w:p w14:paraId="22ABFFC6">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t/a</w:t>
                  </w:r>
                </w:p>
              </w:tc>
              <w:tc>
                <w:tcPr>
                  <w:tcW w:w="1594" w:type="pct"/>
                  <w:tcBorders>
                    <w:tl2br w:val="nil"/>
                    <w:tr2bl w:val="nil"/>
                  </w:tcBorders>
                  <w:shd w:val="clear" w:color="auto" w:fill="auto"/>
                  <w:noWrap w:val="0"/>
                  <w:vAlign w:val="center"/>
                </w:tcPr>
                <w:p w14:paraId="13DC8069">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1.8</w:t>
                  </w:r>
                  <w:r>
                    <w:rPr>
                      <w:rFonts w:hint="eastAsia" w:cs="Times New Roman"/>
                      <w:color w:val="auto"/>
                      <w:highlight w:val="none"/>
                      <w:lang w:val="en-US" w:eastAsia="zh-CN"/>
                    </w:rPr>
                    <w:t>75</w:t>
                  </w:r>
                </w:p>
              </w:tc>
              <w:tc>
                <w:tcPr>
                  <w:tcW w:w="1627" w:type="pct"/>
                  <w:gridSpan w:val="2"/>
                  <w:tcBorders>
                    <w:tl2br w:val="nil"/>
                    <w:tr2bl w:val="nil"/>
                  </w:tcBorders>
                  <w:noWrap w:val="0"/>
                  <w:vAlign w:val="center"/>
                </w:tcPr>
                <w:p w14:paraId="7265469C">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8.925</w:t>
                  </w:r>
                </w:p>
              </w:tc>
            </w:tr>
            <w:tr w14:paraId="1AA1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037BC07D">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折算比例</w:t>
                  </w:r>
                </w:p>
              </w:tc>
              <w:tc>
                <w:tcPr>
                  <w:tcW w:w="592" w:type="pct"/>
                  <w:tcBorders>
                    <w:tl2br w:val="nil"/>
                    <w:tr2bl w:val="nil"/>
                  </w:tcBorders>
                  <w:noWrap w:val="0"/>
                  <w:vAlign w:val="center"/>
                </w:tcPr>
                <w:p w14:paraId="205E4456">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w:t>
                  </w:r>
                </w:p>
              </w:tc>
              <w:tc>
                <w:tcPr>
                  <w:tcW w:w="1594" w:type="pct"/>
                  <w:tcBorders>
                    <w:tl2br w:val="nil"/>
                    <w:tr2bl w:val="nil"/>
                  </w:tcBorders>
                  <w:shd w:val="clear" w:color="auto" w:fill="auto"/>
                  <w:noWrap w:val="0"/>
                  <w:vAlign w:val="center"/>
                </w:tcPr>
                <w:p w14:paraId="2875772F">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0.24</w:t>
                  </w:r>
                </w:p>
              </w:tc>
              <w:tc>
                <w:tcPr>
                  <w:tcW w:w="1627" w:type="pct"/>
                  <w:gridSpan w:val="2"/>
                  <w:tcBorders>
                    <w:tl2br w:val="nil"/>
                    <w:tr2bl w:val="nil"/>
                  </w:tcBorders>
                  <w:noWrap w:val="0"/>
                  <w:vAlign w:val="center"/>
                </w:tcPr>
                <w:p w14:paraId="785EE51B">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0.240</w:t>
                  </w:r>
                </w:p>
              </w:tc>
            </w:tr>
            <w:tr w14:paraId="70FB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724F6994">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更换活性炭量</w:t>
                  </w:r>
                </w:p>
              </w:tc>
              <w:tc>
                <w:tcPr>
                  <w:tcW w:w="592" w:type="pct"/>
                  <w:tcBorders>
                    <w:tl2br w:val="nil"/>
                    <w:tr2bl w:val="nil"/>
                  </w:tcBorders>
                  <w:noWrap w:val="0"/>
                  <w:vAlign w:val="center"/>
                </w:tcPr>
                <w:p w14:paraId="1D79E161">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t/a</w:t>
                  </w:r>
                </w:p>
              </w:tc>
              <w:tc>
                <w:tcPr>
                  <w:tcW w:w="1594" w:type="pct"/>
                  <w:tcBorders>
                    <w:tl2br w:val="nil"/>
                    <w:tr2bl w:val="nil"/>
                  </w:tcBorders>
                  <w:shd w:val="clear" w:color="auto" w:fill="auto"/>
                  <w:noWrap w:val="0"/>
                  <w:vAlign w:val="center"/>
                </w:tcPr>
                <w:p w14:paraId="35097B50">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w:t>
                  </w:r>
                </w:p>
              </w:tc>
              <w:tc>
                <w:tcPr>
                  <w:tcW w:w="1627" w:type="pct"/>
                  <w:gridSpan w:val="2"/>
                  <w:tcBorders>
                    <w:tl2br w:val="nil"/>
                    <w:tr2bl w:val="nil"/>
                  </w:tcBorders>
                  <w:noWrap w:val="0"/>
                  <w:vAlign w:val="center"/>
                </w:tcPr>
                <w:p w14:paraId="7ADB476C">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9</w:t>
                  </w:r>
                </w:p>
              </w:tc>
            </w:tr>
            <w:tr w14:paraId="0F2D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85" w:type="pct"/>
                  <w:tcBorders>
                    <w:tl2br w:val="nil"/>
                    <w:tr2bl w:val="nil"/>
                  </w:tcBorders>
                  <w:noWrap w:val="0"/>
                  <w:vAlign w:val="center"/>
                </w:tcPr>
                <w:p w14:paraId="51F65927">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废活性炭量估算量</w:t>
                  </w:r>
                </w:p>
              </w:tc>
              <w:tc>
                <w:tcPr>
                  <w:tcW w:w="592" w:type="pct"/>
                  <w:tcBorders>
                    <w:tl2br w:val="nil"/>
                    <w:tr2bl w:val="nil"/>
                  </w:tcBorders>
                  <w:noWrap w:val="0"/>
                  <w:vAlign w:val="center"/>
                </w:tcPr>
                <w:p w14:paraId="599E951E">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t/a</w:t>
                  </w:r>
                </w:p>
              </w:tc>
              <w:tc>
                <w:tcPr>
                  <w:tcW w:w="3222" w:type="pct"/>
                  <w:gridSpan w:val="3"/>
                  <w:tcBorders>
                    <w:tl2br w:val="nil"/>
                    <w:tr2bl w:val="nil"/>
                  </w:tcBorders>
                  <w:noWrap w:val="0"/>
                  <w:vAlign w:val="center"/>
                </w:tcPr>
                <w:p w14:paraId="286C6604">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r>
                    <w:rPr>
                      <w:rFonts w:hint="eastAsia" w:cs="Times New Roman"/>
                      <w:color w:val="auto"/>
                      <w:highlight w:val="none"/>
                      <w:lang w:val="en-US" w:eastAsia="zh-CN"/>
                    </w:rPr>
                    <w:t>3.592</w:t>
                  </w:r>
                </w:p>
              </w:tc>
            </w:tr>
          </w:tbl>
          <w:p w14:paraId="5587C928">
            <w:pPr>
              <w:keepNext w:val="0"/>
              <w:keepLines w:val="0"/>
              <w:pageBreakBefore w:val="0"/>
              <w:widowControl w:val="0"/>
              <w:kinsoku/>
              <w:wordWrap/>
              <w:overflowPunct/>
              <w:topLinePunct w:val="0"/>
              <w:autoSpaceDE/>
              <w:autoSpaceDN/>
              <w:bidi w:val="0"/>
              <w:adjustRightInd/>
              <w:snapToGrid/>
              <w:spacing w:beforeAutospacing="0" w:afterAutospacing="0"/>
              <w:ind w:left="0" w:leftChars="0" w:right="0" w:rightChars="0"/>
              <w:jc w:val="center"/>
              <w:textAlignment w:val="auto"/>
              <w:rPr>
                <w:rFonts w:hint="default" w:ascii="Times New Roman" w:hAnsi="Times New Roman" w:eastAsia="宋体" w:cs="Times New Roman"/>
                <w:color w:val="FF0000"/>
                <w:highlight w:val="none"/>
                <w:lang w:val="en-US" w:eastAsia="zh-CN"/>
              </w:rPr>
            </w:pPr>
          </w:p>
          <w:p w14:paraId="1D4CE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活性炭对废气吸附的特点：</w:t>
            </w:r>
          </w:p>
          <w:p w14:paraId="0DFCEF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w:t>
            </w:r>
            <w:r>
              <w:rPr>
                <w:rFonts w:hint="eastAsia" w:cs="Times New Roman"/>
                <w:color w:val="auto"/>
                <w:sz w:val="24"/>
                <w:szCs w:val="24"/>
                <w:highlight w:val="none"/>
                <w:lang w:eastAsia="zh-CN"/>
              </w:rPr>
              <w:t>对</w:t>
            </w:r>
            <w:r>
              <w:rPr>
                <w:rFonts w:hint="default" w:ascii="Times New Roman" w:hAnsi="Times New Roman" w:cs="Times New Roman"/>
                <w:color w:val="auto"/>
                <w:sz w:val="24"/>
                <w:szCs w:val="24"/>
                <w:highlight w:val="none"/>
              </w:rPr>
              <w:t>芳香族化合物的吸附优于对非芳香族化合物的吸附。</w:t>
            </w:r>
          </w:p>
          <w:p w14:paraId="723B34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2）对带有支键的烃类物理优于对直链烃类物质的吸附。</w:t>
            </w:r>
          </w:p>
          <w:p w14:paraId="6C99A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3）对有机物中含有无机基团物质的吸附</w:t>
            </w:r>
            <w:r>
              <w:rPr>
                <w:rFonts w:hint="eastAsia" w:cs="Times New Roman"/>
                <w:color w:val="auto"/>
                <w:sz w:val="24"/>
                <w:szCs w:val="24"/>
                <w:highlight w:val="none"/>
                <w:lang w:eastAsia="zh-CN"/>
              </w:rPr>
              <w:t>总量</w:t>
            </w:r>
            <w:r>
              <w:rPr>
                <w:rFonts w:hint="default" w:ascii="Times New Roman" w:hAnsi="Times New Roman" w:cs="Times New Roman"/>
                <w:color w:val="auto"/>
                <w:sz w:val="24"/>
                <w:szCs w:val="24"/>
                <w:highlight w:val="none"/>
              </w:rPr>
              <w:t>低于不含无机基团物质的吸附。</w:t>
            </w:r>
          </w:p>
          <w:p w14:paraId="06BB48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4）对分子量大和沸点高的化合物的吸附总是高于分子量小和沸点低的化合物的吸附。</w:t>
            </w:r>
          </w:p>
          <w:p w14:paraId="6EF500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5）吸附质浓度越高，吸附量也越高。</w:t>
            </w:r>
          </w:p>
          <w:p w14:paraId="3A21BC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6）附剂内表面积越大</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吸附量也越高。</w:t>
            </w:r>
          </w:p>
          <w:p w14:paraId="4F46021C">
            <w:pPr>
              <w:keepNext w:val="0"/>
              <w:keepLines w:val="0"/>
              <w:pageBreakBefore w:val="0"/>
              <w:widowControl w:val="0"/>
              <w:bidi w:val="0"/>
              <w:adjustRightInd w:val="0"/>
              <w:snapToGrid w:val="0"/>
              <w:spacing w:beforeAutospacing="0" w:afterAutospacing="0" w:line="360" w:lineRule="auto"/>
              <w:ind w:left="0" w:leftChars="0" w:right="0" w:rightChars="0" w:firstLine="480"/>
              <w:rPr>
                <w:rFonts w:hint="default" w:ascii="Times New Roman" w:hAnsi="Times New Roman" w:cs="Times New Roman"/>
                <w:color w:val="auto"/>
                <w:sz w:val="24"/>
                <w:szCs w:val="24"/>
                <w:highlight w:val="none"/>
                <w:lang w:val="en-US" w:eastAsia="zh-CN"/>
              </w:rPr>
            </w:pPr>
            <w:r>
              <w:rPr>
                <w:rFonts w:hint="eastAsia" w:cs="Times New Roman"/>
                <w:bCs/>
                <w:color w:val="auto"/>
                <w:sz w:val="24"/>
                <w:highlight w:val="none"/>
                <w:lang w:eastAsia="zh-CN"/>
              </w:rPr>
              <w:t>此外，本项目有机废气采取“二级活性炭吸附装置”处理，属于</w:t>
            </w:r>
            <w:r>
              <w:rPr>
                <w:rFonts w:hint="eastAsia" w:ascii="Times New Roman" w:hAnsi="Times New Roman" w:eastAsia="宋体" w:cs="Times New Roman"/>
                <w:color w:val="auto"/>
                <w:kern w:val="2"/>
                <w:sz w:val="24"/>
                <w:szCs w:val="21"/>
                <w:highlight w:val="none"/>
                <w:lang w:val="en-US" w:eastAsia="zh-CN" w:bidi="ar"/>
              </w:rPr>
              <w:t>《排污许可证申请与核发技术规范 金属铸造工业》（HJ 1115-2020）</w:t>
            </w:r>
            <w:r>
              <w:rPr>
                <w:rFonts w:hint="eastAsia" w:cs="Times New Roman"/>
                <w:bCs/>
                <w:color w:val="auto"/>
                <w:sz w:val="24"/>
                <w:highlight w:val="none"/>
                <w:lang w:eastAsia="zh-CN"/>
              </w:rPr>
              <w:t>中所列出的废气污染防治可行性技术。</w:t>
            </w:r>
          </w:p>
          <w:p w14:paraId="16D3161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（5）大气环境影响评价结论</w:t>
            </w:r>
          </w:p>
          <w:p w14:paraId="668ADD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kern w:val="2"/>
                <w:sz w:val="24"/>
                <w:szCs w:val="21"/>
                <w:highlight w:val="none"/>
                <w:lang w:val="en-US" w:eastAsia="zh-CN" w:bidi="ar"/>
              </w:rPr>
            </w:pPr>
            <w:r>
              <w:rPr>
                <w:rFonts w:hint="eastAsia" w:ascii="Times New Roman" w:hAnsi="Times New Roman" w:eastAsia="宋体" w:cs="Times New Roman"/>
                <w:color w:val="auto"/>
                <w:kern w:val="2"/>
                <w:sz w:val="24"/>
                <w:szCs w:val="21"/>
                <w:highlight w:val="none"/>
                <w:lang w:val="en-US" w:eastAsia="zh-CN" w:bidi="ar"/>
              </w:rPr>
              <w:t>本项目营运期间产生的大气污染物主要为：</w:t>
            </w:r>
            <w:r>
              <w:rPr>
                <w:rFonts w:hint="eastAsia"/>
                <w:color w:val="auto"/>
                <w:sz w:val="24"/>
                <w:szCs w:val="24"/>
                <w:highlight w:val="none"/>
                <w:lang w:val="en-US" w:eastAsia="zh-CN"/>
              </w:rPr>
              <w:t>挥发性有机物</w:t>
            </w:r>
            <w:r>
              <w:rPr>
                <w:rFonts w:hint="default"/>
                <w:color w:val="auto"/>
                <w:sz w:val="24"/>
                <w:szCs w:val="24"/>
                <w:highlight w:val="none"/>
                <w:lang w:val="en-US" w:eastAsia="zh-CN"/>
              </w:rPr>
              <w:t>（以非甲烷总烃计）</w:t>
            </w:r>
            <w:r>
              <w:rPr>
                <w:rFonts w:hint="eastAsia" w:ascii="Times New Roman" w:hAnsi="Times New Roman" w:eastAsia="宋体" w:cs="Times New Roman"/>
                <w:color w:val="auto"/>
                <w:kern w:val="2"/>
                <w:sz w:val="24"/>
                <w:szCs w:val="21"/>
                <w:highlight w:val="none"/>
                <w:lang w:val="en-US" w:eastAsia="zh-CN" w:bidi="ar"/>
              </w:rPr>
              <w:t>、颗粒物。本次技改熔化废气经集气罩收集后，经现有“布袋除尘”（TA001）处理达标后通过1根15m高的排气筒（DA001）排放；现有砂处理废气经吸风收集后经现有“布袋除尘装置”（TA002）处理达标后通过1根15m高的排气筒（DA002）排放；</w:t>
            </w:r>
            <w:r>
              <w:rPr>
                <w:rFonts w:hint="eastAsia" w:cs="Times New Roman"/>
                <w:color w:val="auto"/>
                <w:kern w:val="2"/>
                <w:sz w:val="24"/>
                <w:szCs w:val="21"/>
                <w:highlight w:val="none"/>
                <w:lang w:val="en-US" w:eastAsia="zh-CN" w:bidi="ar"/>
              </w:rPr>
              <w:t>打磨粉尘</w:t>
            </w:r>
            <w:r>
              <w:rPr>
                <w:rFonts w:hint="eastAsia" w:ascii="Times New Roman" w:hAnsi="Times New Roman" w:eastAsia="宋体" w:cs="Times New Roman"/>
                <w:color w:val="auto"/>
                <w:kern w:val="2"/>
                <w:sz w:val="24"/>
                <w:szCs w:val="21"/>
                <w:highlight w:val="none"/>
                <w:lang w:val="en-US" w:eastAsia="zh-CN" w:bidi="ar"/>
              </w:rPr>
              <w:t>废气经集气罩收集并集中引至车间外的现有“布袋除尘装置”（TA00</w:t>
            </w:r>
            <w:r>
              <w:rPr>
                <w:rFonts w:hint="eastAsia" w:cs="Times New Roman"/>
                <w:color w:val="auto"/>
                <w:kern w:val="2"/>
                <w:sz w:val="24"/>
                <w:szCs w:val="21"/>
                <w:highlight w:val="none"/>
                <w:lang w:val="en-US" w:eastAsia="zh-CN" w:bidi="ar"/>
              </w:rPr>
              <w:t>3</w:t>
            </w:r>
            <w:r>
              <w:rPr>
                <w:rFonts w:hint="eastAsia" w:ascii="Times New Roman" w:hAnsi="Times New Roman" w:eastAsia="宋体" w:cs="Times New Roman"/>
                <w:color w:val="auto"/>
                <w:kern w:val="2"/>
                <w:sz w:val="24"/>
                <w:szCs w:val="21"/>
                <w:highlight w:val="none"/>
                <w:lang w:val="en-US" w:eastAsia="zh-CN" w:bidi="ar"/>
              </w:rPr>
              <w:t>）处理达标后通过1根15m高的排气筒（DA00</w:t>
            </w:r>
            <w:r>
              <w:rPr>
                <w:rFonts w:hint="eastAsia" w:cs="Times New Roman"/>
                <w:color w:val="auto"/>
                <w:kern w:val="2"/>
                <w:sz w:val="24"/>
                <w:szCs w:val="21"/>
                <w:highlight w:val="none"/>
                <w:lang w:val="en-US" w:eastAsia="zh-CN" w:bidi="ar"/>
              </w:rPr>
              <w:t>3</w:t>
            </w:r>
            <w:r>
              <w:rPr>
                <w:rFonts w:hint="eastAsia" w:ascii="Times New Roman" w:hAnsi="Times New Roman" w:eastAsia="宋体" w:cs="Times New Roman"/>
                <w:color w:val="auto"/>
                <w:kern w:val="2"/>
                <w:sz w:val="24"/>
                <w:szCs w:val="21"/>
                <w:highlight w:val="none"/>
                <w:lang w:val="en-US" w:eastAsia="zh-CN" w:bidi="ar"/>
              </w:rPr>
              <w:t>）排放；</w:t>
            </w:r>
            <w:r>
              <w:rPr>
                <w:rFonts w:hint="eastAsia" w:cs="Times New Roman"/>
                <w:color w:val="auto"/>
                <w:kern w:val="2"/>
                <w:sz w:val="24"/>
                <w:szCs w:val="21"/>
                <w:highlight w:val="none"/>
                <w:lang w:val="en-US" w:eastAsia="zh-CN" w:bidi="ar"/>
              </w:rPr>
              <w:t>造型/</w:t>
            </w:r>
            <w:r>
              <w:rPr>
                <w:rFonts w:hint="eastAsia" w:ascii="Times New Roman" w:hAnsi="Times New Roman" w:eastAsia="宋体" w:cs="Times New Roman"/>
                <w:color w:val="auto"/>
                <w:kern w:val="2"/>
                <w:sz w:val="24"/>
                <w:szCs w:val="21"/>
                <w:highlight w:val="none"/>
                <w:lang w:val="en-US" w:eastAsia="zh-CN" w:bidi="ar"/>
              </w:rPr>
              <w:t>浇铸废气经新增的区域</w:t>
            </w:r>
            <w:r>
              <w:rPr>
                <w:rFonts w:hint="eastAsia" w:cs="Times New Roman"/>
                <w:color w:val="auto"/>
                <w:kern w:val="2"/>
                <w:sz w:val="24"/>
                <w:szCs w:val="21"/>
                <w:highlight w:val="none"/>
                <w:lang w:val="en-US" w:eastAsia="zh-CN" w:bidi="ar"/>
              </w:rPr>
              <w:t>侧吸装置</w:t>
            </w:r>
            <w:r>
              <w:rPr>
                <w:rFonts w:hint="eastAsia" w:ascii="Times New Roman" w:hAnsi="Times New Roman" w:eastAsia="宋体" w:cs="Times New Roman"/>
                <w:color w:val="auto"/>
                <w:kern w:val="2"/>
                <w:sz w:val="24"/>
                <w:szCs w:val="21"/>
                <w:highlight w:val="none"/>
                <w:lang w:val="en-US" w:eastAsia="zh-CN" w:bidi="ar"/>
              </w:rPr>
              <w:t>收集后，</w:t>
            </w:r>
            <w:r>
              <w:rPr>
                <w:rFonts w:hint="eastAsia" w:cs="Times New Roman"/>
                <w:color w:val="auto"/>
                <w:kern w:val="2"/>
                <w:sz w:val="24"/>
                <w:szCs w:val="21"/>
                <w:highlight w:val="none"/>
                <w:lang w:val="en-US" w:eastAsia="zh-CN" w:bidi="ar"/>
              </w:rPr>
              <w:t>通过</w:t>
            </w:r>
            <w:r>
              <w:rPr>
                <w:rFonts w:hint="eastAsia" w:ascii="Times New Roman" w:hAnsi="Times New Roman" w:eastAsia="宋体" w:cs="Times New Roman"/>
                <w:color w:val="auto"/>
                <w:kern w:val="2"/>
                <w:sz w:val="24"/>
                <w:szCs w:val="21"/>
                <w:highlight w:val="none"/>
                <w:lang w:val="en-US" w:eastAsia="zh-CN" w:bidi="ar"/>
              </w:rPr>
              <w:t>“布袋除尘器+二级活性炭吸附”装置（TA00</w:t>
            </w:r>
            <w:r>
              <w:rPr>
                <w:rFonts w:hint="eastAsia" w:cs="Times New Roman"/>
                <w:color w:val="auto"/>
                <w:kern w:val="2"/>
                <w:sz w:val="24"/>
                <w:szCs w:val="21"/>
                <w:highlight w:val="none"/>
                <w:lang w:val="en-US" w:eastAsia="zh-CN" w:bidi="ar"/>
              </w:rPr>
              <w:t>4</w:t>
            </w:r>
            <w:r>
              <w:rPr>
                <w:rFonts w:hint="eastAsia" w:ascii="Times New Roman" w:hAnsi="Times New Roman" w:eastAsia="宋体" w:cs="Times New Roman"/>
                <w:color w:val="auto"/>
                <w:kern w:val="2"/>
                <w:sz w:val="24"/>
                <w:szCs w:val="21"/>
                <w:highlight w:val="none"/>
                <w:lang w:val="en-US" w:eastAsia="zh-CN" w:bidi="ar"/>
              </w:rPr>
              <w:t>）处理达标后通过15米高排气筒（DA00</w:t>
            </w:r>
            <w:r>
              <w:rPr>
                <w:rFonts w:hint="eastAsia" w:cs="Times New Roman"/>
                <w:color w:val="auto"/>
                <w:kern w:val="2"/>
                <w:sz w:val="24"/>
                <w:szCs w:val="21"/>
                <w:highlight w:val="none"/>
                <w:lang w:val="en-US" w:eastAsia="zh-CN" w:bidi="ar"/>
              </w:rPr>
              <w:t>4</w:t>
            </w:r>
            <w:r>
              <w:rPr>
                <w:rFonts w:hint="eastAsia" w:ascii="Times New Roman" w:hAnsi="Times New Roman" w:eastAsia="宋体" w:cs="Times New Roman"/>
                <w:color w:val="auto"/>
                <w:kern w:val="2"/>
                <w:sz w:val="24"/>
                <w:szCs w:val="21"/>
                <w:highlight w:val="none"/>
                <w:lang w:val="en-US" w:eastAsia="zh-CN" w:bidi="ar"/>
              </w:rPr>
              <w:t>）排放；</w:t>
            </w:r>
            <w:r>
              <w:rPr>
                <w:rFonts w:hint="eastAsia" w:cs="Times New Roman"/>
                <w:color w:val="auto"/>
                <w:kern w:val="2"/>
                <w:sz w:val="24"/>
                <w:szCs w:val="21"/>
                <w:highlight w:val="none"/>
                <w:lang w:val="en-US" w:eastAsia="zh-CN" w:bidi="ar"/>
              </w:rPr>
              <w:t>全厂制芯（射芯）废气经</w:t>
            </w:r>
            <w:r>
              <w:rPr>
                <w:rFonts w:hint="eastAsia" w:ascii="Times New Roman" w:hAnsi="Times New Roman" w:eastAsia="宋体" w:cs="Times New Roman"/>
                <w:color w:val="auto"/>
                <w:kern w:val="2"/>
                <w:sz w:val="24"/>
                <w:szCs w:val="21"/>
                <w:highlight w:val="none"/>
                <w:lang w:val="en-US" w:eastAsia="zh-CN" w:bidi="ar"/>
              </w:rPr>
              <w:t>“布袋除尘器+二级活性炭吸附”装置</w:t>
            </w:r>
            <w:r>
              <w:rPr>
                <w:rFonts w:hint="eastAsia" w:cs="Times New Roman"/>
                <w:color w:val="auto"/>
                <w:kern w:val="2"/>
                <w:sz w:val="24"/>
                <w:szCs w:val="21"/>
                <w:highlight w:val="none"/>
                <w:lang w:val="en-US" w:eastAsia="zh-CN" w:bidi="ar"/>
              </w:rPr>
              <w:t>处理后合并一根15米高排气筒（DA004）排放</w:t>
            </w:r>
            <w:r>
              <w:rPr>
                <w:rFonts w:hint="eastAsia" w:ascii="Times New Roman" w:hAnsi="Times New Roman" w:eastAsia="宋体" w:cs="Times New Roman"/>
                <w:color w:val="auto"/>
                <w:kern w:val="2"/>
                <w:sz w:val="24"/>
                <w:szCs w:val="21"/>
                <w:highlight w:val="none"/>
                <w:lang w:val="en-US" w:eastAsia="zh-CN" w:bidi="ar"/>
              </w:rPr>
              <w:t>；抛丸粉尘经自带布袋除尘器处理后，通过15米高排气筒（DA00</w:t>
            </w:r>
            <w:r>
              <w:rPr>
                <w:rFonts w:hint="eastAsia" w:cs="Times New Roman"/>
                <w:color w:val="auto"/>
                <w:kern w:val="2"/>
                <w:sz w:val="24"/>
                <w:szCs w:val="21"/>
                <w:highlight w:val="none"/>
                <w:lang w:val="en-US" w:eastAsia="zh-CN" w:bidi="ar"/>
              </w:rPr>
              <w:t>5、DA006</w:t>
            </w:r>
            <w:r>
              <w:rPr>
                <w:rFonts w:hint="eastAsia" w:ascii="Times New Roman" w:hAnsi="Times New Roman" w:eastAsia="宋体" w:cs="Times New Roman"/>
                <w:color w:val="auto"/>
                <w:kern w:val="2"/>
                <w:sz w:val="24"/>
                <w:szCs w:val="21"/>
                <w:highlight w:val="none"/>
                <w:lang w:val="en-US" w:eastAsia="zh-CN" w:bidi="ar"/>
              </w:rPr>
              <w:t>）排放；其他未收集的废气在车间内无组织排放。</w:t>
            </w:r>
          </w:p>
          <w:p w14:paraId="0AE875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项目</w:t>
            </w:r>
            <w:r>
              <w:rPr>
                <w:rFonts w:hint="default" w:ascii="Times New Roman" w:hAnsi="Times New Roman" w:cs="Times New Roman"/>
                <w:color w:val="auto"/>
                <w:sz w:val="24"/>
                <w:szCs w:val="24"/>
                <w:highlight w:val="none"/>
              </w:rPr>
              <w:t>排放的</w:t>
            </w:r>
            <w:r>
              <w:rPr>
                <w:rFonts w:hint="eastAsia"/>
                <w:color w:val="auto"/>
                <w:sz w:val="24"/>
                <w:szCs w:val="24"/>
                <w:highlight w:val="none"/>
                <w:lang w:val="en-US" w:eastAsia="zh-CN"/>
              </w:rPr>
              <w:t>挥发性有机物</w:t>
            </w:r>
            <w:r>
              <w:rPr>
                <w:rFonts w:hint="default"/>
                <w:color w:val="auto"/>
                <w:sz w:val="24"/>
                <w:szCs w:val="24"/>
                <w:highlight w:val="none"/>
                <w:lang w:val="en-US" w:eastAsia="zh-CN"/>
              </w:rPr>
              <w:t>（以非甲烷总烃计）有组织排放</w:t>
            </w:r>
            <w:r>
              <w:rPr>
                <w:rFonts w:hint="eastAsia" w:ascii="Times New Roman" w:hAnsi="Times New Roman" w:eastAsia="宋体" w:cs="Times New Roman"/>
                <w:bCs/>
                <w:color w:val="auto"/>
                <w:sz w:val="24"/>
                <w:highlight w:val="none"/>
                <w:lang w:val="en-US" w:eastAsia="zh-CN"/>
              </w:rPr>
              <w:t>满足</w:t>
            </w:r>
            <w:r>
              <w:rPr>
                <w:rFonts w:hint="default" w:ascii="Times New Roman" w:hAnsi="Times New Roman" w:eastAsia="宋体" w:cs="Times New Roman"/>
                <w:color w:val="auto"/>
                <w:sz w:val="24"/>
                <w:szCs w:val="24"/>
                <w:highlight w:val="none"/>
                <w:lang w:eastAsia="zh-CN"/>
              </w:rPr>
              <w:t>《大气污染物综合排放标准》（</w:t>
            </w:r>
            <w:r>
              <w:rPr>
                <w:rFonts w:hint="eastAsia" w:ascii="Times New Roman" w:hAnsi="Times New Roman" w:eastAsia="宋体" w:cs="Times New Roman"/>
                <w:color w:val="auto"/>
                <w:sz w:val="24"/>
                <w:szCs w:val="24"/>
                <w:highlight w:val="none"/>
                <w:lang w:val="en-US" w:eastAsia="zh-CN"/>
              </w:rPr>
              <w:t>GB 16297-1</w:t>
            </w:r>
            <w:r>
              <w:rPr>
                <w:rFonts w:hint="eastAsia"/>
                <w:color w:val="auto"/>
                <w:sz w:val="24"/>
                <w:szCs w:val="24"/>
                <w:highlight w:val="none"/>
                <w:lang w:val="en-US" w:eastAsia="zh-CN"/>
              </w:rPr>
              <w:t>996</w:t>
            </w:r>
            <w:r>
              <w:rPr>
                <w:rFonts w:hint="default"/>
                <w:color w:val="auto"/>
                <w:sz w:val="24"/>
                <w:szCs w:val="24"/>
                <w:highlight w:val="none"/>
              </w:rPr>
              <w:t>）</w:t>
            </w:r>
            <w:r>
              <w:rPr>
                <w:rFonts w:hint="eastAsia"/>
                <w:color w:val="auto"/>
                <w:sz w:val="24"/>
                <w:szCs w:val="24"/>
                <w:highlight w:val="none"/>
                <w:lang w:val="en-US" w:eastAsia="zh-CN"/>
              </w:rPr>
              <w:t>表2中限值，</w:t>
            </w:r>
            <w:r>
              <w:rPr>
                <w:rFonts w:hint="default" w:ascii="Times New Roman" w:hAnsi="Times New Roman" w:eastAsia="宋体" w:cs="Times New Roman"/>
                <w:bCs/>
                <w:color w:val="auto"/>
                <w:sz w:val="24"/>
                <w:highlight w:val="none"/>
              </w:rPr>
              <w:t>颗粒物</w:t>
            </w:r>
            <w:r>
              <w:rPr>
                <w:rFonts w:hint="default" w:ascii="Times New Roman" w:hAnsi="Times New Roman" w:eastAsia="宋体" w:cs="Times New Roman"/>
                <w:bCs/>
                <w:color w:val="auto"/>
                <w:sz w:val="24"/>
                <w:highlight w:val="none"/>
                <w:lang w:eastAsia="zh-CN"/>
              </w:rPr>
              <w:t>有组织排放</w:t>
            </w:r>
            <w:r>
              <w:rPr>
                <w:rFonts w:hint="eastAsia" w:ascii="Times New Roman" w:hAnsi="Times New Roman" w:eastAsia="宋体" w:cs="Times New Roman"/>
                <w:bCs/>
                <w:color w:val="auto"/>
                <w:sz w:val="24"/>
                <w:highlight w:val="none"/>
                <w:lang w:val="en-US" w:eastAsia="zh-CN"/>
              </w:rPr>
              <w:t>满足</w:t>
            </w:r>
            <w:r>
              <w:rPr>
                <w:rFonts w:hint="default" w:ascii="Times New Roman" w:hAnsi="Times New Roman" w:eastAsia="宋体" w:cs="Times New Roman"/>
                <w:bCs/>
                <w:color w:val="auto"/>
                <w:sz w:val="24"/>
                <w:highlight w:val="none"/>
              </w:rPr>
              <w:t>《铸造</w:t>
            </w:r>
            <w:r>
              <w:rPr>
                <w:rFonts w:hint="default" w:ascii="Times New Roman" w:hAnsi="Times New Roman" w:eastAsia="宋体" w:cs="Times New Roman"/>
                <w:bCs/>
                <w:color w:val="auto"/>
                <w:sz w:val="24"/>
                <w:highlight w:val="none"/>
                <w:lang w:eastAsia="zh-CN"/>
              </w:rPr>
              <w:t>工业</w:t>
            </w:r>
            <w:r>
              <w:rPr>
                <w:rFonts w:hint="default" w:ascii="Times New Roman" w:hAnsi="Times New Roman" w:eastAsia="宋体" w:cs="Times New Roman"/>
                <w:bCs/>
                <w:color w:val="auto"/>
                <w:sz w:val="24"/>
                <w:highlight w:val="none"/>
              </w:rPr>
              <w:t>大气污染物排放</w:t>
            </w:r>
            <w:r>
              <w:rPr>
                <w:rFonts w:hint="default" w:ascii="Times New Roman" w:hAnsi="Times New Roman" w:eastAsia="宋体" w:cs="Times New Roman"/>
                <w:bCs/>
                <w:color w:val="auto"/>
                <w:sz w:val="24"/>
                <w:highlight w:val="none"/>
                <w:lang w:eastAsia="zh-CN"/>
              </w:rPr>
              <w:t>标准</w:t>
            </w:r>
            <w:r>
              <w:rPr>
                <w:rFonts w:hint="default" w:ascii="Times New Roman" w:hAnsi="Times New Roman" w:eastAsia="宋体" w:cs="Times New Roman"/>
                <w:bCs/>
                <w:color w:val="auto"/>
                <w:sz w:val="24"/>
                <w:highlight w:val="none"/>
              </w:rPr>
              <w:t>》</w:t>
            </w:r>
            <w:r>
              <w:rPr>
                <w:rFonts w:hint="eastAsia" w:ascii="Times New Roman" w:hAnsi="Times New Roman" w:eastAsia="宋体" w:cs="Times New Roman"/>
                <w:bCs/>
                <w:color w:val="auto"/>
                <w:sz w:val="24"/>
                <w:highlight w:val="none"/>
                <w:lang w:eastAsia="zh-CN"/>
              </w:rPr>
              <w:t>（</w:t>
            </w:r>
            <w:r>
              <w:rPr>
                <w:rFonts w:hint="default" w:ascii="Times New Roman" w:hAnsi="Times New Roman" w:eastAsia="宋体" w:cs="Times New Roman"/>
                <w:bCs/>
                <w:color w:val="auto"/>
                <w:sz w:val="24"/>
                <w:highlight w:val="none"/>
                <w:lang w:val="en-US" w:eastAsia="zh-CN"/>
              </w:rPr>
              <w:t>GB</w:t>
            </w:r>
            <w:r>
              <w:rPr>
                <w:rFonts w:hint="eastAsia" w:ascii="Times New Roman" w:hAnsi="Times New Roman" w:eastAsia="宋体" w:cs="Times New Roman"/>
                <w:bCs/>
                <w:color w:val="auto"/>
                <w:sz w:val="24"/>
                <w:highlight w:val="none"/>
                <w:lang w:val="en-US" w:eastAsia="zh-CN"/>
              </w:rPr>
              <w:t xml:space="preserve"> </w:t>
            </w:r>
            <w:r>
              <w:rPr>
                <w:rFonts w:hint="default" w:ascii="Times New Roman" w:hAnsi="Times New Roman" w:eastAsia="宋体" w:cs="Times New Roman"/>
                <w:bCs/>
                <w:color w:val="auto"/>
                <w:sz w:val="24"/>
                <w:highlight w:val="none"/>
                <w:lang w:val="en-US" w:eastAsia="zh-CN"/>
              </w:rPr>
              <w:t>39726-2020</w:t>
            </w:r>
            <w:r>
              <w:rPr>
                <w:rFonts w:hint="default" w:ascii="Times New Roman" w:hAnsi="Times New Roman" w:eastAsia="宋体" w:cs="Times New Roman"/>
                <w:bCs/>
                <w:color w:val="auto"/>
                <w:sz w:val="24"/>
                <w:highlight w:val="none"/>
              </w:rPr>
              <w:t>）</w:t>
            </w:r>
            <w:r>
              <w:rPr>
                <w:rFonts w:hint="default" w:ascii="Times New Roman" w:hAnsi="Times New Roman" w:eastAsia="宋体" w:cs="Times New Roman"/>
                <w:color w:val="auto"/>
                <w:sz w:val="24"/>
                <w:highlight w:val="none"/>
              </w:rPr>
              <w:t>表1</w:t>
            </w:r>
            <w:r>
              <w:rPr>
                <w:rFonts w:hint="default" w:ascii="Times New Roman" w:hAnsi="Times New Roman" w:eastAsia="宋体" w:cs="Times New Roman"/>
                <w:color w:val="auto"/>
                <w:sz w:val="24"/>
                <w:highlight w:val="none"/>
                <w:lang w:eastAsia="zh-CN"/>
              </w:rPr>
              <w:t>大气污染物排放限值</w:t>
            </w:r>
            <w:r>
              <w:rPr>
                <w:rFonts w:hint="default" w:ascii="Times New Roman" w:hAnsi="Times New Roman" w:cs="Times New Roman"/>
                <w:color w:val="auto"/>
                <w:sz w:val="24"/>
                <w:szCs w:val="24"/>
                <w:highlight w:val="none"/>
              </w:rPr>
              <w:t>。</w:t>
            </w:r>
          </w:p>
          <w:p w14:paraId="4774F4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kern w:val="2"/>
                <w:sz w:val="24"/>
                <w:szCs w:val="21"/>
                <w:highlight w:val="none"/>
                <w:lang w:val="en-US" w:eastAsia="zh-CN" w:bidi="ar"/>
              </w:rPr>
            </w:pPr>
            <w:r>
              <w:rPr>
                <w:rFonts w:hint="default" w:ascii="Times New Roman" w:hAnsi="Times New Roman" w:cs="Times New Roman"/>
                <w:color w:val="auto"/>
                <w:sz w:val="24"/>
                <w:szCs w:val="24"/>
                <w:highlight w:val="none"/>
                <w:lang w:val="en-US" w:eastAsia="zh-CN"/>
              </w:rPr>
              <w:t>综上，</w:t>
            </w:r>
            <w:r>
              <w:rPr>
                <w:rFonts w:hint="eastAsia" w:ascii="Times New Roman" w:hAnsi="Times New Roman" w:cs="Times New Roman"/>
                <w:color w:val="auto"/>
                <w:sz w:val="24"/>
                <w:szCs w:val="24"/>
                <w:highlight w:val="none"/>
                <w:lang w:val="en-US" w:eastAsia="zh-CN"/>
              </w:rPr>
              <w:t>项目</w:t>
            </w:r>
            <w:r>
              <w:rPr>
                <w:rFonts w:hint="default" w:ascii="Times New Roman" w:hAnsi="Times New Roman" w:cs="Times New Roman"/>
                <w:color w:val="auto"/>
                <w:sz w:val="24"/>
                <w:szCs w:val="24"/>
                <w:highlight w:val="none"/>
                <w:lang w:val="en-US" w:eastAsia="zh-CN"/>
              </w:rPr>
              <w:t>废气的治理</w:t>
            </w:r>
            <w:r>
              <w:rPr>
                <w:rFonts w:hint="eastAsia" w:cs="Times New Roman"/>
                <w:color w:val="auto"/>
                <w:sz w:val="24"/>
                <w:szCs w:val="24"/>
                <w:highlight w:val="none"/>
                <w:lang w:val="en-US" w:eastAsia="zh-CN"/>
              </w:rPr>
              <w:t>措施</w:t>
            </w:r>
            <w:r>
              <w:rPr>
                <w:rFonts w:hint="default" w:ascii="Times New Roman" w:hAnsi="Times New Roman" w:cs="Times New Roman"/>
                <w:color w:val="auto"/>
                <w:sz w:val="24"/>
                <w:szCs w:val="24"/>
                <w:highlight w:val="none"/>
                <w:lang w:val="en-US" w:eastAsia="zh-CN"/>
              </w:rPr>
              <w:t>可行</w:t>
            </w:r>
            <w:r>
              <w:rPr>
                <w:rFonts w:hint="eastAsia" w:ascii="Times New Roman" w:hAnsi="Times New Roman" w:eastAsia="宋体" w:cs="Times New Roman"/>
                <w:color w:val="auto"/>
                <w:kern w:val="2"/>
                <w:sz w:val="24"/>
                <w:szCs w:val="21"/>
                <w:highlight w:val="none"/>
                <w:lang w:val="en-US" w:eastAsia="zh-CN" w:bidi="ar"/>
              </w:rPr>
              <w:t>，项目营运期大气环境影响可以接受。</w:t>
            </w:r>
          </w:p>
          <w:p w14:paraId="6AC378D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lang w:val="en-US" w:eastAsia="zh-CN"/>
              </w:rPr>
              <w:t>废水环境影响和保护措施分析</w:t>
            </w:r>
          </w:p>
          <w:p w14:paraId="330695A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（1）废水源强分析</w:t>
            </w:r>
          </w:p>
          <w:p w14:paraId="5A8B6B4D">
            <w:pPr>
              <w:widowControl/>
              <w:adjustRightInd w:val="0"/>
              <w:snapToGrid w:val="0"/>
              <w:spacing w:line="360" w:lineRule="auto"/>
              <w:ind w:firstLine="480" w:firstLineChars="200"/>
              <w:jc w:val="left"/>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b w:val="0"/>
                <w:bCs w:val="0"/>
                <w:color w:val="auto"/>
                <w:kern w:val="2"/>
                <w:sz w:val="24"/>
                <w:szCs w:val="21"/>
                <w:highlight w:val="none"/>
                <w:lang w:val="en-US" w:eastAsia="zh-CN" w:bidi="ar"/>
              </w:rPr>
              <w:t>项目不新增劳动定员</w:t>
            </w:r>
            <w:r>
              <w:rPr>
                <w:rFonts w:hint="eastAsia" w:ascii="Times New Roman" w:hAnsi="Times New Roman" w:cs="Times New Roman"/>
                <w:color w:val="auto"/>
                <w:sz w:val="24"/>
                <w:szCs w:val="20"/>
                <w:highlight w:val="none"/>
                <w:lang w:val="en-US" w:eastAsia="zh-CN"/>
              </w:rPr>
              <w:t>，员工从企业现有职</w:t>
            </w:r>
            <w:r>
              <w:rPr>
                <w:rFonts w:hint="eastAsia" w:ascii="Times New Roman" w:hAnsi="Times New Roman" w:cs="Times New Roman"/>
                <w:color w:val="auto"/>
                <w:sz w:val="24"/>
                <w:szCs w:val="24"/>
                <w:highlight w:val="none"/>
                <w:lang w:val="en-US" w:eastAsia="zh-CN"/>
              </w:rPr>
              <w:t>工中调度</w:t>
            </w:r>
            <w:r>
              <w:rPr>
                <w:rFonts w:hint="eastAsia" w:ascii="Times New Roman" w:hAnsi="Times New Roman" w:eastAsia="宋体" w:cs="Times New Roman"/>
                <w:b w:val="0"/>
                <w:bCs w:val="0"/>
                <w:color w:val="auto"/>
                <w:kern w:val="2"/>
                <w:sz w:val="24"/>
                <w:szCs w:val="21"/>
                <w:highlight w:val="none"/>
                <w:lang w:val="en-US" w:eastAsia="zh-CN" w:bidi="ar"/>
              </w:rPr>
              <w:t>；</w:t>
            </w:r>
            <w:r>
              <w:rPr>
                <w:rFonts w:hint="default" w:ascii="Times New Roman" w:hAnsi="Times New Roman" w:eastAsia="宋体" w:cs="Times New Roman"/>
                <w:color w:val="auto"/>
                <w:kern w:val="0"/>
                <w:sz w:val="24"/>
                <w:highlight w:val="none"/>
              </w:rPr>
              <w:t>项目生产过程中，</w:t>
            </w:r>
            <w:r>
              <w:rPr>
                <w:rFonts w:hint="eastAsia" w:ascii="Times New Roman" w:hAnsi="Times New Roman" w:eastAsia="宋体" w:cs="Times New Roman"/>
                <w:color w:val="auto"/>
                <w:kern w:val="0"/>
                <w:sz w:val="24"/>
                <w:highlight w:val="none"/>
                <w:lang w:val="en-US" w:eastAsia="zh-CN"/>
              </w:rPr>
              <w:t>中频感应电炉</w:t>
            </w:r>
            <w:r>
              <w:rPr>
                <w:rFonts w:hint="default" w:ascii="Times New Roman" w:hAnsi="Times New Roman" w:eastAsia="宋体" w:cs="Times New Roman"/>
                <w:color w:val="auto"/>
                <w:kern w:val="0"/>
                <w:sz w:val="24"/>
                <w:highlight w:val="none"/>
              </w:rPr>
              <w:t>需采用冷却水进行间接冷却，项目设有</w:t>
            </w:r>
            <w:r>
              <w:rPr>
                <w:rFonts w:hint="eastAsia" w:cs="Times New Roman"/>
                <w:color w:val="auto"/>
                <w:kern w:val="0"/>
                <w:sz w:val="24"/>
                <w:highlight w:val="none"/>
                <w:lang w:val="en-US" w:eastAsia="zh-CN"/>
              </w:rPr>
              <w:t>2</w:t>
            </w:r>
            <w:r>
              <w:rPr>
                <w:rFonts w:hint="default" w:ascii="Times New Roman" w:hAnsi="Times New Roman" w:cs="Times New Roman"/>
                <w:color w:val="auto"/>
                <w:kern w:val="0"/>
                <w:sz w:val="24"/>
                <w:highlight w:val="none"/>
              </w:rPr>
              <w:t>台</w:t>
            </w:r>
            <w:r>
              <w:rPr>
                <w:rFonts w:hint="eastAsia" w:ascii="Times New Roman" w:hAnsi="Times New Roman" w:cs="Times New Roman"/>
                <w:color w:val="auto"/>
                <w:kern w:val="0"/>
                <w:sz w:val="24"/>
                <w:highlight w:val="none"/>
                <w:lang w:val="en-US" w:eastAsia="zh-CN"/>
              </w:rPr>
              <w:t>0.5t/h中频感应电炉</w:t>
            </w:r>
            <w:r>
              <w:rPr>
                <w:rFonts w:hint="eastAsia" w:ascii="Times New Roman" w:hAnsi="Times New Roman" w:eastAsia="宋体" w:cs="Times New Roman"/>
                <w:color w:val="auto"/>
                <w:kern w:val="0"/>
                <w:sz w:val="24"/>
                <w:highlight w:val="none"/>
                <w:lang w:val="en-US" w:eastAsia="zh-CN"/>
              </w:rPr>
              <w:t>。</w:t>
            </w:r>
          </w:p>
          <w:p w14:paraId="65DF4CB6">
            <w:pPr>
              <w:widowControl/>
              <w:adjustRightInd w:val="0"/>
              <w:snapToGrid w:val="0"/>
              <w:spacing w:line="360" w:lineRule="auto"/>
              <w:ind w:firstLine="480" w:firstLineChars="200"/>
              <w:jc w:val="left"/>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厂区设有一台横流闭式冷却塔，采用循环水全封闭运作，主要分为两个系统：</w:t>
            </w:r>
          </w:p>
          <w:p w14:paraId="62032A6F">
            <w:pPr>
              <w:widowControl/>
              <w:adjustRightInd w:val="0"/>
              <w:snapToGrid w:val="0"/>
              <w:spacing w:line="360" w:lineRule="auto"/>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val="en-US" w:eastAsia="zh-CN"/>
              </w:rPr>
              <w:t>①</w:t>
            </w:r>
            <w:r>
              <w:rPr>
                <w:rFonts w:hint="eastAsia" w:ascii="Times New Roman" w:hAnsi="Times New Roman" w:eastAsia="宋体" w:cs="Times New Roman"/>
                <w:color w:val="auto"/>
                <w:kern w:val="0"/>
                <w:sz w:val="24"/>
                <w:highlight w:val="none"/>
              </w:rPr>
              <w:t>内循环水系统：循环水经过热源换热升温进入热交换器</w:t>
            </w:r>
            <w:r>
              <w:rPr>
                <w:rFonts w:hint="eastAsia"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又称为闭式冷却塔盘管</w:t>
            </w:r>
            <w:r>
              <w:rPr>
                <w:rFonts w:hint="eastAsia"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，废热通过盘管外壁与下落的喷淋水接触进行热质交换并与侧面</w:t>
            </w:r>
            <w:r>
              <w:rPr>
                <w:rFonts w:hint="eastAsia"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单侧面或双侧面</w:t>
            </w:r>
            <w:r>
              <w:rPr>
                <w:rFonts w:hint="eastAsia"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进风的干冷空气交替形成饱和的湿热空气。冷却后的循环水由系统循环水泵送往热源。</w:t>
            </w:r>
          </w:p>
          <w:p w14:paraId="22C91573">
            <w:pPr>
              <w:widowControl/>
              <w:adjustRightInd w:val="0"/>
              <w:snapToGrid w:val="0"/>
              <w:spacing w:line="360" w:lineRule="auto"/>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val="en-US" w:eastAsia="zh-CN"/>
              </w:rPr>
              <w:t>②</w:t>
            </w:r>
            <w:r>
              <w:rPr>
                <w:rFonts w:hint="eastAsia" w:ascii="Times New Roman" w:hAnsi="Times New Roman" w:eastAsia="宋体" w:cs="Times New Roman"/>
                <w:color w:val="auto"/>
                <w:kern w:val="0"/>
                <w:sz w:val="24"/>
                <w:highlight w:val="none"/>
              </w:rPr>
              <w:t>外循环水系统：喷淋水由喷淋水泵从下部水槽送至上部布水管道，水喷出后和热交换器管接触，部分水蒸发后带出热量。热量由顶部风机排出，水分则由特殊结构的脱水器挡回与喷淋水落入集水槽循环使用。</w:t>
            </w:r>
          </w:p>
          <w:p w14:paraId="62B95A55">
            <w:pPr>
              <w:widowControl/>
              <w:adjustRightInd w:val="0"/>
              <w:snapToGrid w:val="0"/>
              <w:spacing w:line="360" w:lineRule="auto"/>
              <w:ind w:firstLine="480" w:firstLineChars="200"/>
              <w:jc w:val="left"/>
              <w:rPr>
                <w:rFonts w:hint="default"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根据建设单位提供资料，单台</w:t>
            </w:r>
            <w:r>
              <w:rPr>
                <w:rFonts w:hint="eastAsia" w:ascii="Times New Roman" w:hAnsi="Times New Roman" w:cs="Times New Roman"/>
                <w:color w:val="auto"/>
                <w:kern w:val="0"/>
                <w:sz w:val="24"/>
                <w:highlight w:val="none"/>
                <w:lang w:val="en-US" w:eastAsia="zh-CN"/>
              </w:rPr>
              <w:t>0.5t/h中频感应电炉循环冷却水量</w:t>
            </w:r>
            <w:r>
              <w:rPr>
                <w:rFonts w:hint="eastAsia" w:cs="Times New Roman"/>
                <w:color w:val="auto"/>
                <w:kern w:val="0"/>
                <w:sz w:val="24"/>
                <w:highlight w:val="none"/>
                <w:lang w:val="en-US" w:eastAsia="zh-CN"/>
              </w:rPr>
              <w:t>为</w:t>
            </w:r>
            <w:r>
              <w:rPr>
                <w:rFonts w:hint="eastAsia" w:ascii="Times New Roman" w:hAnsi="Times New Roman" w:cs="Times New Roman"/>
                <w:color w:val="auto"/>
                <w:kern w:val="0"/>
                <w:sz w:val="24"/>
                <w:highlight w:val="none"/>
                <w:lang w:val="en-US" w:eastAsia="zh-CN"/>
              </w:rPr>
              <w:t>15m³/h</w:t>
            </w:r>
            <w:r>
              <w:rPr>
                <w:rFonts w:hint="eastAsia" w:cs="Times New Roman"/>
                <w:color w:val="auto"/>
                <w:kern w:val="0"/>
                <w:sz w:val="24"/>
                <w:highlight w:val="none"/>
                <w:lang w:val="en-US" w:eastAsia="zh-CN"/>
              </w:rPr>
              <w:t>。补充量为循环水因蒸发等产生的损耗补充，铸造行业闭式循环冷却系统的补充率为循环水量的2%，</w:t>
            </w:r>
            <w:r>
              <w:rPr>
                <w:rFonts w:hint="default" w:ascii="Times New Roman" w:hAnsi="Times New Roman" w:cs="Times New Roman"/>
                <w:color w:val="auto"/>
                <w:kern w:val="0"/>
                <w:sz w:val="24"/>
                <w:highlight w:val="none"/>
              </w:rPr>
              <w:t>每天</w:t>
            </w:r>
            <w:r>
              <w:rPr>
                <w:rFonts w:hint="eastAsia" w:ascii="Times New Roman" w:hAnsi="Times New Roman" w:cs="Times New Roman"/>
                <w:color w:val="auto"/>
                <w:kern w:val="0"/>
                <w:sz w:val="24"/>
                <w:highlight w:val="none"/>
                <w:lang w:val="en-US" w:eastAsia="zh-CN"/>
              </w:rPr>
              <w:t>中频感应电炉</w:t>
            </w:r>
            <w:r>
              <w:rPr>
                <w:rFonts w:hint="default" w:ascii="Times New Roman" w:hAnsi="Times New Roman" w:cs="Times New Roman"/>
                <w:color w:val="auto"/>
                <w:kern w:val="0"/>
                <w:sz w:val="24"/>
                <w:highlight w:val="none"/>
              </w:rPr>
              <w:t>冷却水补充量为</w:t>
            </w:r>
            <w:r>
              <w:rPr>
                <w:rFonts w:hint="eastAsia" w:cs="Times New Roman"/>
                <w:color w:val="auto"/>
                <w:kern w:val="0"/>
                <w:sz w:val="24"/>
                <w:highlight w:val="none"/>
                <w:lang w:val="en-US" w:eastAsia="zh-CN"/>
              </w:rPr>
              <w:t>9.6</w:t>
            </w:r>
            <w:r>
              <w:rPr>
                <w:rFonts w:hint="default" w:ascii="Times New Roman" w:hAnsi="Times New Roman" w:cs="Times New Roman"/>
                <w:color w:val="auto"/>
                <w:kern w:val="0"/>
                <w:sz w:val="24"/>
                <w:highlight w:val="none"/>
              </w:rPr>
              <w:t>m</w:t>
            </w:r>
            <w:r>
              <w:rPr>
                <w:rFonts w:hint="default" w:ascii="Times New Roman" w:hAnsi="Times New Roman" w:cs="Times New Roman"/>
                <w:color w:val="auto"/>
                <w:kern w:val="0"/>
                <w:sz w:val="24"/>
                <w:highlight w:val="none"/>
                <w:vertAlign w:val="superscript"/>
                <w:lang w:val="en-US" w:eastAsia="zh-CN"/>
              </w:rPr>
              <w:t>3</w:t>
            </w:r>
            <w:r>
              <w:rPr>
                <w:rFonts w:hint="default" w:ascii="Times New Roman" w:hAnsi="Times New Roman" w:cs="Times New Roman"/>
                <w:color w:val="auto"/>
                <w:kern w:val="0"/>
                <w:sz w:val="24"/>
                <w:highlight w:val="none"/>
              </w:rPr>
              <w:t>/d</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rPr>
              <w:t>年工作</w:t>
            </w:r>
            <w:r>
              <w:rPr>
                <w:rFonts w:hint="eastAsia" w:cs="Times New Roman"/>
                <w:color w:val="auto"/>
                <w:kern w:val="0"/>
                <w:sz w:val="24"/>
                <w:highlight w:val="none"/>
                <w:lang w:val="en-US" w:eastAsia="zh-CN"/>
              </w:rPr>
              <w:t>27</w:t>
            </w:r>
            <w:r>
              <w:rPr>
                <w:rFonts w:hint="eastAsia" w:ascii="Times New Roman" w:hAnsi="Times New Roman" w:cs="Times New Roman"/>
                <w:color w:val="auto"/>
                <w:kern w:val="0"/>
                <w:sz w:val="24"/>
                <w:highlight w:val="none"/>
                <w:lang w:val="en-US" w:eastAsia="zh-CN"/>
              </w:rPr>
              <w:t>0</w:t>
            </w:r>
            <w:r>
              <w:rPr>
                <w:rFonts w:hint="default" w:ascii="Times New Roman" w:hAnsi="Times New Roman" w:cs="Times New Roman"/>
                <w:color w:val="auto"/>
                <w:kern w:val="0"/>
                <w:sz w:val="24"/>
                <w:highlight w:val="none"/>
              </w:rPr>
              <w:t>天，则</w:t>
            </w:r>
            <w:r>
              <w:rPr>
                <w:rFonts w:hint="eastAsia" w:ascii="Times New Roman" w:hAnsi="Times New Roman" w:cs="Times New Roman"/>
                <w:color w:val="auto"/>
                <w:kern w:val="0"/>
                <w:sz w:val="24"/>
                <w:highlight w:val="none"/>
                <w:lang w:val="en-US" w:eastAsia="zh-CN"/>
              </w:rPr>
              <w:t>有轭中频感应电炉</w:t>
            </w:r>
            <w:r>
              <w:rPr>
                <w:rFonts w:hint="default" w:ascii="Times New Roman" w:hAnsi="Times New Roman" w:cs="Times New Roman"/>
                <w:color w:val="auto"/>
                <w:kern w:val="0"/>
                <w:sz w:val="24"/>
                <w:highlight w:val="none"/>
              </w:rPr>
              <w:t>冷却水补充量为</w:t>
            </w:r>
            <w:r>
              <w:rPr>
                <w:rFonts w:hint="eastAsia" w:cs="Times New Roman"/>
                <w:color w:val="auto"/>
                <w:kern w:val="0"/>
                <w:sz w:val="24"/>
                <w:highlight w:val="none"/>
                <w:lang w:val="en-US" w:eastAsia="zh-CN"/>
              </w:rPr>
              <w:t>2880</w:t>
            </w:r>
            <w:r>
              <w:rPr>
                <w:rFonts w:hint="default" w:ascii="Times New Roman" w:hAnsi="Times New Roman" w:cs="Times New Roman"/>
                <w:color w:val="auto"/>
                <w:kern w:val="0"/>
                <w:sz w:val="24"/>
                <w:highlight w:val="none"/>
              </w:rPr>
              <w:t>m</w:t>
            </w:r>
            <w:r>
              <w:rPr>
                <w:rFonts w:hint="default" w:ascii="Times New Roman" w:hAnsi="Times New Roman" w:cs="Times New Roman"/>
                <w:color w:val="auto"/>
                <w:kern w:val="0"/>
                <w:sz w:val="24"/>
                <w:highlight w:val="none"/>
                <w:vertAlign w:val="superscript"/>
              </w:rPr>
              <w:t>3</w:t>
            </w:r>
            <w:r>
              <w:rPr>
                <w:rFonts w:hint="default" w:ascii="Times New Roman" w:hAnsi="Times New Roman" w:cs="Times New Roman"/>
                <w:color w:val="auto"/>
                <w:kern w:val="0"/>
                <w:sz w:val="24"/>
                <w:highlight w:val="none"/>
              </w:rPr>
              <w:t>/a</w:t>
            </w:r>
            <w:r>
              <w:rPr>
                <w:rFonts w:hint="eastAsia" w:ascii="Times New Roman" w:hAnsi="Times New Roman" w:cs="Times New Roman"/>
                <w:color w:val="auto"/>
                <w:kern w:val="0"/>
                <w:sz w:val="24"/>
                <w:highlight w:val="none"/>
                <w:lang w:eastAsia="zh-CN"/>
              </w:rPr>
              <w:t>（</w:t>
            </w:r>
            <w:r>
              <w:rPr>
                <w:rFonts w:hint="eastAsia" w:cs="Times New Roman"/>
                <w:color w:val="auto"/>
                <w:kern w:val="0"/>
                <w:sz w:val="24"/>
                <w:highlight w:val="none"/>
                <w:lang w:val="en-US" w:eastAsia="zh-CN"/>
              </w:rPr>
              <w:t>9.6</w:t>
            </w:r>
            <w:r>
              <w:rPr>
                <w:rFonts w:hint="default" w:ascii="Times New Roman" w:hAnsi="Times New Roman" w:cs="Times New Roman"/>
                <w:color w:val="auto"/>
                <w:kern w:val="0"/>
                <w:sz w:val="24"/>
                <w:highlight w:val="none"/>
              </w:rPr>
              <w:t>m</w:t>
            </w:r>
            <w:r>
              <w:rPr>
                <w:rFonts w:hint="default" w:ascii="Times New Roman" w:hAnsi="Times New Roman" w:cs="Times New Roman"/>
                <w:color w:val="auto"/>
                <w:kern w:val="0"/>
                <w:sz w:val="24"/>
                <w:highlight w:val="none"/>
                <w:vertAlign w:val="superscript"/>
                <w:lang w:val="en-US" w:eastAsia="zh-CN"/>
              </w:rPr>
              <w:t>3</w:t>
            </w:r>
            <w:r>
              <w:rPr>
                <w:rFonts w:hint="default" w:ascii="Times New Roman" w:hAnsi="Times New Roman" w:cs="Times New Roman"/>
                <w:color w:val="auto"/>
                <w:kern w:val="0"/>
                <w:sz w:val="24"/>
                <w:highlight w:val="none"/>
              </w:rPr>
              <w:t>/d</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lang w:eastAsia="zh-CN"/>
              </w:rPr>
              <w:t>。</w:t>
            </w:r>
            <w:r>
              <w:rPr>
                <w:rFonts w:hint="eastAsia" w:ascii="Times New Roman" w:hAnsi="Times New Roman" w:cs="Times New Roman"/>
                <w:color w:val="auto"/>
                <w:kern w:val="0"/>
                <w:sz w:val="24"/>
                <w:highlight w:val="none"/>
                <w:lang w:val="en-US" w:eastAsia="zh-CN"/>
              </w:rPr>
              <w:t>有轭中频感应电炉</w:t>
            </w:r>
            <w:r>
              <w:rPr>
                <w:rFonts w:hint="default" w:ascii="Times New Roman" w:hAnsi="Times New Roman" w:cs="Times New Roman"/>
                <w:color w:val="auto"/>
                <w:kern w:val="0"/>
                <w:sz w:val="24"/>
                <w:highlight w:val="none"/>
              </w:rPr>
              <w:t>冷却</w:t>
            </w:r>
            <w:r>
              <w:rPr>
                <w:rFonts w:hint="default" w:ascii="Times New Roman" w:hAnsi="Times New Roman" w:cs="Times New Roman"/>
                <w:color w:val="auto"/>
                <w:kern w:val="0"/>
                <w:sz w:val="24"/>
                <w:highlight w:val="none"/>
                <w:lang w:eastAsia="zh-CN"/>
              </w:rPr>
              <w:t>水循环使用</w:t>
            </w:r>
            <w:r>
              <w:rPr>
                <w:rFonts w:hint="eastAsia" w:ascii="Times New Roman" w:hAnsi="Times New Roman" w:cs="Times New Roman"/>
                <w:color w:val="auto"/>
                <w:kern w:val="0"/>
                <w:sz w:val="24"/>
                <w:highlight w:val="none"/>
                <w:lang w:eastAsia="zh-CN"/>
              </w:rPr>
              <w:t>、</w:t>
            </w:r>
            <w:r>
              <w:rPr>
                <w:rFonts w:hint="eastAsia" w:ascii="Times New Roman" w:hAnsi="Times New Roman" w:cs="Times New Roman"/>
                <w:color w:val="auto"/>
                <w:kern w:val="0"/>
                <w:sz w:val="24"/>
                <w:highlight w:val="none"/>
                <w:lang w:val="en-US" w:eastAsia="zh-CN"/>
              </w:rPr>
              <w:t>定期补充，</w:t>
            </w:r>
            <w:r>
              <w:rPr>
                <w:rFonts w:hint="default" w:ascii="Times New Roman" w:hAnsi="Times New Roman" w:cs="Times New Roman"/>
                <w:color w:val="auto"/>
                <w:kern w:val="0"/>
                <w:sz w:val="24"/>
                <w:highlight w:val="none"/>
                <w:lang w:eastAsia="zh-CN"/>
              </w:rPr>
              <w:t>不外排。</w:t>
            </w:r>
          </w:p>
          <w:p w14:paraId="531796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1"/>
                <w:highlight w:val="none"/>
                <w:lang w:val="en-US" w:eastAsia="zh-CN" w:bidi="ar"/>
              </w:rPr>
            </w:pPr>
            <w:r>
              <w:rPr>
                <w:rFonts w:hint="eastAsia" w:ascii="Times New Roman" w:hAnsi="Times New Roman" w:eastAsia="宋体" w:cs="Times New Roman"/>
                <w:b w:val="0"/>
                <w:bCs w:val="0"/>
                <w:color w:val="auto"/>
                <w:kern w:val="2"/>
                <w:sz w:val="24"/>
                <w:szCs w:val="21"/>
                <w:highlight w:val="none"/>
                <w:lang w:val="en-US" w:eastAsia="zh-CN" w:bidi="ar"/>
              </w:rPr>
              <w:t>综上所述，本项目不新增废水排放。</w:t>
            </w:r>
            <w:r>
              <w:rPr>
                <w:rFonts w:hint="eastAsia" w:cs="Times New Roman"/>
                <w:color w:val="auto"/>
                <w:sz w:val="24"/>
                <w:szCs w:val="24"/>
                <w:highlight w:val="none"/>
                <w:lang w:val="en-US" w:eastAsia="zh-CN"/>
              </w:rPr>
              <w:t>现有项目废水主要为</w:t>
            </w:r>
            <w:r>
              <w:rPr>
                <w:rFonts w:hint="default" w:ascii="Times New Roman" w:hAnsi="Times New Roman" w:cs="Times New Roman"/>
                <w:color w:val="auto"/>
                <w:kern w:val="0"/>
                <w:sz w:val="24"/>
                <w:highlight w:val="none"/>
              </w:rPr>
              <w:t>生活污水</w:t>
            </w:r>
            <w:r>
              <w:rPr>
                <w:rFonts w:hint="eastAsia" w:ascii="Times New Roman" w:hAnsi="Times New Roman" w:cs="Times New Roman"/>
                <w:color w:val="auto"/>
                <w:kern w:val="0"/>
                <w:sz w:val="24"/>
                <w:highlight w:val="none"/>
                <w:lang w:eastAsia="zh-CN"/>
              </w:rPr>
              <w:t>，经化粪池预处理后排入新河镇污水处理厂处理后排入东山河；</w:t>
            </w:r>
            <w:r>
              <w:rPr>
                <w:rFonts w:hint="eastAsia" w:ascii="Times New Roman" w:hAnsi="Times New Roman" w:cs="Times New Roman"/>
                <w:color w:val="auto"/>
                <w:kern w:val="0"/>
                <w:sz w:val="24"/>
                <w:highlight w:val="none"/>
                <w:lang w:val="en-US" w:eastAsia="zh-CN"/>
              </w:rPr>
              <w:t>现有</w:t>
            </w:r>
            <w:r>
              <w:rPr>
                <w:rFonts w:hint="eastAsia" w:ascii="Times New Roman" w:hAnsi="Times New Roman" w:cs="Times New Roman"/>
                <w:color w:val="auto"/>
                <w:kern w:val="0"/>
                <w:sz w:val="24"/>
                <w:highlight w:val="none"/>
                <w:lang w:eastAsia="zh-CN"/>
              </w:rPr>
              <w:t>中频炉熔炉冷却水循环使用，</w:t>
            </w:r>
            <w:r>
              <w:rPr>
                <w:rFonts w:hint="eastAsia" w:ascii="Times New Roman" w:hAnsi="Times New Roman" w:cs="Times New Roman"/>
                <w:color w:val="auto"/>
                <w:kern w:val="0"/>
                <w:sz w:val="24"/>
                <w:highlight w:val="none"/>
                <w:lang w:val="en-US" w:eastAsia="zh-CN"/>
              </w:rPr>
              <w:t>定期补水，</w:t>
            </w:r>
            <w:r>
              <w:rPr>
                <w:rFonts w:hint="eastAsia" w:ascii="Times New Roman" w:hAnsi="Times New Roman" w:cs="Times New Roman"/>
                <w:color w:val="auto"/>
                <w:kern w:val="0"/>
                <w:sz w:val="24"/>
                <w:highlight w:val="none"/>
                <w:lang w:eastAsia="zh-CN"/>
              </w:rPr>
              <w:t>不外排；</w:t>
            </w:r>
            <w:r>
              <w:rPr>
                <w:rFonts w:hint="eastAsia" w:ascii="Times New Roman" w:hAnsi="Times New Roman" w:cs="Times New Roman"/>
                <w:color w:val="auto"/>
                <w:kern w:val="0"/>
                <w:sz w:val="24"/>
                <w:highlight w:val="none"/>
                <w:lang w:val="en-US" w:eastAsia="zh-CN"/>
              </w:rPr>
              <w:t>现有厂区绿化用水自然损耗</w:t>
            </w:r>
            <w:r>
              <w:rPr>
                <w:rFonts w:hint="eastAsia" w:ascii="Times New Roman" w:hAnsi="Times New Roman" w:cs="Times New Roman"/>
                <w:color w:val="auto"/>
                <w:kern w:val="0"/>
                <w:sz w:val="24"/>
                <w:highlight w:val="none"/>
                <w:lang w:eastAsia="zh-CN"/>
              </w:rPr>
              <w:t>。</w:t>
            </w:r>
          </w:p>
          <w:p w14:paraId="0CC948A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（2）</w:t>
            </w:r>
            <w:r>
              <w:rPr>
                <w:rFonts w:hint="default" w:ascii="Times New Roman" w:hAnsi="Times New Roman" w:eastAsia="宋体" w:cs="Times New Roman"/>
                <w:b/>
                <w:bCs/>
                <w:color w:val="auto"/>
                <w:kern w:val="2"/>
                <w:sz w:val="24"/>
                <w:szCs w:val="24"/>
                <w:lang w:val="en-US" w:eastAsia="zh-CN"/>
              </w:rPr>
              <w:t>排污口设置及监测计划</w:t>
            </w:r>
          </w:p>
          <w:p w14:paraId="6FAAEBAF">
            <w:pPr>
              <w:numPr>
                <w:ilvl w:val="0"/>
                <w:numId w:val="0"/>
              </w:numPr>
              <w:adjustRightInd w:val="0"/>
              <w:snapToGrid w:val="0"/>
              <w:spacing w:line="360" w:lineRule="auto"/>
              <w:ind w:firstLine="480" w:firstLineChars="200"/>
              <w:rPr>
                <w:rFonts w:hint="eastAsia" w:eastAsia="宋体" w:cs="Times New Roman"/>
                <w:bCs/>
                <w:color w:val="auto"/>
                <w:sz w:val="24"/>
                <w:highlight w:val="none"/>
                <w:lang w:eastAsia="zh-CN"/>
              </w:rPr>
            </w:pPr>
            <w:r>
              <w:rPr>
                <w:rFonts w:hint="eastAsia" w:cs="Times New Roman"/>
                <w:bCs/>
                <w:color w:val="auto"/>
                <w:sz w:val="24"/>
                <w:highlight w:val="none"/>
                <w:lang w:eastAsia="zh-CN"/>
              </w:rPr>
              <w:t>根据</w:t>
            </w:r>
            <w:r>
              <w:rPr>
                <w:color w:val="auto"/>
                <w:sz w:val="24"/>
                <w:szCs w:val="32"/>
                <w:highlight w:val="none"/>
              </w:rPr>
              <w:t>《</w:t>
            </w:r>
            <w:r>
              <w:rPr>
                <w:rFonts w:hint="eastAsia"/>
                <w:color w:val="auto"/>
                <w:sz w:val="24"/>
                <w:szCs w:val="32"/>
                <w:highlight w:val="none"/>
                <w:lang w:val="en-US" w:eastAsia="zh-CN"/>
              </w:rPr>
              <w:t>排污单位自行监测技术指南 总则</w:t>
            </w:r>
            <w:r>
              <w:rPr>
                <w:color w:val="auto"/>
                <w:sz w:val="24"/>
                <w:szCs w:val="32"/>
                <w:highlight w:val="none"/>
              </w:rPr>
              <w:t>》（HJ</w:t>
            </w:r>
            <w:r>
              <w:rPr>
                <w:rFonts w:hint="eastAsia"/>
                <w:color w:val="auto"/>
                <w:sz w:val="24"/>
                <w:szCs w:val="32"/>
                <w:highlight w:val="none"/>
                <w:lang w:val="en-US" w:eastAsia="zh-CN"/>
              </w:rPr>
              <w:t xml:space="preserve"> 819-2017</w:t>
            </w:r>
            <w:r>
              <w:rPr>
                <w:color w:val="auto"/>
                <w:sz w:val="24"/>
                <w:szCs w:val="32"/>
                <w:highlight w:val="none"/>
              </w:rPr>
              <w:t>）</w:t>
            </w:r>
            <w:r>
              <w:rPr>
                <w:rFonts w:hint="eastAsia"/>
                <w:color w:val="auto"/>
                <w:sz w:val="24"/>
                <w:szCs w:val="32"/>
                <w:highlight w:val="none"/>
                <w:lang w:eastAsia="zh-CN"/>
              </w:rPr>
              <w:t>、《排污单位自行监测技术指南 金属铸造工业》（</w:t>
            </w:r>
            <w:r>
              <w:rPr>
                <w:rFonts w:hint="eastAsia"/>
                <w:color w:val="auto"/>
                <w:sz w:val="24"/>
                <w:szCs w:val="32"/>
                <w:highlight w:val="none"/>
                <w:lang w:val="en-US" w:eastAsia="zh-CN"/>
              </w:rPr>
              <w:t>HJ 1251-2022</w:t>
            </w:r>
            <w:r>
              <w:rPr>
                <w:rFonts w:hint="eastAsia"/>
                <w:color w:val="auto"/>
                <w:sz w:val="24"/>
                <w:szCs w:val="32"/>
                <w:highlight w:val="none"/>
                <w:lang w:eastAsia="zh-CN"/>
              </w:rPr>
              <w:t>）</w:t>
            </w:r>
            <w:r>
              <w:rPr>
                <w:rFonts w:hint="default" w:ascii="Times New Roman" w:hAnsi="Times New Roman" w:eastAsia="宋体" w:cs="Times New Roman"/>
                <w:bCs/>
                <w:color w:val="auto"/>
                <w:sz w:val="24"/>
                <w:highlight w:val="none"/>
              </w:rPr>
              <w:t>，制定</w:t>
            </w:r>
            <w:r>
              <w:rPr>
                <w:rFonts w:hint="eastAsia" w:ascii="Times New Roman" w:hAnsi="Times New Roman" w:eastAsia="宋体" w:cs="Times New Roman"/>
                <w:bCs/>
                <w:color w:val="auto"/>
                <w:sz w:val="24"/>
                <w:highlight w:val="none"/>
                <w:lang w:val="en-US" w:eastAsia="zh-CN"/>
              </w:rPr>
              <w:t>企业</w:t>
            </w:r>
            <w:r>
              <w:rPr>
                <w:rFonts w:hint="eastAsia" w:ascii="Times New Roman" w:hAnsi="Times New Roman" w:eastAsia="宋体" w:cs="Times New Roman"/>
                <w:bCs/>
                <w:color w:val="auto"/>
                <w:sz w:val="24"/>
                <w:highlight w:val="none"/>
                <w:lang w:eastAsia="zh-CN"/>
              </w:rPr>
              <w:t>水污染物</w:t>
            </w:r>
            <w:r>
              <w:rPr>
                <w:rFonts w:hint="default" w:ascii="Times New Roman" w:hAnsi="Times New Roman" w:eastAsia="宋体" w:cs="Times New Roman"/>
                <w:bCs/>
                <w:color w:val="auto"/>
                <w:sz w:val="24"/>
                <w:highlight w:val="none"/>
              </w:rPr>
              <w:t>监测计划如下</w:t>
            </w:r>
            <w:r>
              <w:rPr>
                <w:rFonts w:hint="eastAsia" w:ascii="Times New Roman" w:hAnsi="Times New Roman" w:eastAsia="宋体" w:cs="Times New Roman"/>
                <w:bCs/>
                <w:color w:val="auto"/>
                <w:sz w:val="24"/>
                <w:highlight w:val="none"/>
                <w:lang w:eastAsia="zh-CN"/>
              </w:rPr>
              <w:t>：</w:t>
            </w:r>
          </w:p>
          <w:p w14:paraId="48CB46E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表4</w:t>
            </w:r>
            <w:r>
              <w:rPr>
                <w:rFonts w:hint="eastAsia" w:ascii="Times New Roman" w:hAnsi="Times New Roman" w:eastAsia="宋体" w:cs="Times New Roman"/>
                <w:b/>
                <w:bCs/>
                <w:color w:val="auto"/>
                <w:kern w:val="2"/>
                <w:sz w:val="24"/>
                <w:szCs w:val="24"/>
                <w:lang w:val="en-US" w:eastAsia="zh-CN"/>
              </w:rPr>
              <w:t>-11</w:t>
            </w:r>
            <w:r>
              <w:rPr>
                <w:rFonts w:hint="default" w:ascii="Times New Roman" w:hAnsi="Times New Roman" w:eastAsia="宋体" w:cs="Times New Roman"/>
                <w:b/>
                <w:bCs/>
                <w:color w:val="auto"/>
                <w:kern w:val="2"/>
                <w:sz w:val="24"/>
                <w:szCs w:val="24"/>
                <w:lang w:val="en-US" w:eastAsia="zh-CN"/>
              </w:rPr>
              <w:t xml:space="preserve">  项目排污口设置及水污染物监测计划</w:t>
            </w:r>
          </w:p>
          <w:tbl>
            <w:tblPr>
              <w:tblStyle w:val="36"/>
              <w:tblW w:w="8392" w:type="dxa"/>
              <w:jc w:val="center"/>
              <w:shd w:val="clear" w:color="auto" w:fill="auto"/>
              <w:tblLayout w:type="fixed"/>
              <w:tblCellMar>
                <w:top w:w="0" w:type="dxa"/>
                <w:left w:w="108" w:type="dxa"/>
                <w:bottom w:w="0" w:type="dxa"/>
                <w:right w:w="108" w:type="dxa"/>
              </w:tblCellMar>
            </w:tblPr>
            <w:tblGrid>
              <w:gridCol w:w="371"/>
              <w:gridCol w:w="717"/>
              <w:gridCol w:w="433"/>
              <w:gridCol w:w="667"/>
              <w:gridCol w:w="1129"/>
              <w:gridCol w:w="961"/>
              <w:gridCol w:w="443"/>
              <w:gridCol w:w="667"/>
              <w:gridCol w:w="1075"/>
              <w:gridCol w:w="885"/>
              <w:gridCol w:w="1044"/>
            </w:tblGrid>
            <w:tr w14:paraId="7ED9DB18">
              <w:tblPrEx>
                <w:tblCellMar>
                  <w:top w:w="0" w:type="dxa"/>
                  <w:left w:w="108" w:type="dxa"/>
                  <w:bottom w:w="0" w:type="dxa"/>
                  <w:right w:w="108" w:type="dxa"/>
                </w:tblCellMar>
              </w:tblPrEx>
              <w:trPr>
                <w:trHeight w:val="283" w:hRule="atLeast"/>
                <w:jc w:val="center"/>
              </w:trPr>
              <w:tc>
                <w:tcPr>
                  <w:tcW w:w="221" w:type="pct"/>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9E59536">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污染源类别</w:t>
                  </w:r>
                </w:p>
              </w:tc>
              <w:tc>
                <w:tcPr>
                  <w:tcW w:w="427" w:type="pct"/>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326F42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排放口编号及名称</w:t>
                  </w:r>
                </w:p>
              </w:tc>
              <w:tc>
                <w:tcPr>
                  <w:tcW w:w="257" w:type="pct"/>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6008F3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排放方式</w:t>
                  </w:r>
                </w:p>
              </w:tc>
              <w:tc>
                <w:tcPr>
                  <w:tcW w:w="397" w:type="pct"/>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9A2387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排放去向</w:t>
                  </w:r>
                </w:p>
              </w:tc>
              <w:tc>
                <w:tcPr>
                  <w:tcW w:w="672" w:type="pct"/>
                  <w:vMerge w:val="restar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8DC0184">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排放规律</w:t>
                  </w:r>
                </w:p>
              </w:tc>
              <w:tc>
                <w:tcPr>
                  <w:tcW w:w="836" w:type="pct"/>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6B5B433">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排放口情况</w:t>
                  </w:r>
                </w:p>
              </w:tc>
              <w:tc>
                <w:tcPr>
                  <w:tcW w:w="1565" w:type="pct"/>
                  <w:gridSpan w:val="3"/>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BF011F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监测要求</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48CAFF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排放标准</w:t>
                  </w:r>
                </w:p>
              </w:tc>
            </w:tr>
            <w:tr w14:paraId="1C090052">
              <w:tblPrEx>
                <w:tblCellMar>
                  <w:top w:w="0" w:type="dxa"/>
                  <w:left w:w="108" w:type="dxa"/>
                  <w:bottom w:w="0" w:type="dxa"/>
                  <w:right w:w="108" w:type="dxa"/>
                </w:tblCellMar>
              </w:tblPrEx>
              <w:trPr>
                <w:trHeight w:val="514" w:hRule="atLeast"/>
                <w:jc w:val="center"/>
              </w:trPr>
              <w:tc>
                <w:tcPr>
                  <w:tcW w:w="221" w:type="pct"/>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895C298">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p>
              </w:tc>
              <w:tc>
                <w:tcPr>
                  <w:tcW w:w="427" w:type="pct"/>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5AF562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p>
              </w:tc>
              <w:tc>
                <w:tcPr>
                  <w:tcW w:w="257" w:type="pct"/>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35E14C6">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p>
              </w:tc>
              <w:tc>
                <w:tcPr>
                  <w:tcW w:w="397" w:type="pct"/>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4B68226">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p>
              </w:tc>
              <w:tc>
                <w:tcPr>
                  <w:tcW w:w="672" w:type="pct"/>
                  <w:vMerge w:val="continue"/>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F83594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p>
              </w:tc>
              <w:tc>
                <w:tcPr>
                  <w:tcW w:w="57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2D24698">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坐标</w:t>
                  </w:r>
                </w:p>
              </w:tc>
              <w:tc>
                <w:tcPr>
                  <w:tcW w:w="263"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4467F66">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类型</w:t>
                  </w:r>
                </w:p>
              </w:tc>
              <w:tc>
                <w:tcPr>
                  <w:tcW w:w="39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F2E0C2B">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监测点位</w:t>
                  </w:r>
                </w:p>
              </w:tc>
              <w:tc>
                <w:tcPr>
                  <w:tcW w:w="640"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F452050">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监测因子</w:t>
                  </w:r>
                </w:p>
              </w:tc>
              <w:tc>
                <w:tcPr>
                  <w:tcW w:w="52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C2F051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监测频次</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E19AF4C">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浓度限值（mg/L）</w:t>
                  </w:r>
                </w:p>
              </w:tc>
            </w:tr>
            <w:tr w14:paraId="57BE6DF8">
              <w:tblPrEx>
                <w:tblCellMar>
                  <w:top w:w="0" w:type="dxa"/>
                  <w:left w:w="108" w:type="dxa"/>
                  <w:bottom w:w="0" w:type="dxa"/>
                  <w:right w:w="108" w:type="dxa"/>
                </w:tblCellMar>
              </w:tblPrEx>
              <w:trPr>
                <w:trHeight w:val="283" w:hRule="atLeast"/>
                <w:jc w:val="center"/>
              </w:trPr>
              <w:tc>
                <w:tcPr>
                  <w:tcW w:w="221" w:type="pct"/>
                  <w:vMerge w:val="restart"/>
                  <w:tcBorders>
                    <w:top w:val="single" w:color="000000" w:sz="8" w:space="0"/>
                    <w:left w:val="single" w:color="000000" w:sz="8" w:space="0"/>
                    <w:right w:val="single" w:color="000000" w:sz="8" w:space="0"/>
                  </w:tcBorders>
                  <w:shd w:val="clear" w:color="auto" w:fill="auto"/>
                  <w:noWrap w:val="0"/>
                  <w:vAlign w:val="center"/>
                </w:tcPr>
                <w:p w14:paraId="33374D44">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废水</w:t>
                  </w:r>
                </w:p>
              </w:tc>
              <w:tc>
                <w:tcPr>
                  <w:tcW w:w="427" w:type="pct"/>
                  <w:vMerge w:val="restart"/>
                  <w:tcBorders>
                    <w:top w:val="single" w:color="000000" w:sz="8" w:space="0"/>
                    <w:left w:val="single" w:color="000000" w:sz="8" w:space="0"/>
                    <w:right w:val="single" w:color="000000" w:sz="8" w:space="0"/>
                  </w:tcBorders>
                  <w:shd w:val="clear" w:color="auto" w:fill="auto"/>
                  <w:noWrap w:val="0"/>
                  <w:vAlign w:val="center"/>
                </w:tcPr>
                <w:p w14:paraId="0962E8BE">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2"/>
                      <w:szCs w:val="22"/>
                      <w:highlight w:val="none"/>
                      <w:lang w:val="en-US" w:eastAsia="zh-CN"/>
                    </w:rPr>
                    <w:t>DW0</w:t>
                  </w:r>
                  <w:r>
                    <w:rPr>
                      <w:rFonts w:hint="default" w:ascii="Times New Roman" w:hAnsi="Times New Roman" w:eastAsia="宋体" w:cs="Times New Roman"/>
                      <w:color w:val="auto"/>
                      <w:kern w:val="0"/>
                      <w:sz w:val="22"/>
                      <w:szCs w:val="22"/>
                      <w:highlight w:val="none"/>
                    </w:rPr>
                    <w:t>01</w:t>
                  </w:r>
                </w:p>
              </w:tc>
              <w:tc>
                <w:tcPr>
                  <w:tcW w:w="257" w:type="pct"/>
                  <w:vMerge w:val="restart"/>
                  <w:tcBorders>
                    <w:top w:val="single" w:color="000000" w:sz="8" w:space="0"/>
                    <w:left w:val="single" w:color="000000" w:sz="8" w:space="0"/>
                    <w:right w:val="single" w:color="000000" w:sz="8" w:space="0"/>
                  </w:tcBorders>
                  <w:shd w:val="clear" w:color="auto" w:fill="auto"/>
                  <w:noWrap w:val="0"/>
                  <w:vAlign w:val="center"/>
                </w:tcPr>
                <w:p w14:paraId="602F1D82">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间接排放</w:t>
                  </w:r>
                </w:p>
              </w:tc>
              <w:tc>
                <w:tcPr>
                  <w:tcW w:w="397" w:type="pct"/>
                  <w:vMerge w:val="restart"/>
                  <w:tcBorders>
                    <w:top w:val="single" w:color="000000" w:sz="8" w:space="0"/>
                    <w:left w:val="single" w:color="000000" w:sz="8" w:space="0"/>
                    <w:right w:val="single" w:color="000000" w:sz="8" w:space="0"/>
                  </w:tcBorders>
                  <w:shd w:val="clear" w:color="auto" w:fill="auto"/>
                  <w:noWrap w:val="0"/>
                  <w:vAlign w:val="center"/>
                </w:tcPr>
                <w:p w14:paraId="389129DE">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eastAsia" w:cs="Times New Roman"/>
                      <w:color w:val="auto"/>
                      <w:kern w:val="0"/>
                      <w:sz w:val="21"/>
                      <w:szCs w:val="21"/>
                      <w:highlight w:val="none"/>
                      <w:lang w:val="en-US" w:eastAsia="zh-CN"/>
                    </w:rPr>
                    <w:t>新河镇污水处理厂</w:t>
                  </w:r>
                </w:p>
              </w:tc>
              <w:tc>
                <w:tcPr>
                  <w:tcW w:w="672" w:type="pct"/>
                  <w:vMerge w:val="restart"/>
                  <w:tcBorders>
                    <w:top w:val="single" w:color="000000" w:sz="8" w:space="0"/>
                    <w:left w:val="single" w:color="000000" w:sz="8" w:space="0"/>
                    <w:right w:val="single" w:color="000000" w:sz="8" w:space="0"/>
                  </w:tcBorders>
                  <w:shd w:val="clear" w:color="auto" w:fill="auto"/>
                  <w:noWrap w:val="0"/>
                  <w:vAlign w:val="center"/>
                </w:tcPr>
                <w:p w14:paraId="4B6E43F1">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间断排放，排放期间流量不稳定，但有周期性规律</w:t>
                  </w:r>
                </w:p>
              </w:tc>
              <w:tc>
                <w:tcPr>
                  <w:tcW w:w="572" w:type="pct"/>
                  <w:vMerge w:val="restart"/>
                  <w:tcBorders>
                    <w:top w:val="single" w:color="000000" w:sz="8" w:space="0"/>
                    <w:left w:val="single" w:color="000000" w:sz="8" w:space="0"/>
                    <w:right w:val="single" w:color="000000" w:sz="8" w:space="0"/>
                  </w:tcBorders>
                  <w:shd w:val="clear" w:color="auto" w:fill="auto"/>
                  <w:noWrap w:val="0"/>
                  <w:vAlign w:val="center"/>
                </w:tcPr>
                <w:p w14:paraId="49C715F8">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117.91524304</w:t>
                  </w:r>
                  <w:r>
                    <w:rPr>
                      <w:rFonts w:hint="eastAsia" w:cs="Times New Roman"/>
                      <w:color w:val="auto"/>
                      <w:kern w:val="0"/>
                      <w:sz w:val="21"/>
                      <w:szCs w:val="21"/>
                      <w:highlight w:val="none"/>
                      <w:lang w:eastAsia="zh-CN"/>
                    </w:rPr>
                    <w:t>,30.67714466</w:t>
                  </w:r>
                </w:p>
              </w:tc>
              <w:tc>
                <w:tcPr>
                  <w:tcW w:w="263" w:type="pct"/>
                  <w:vMerge w:val="restart"/>
                  <w:tcBorders>
                    <w:top w:val="single" w:color="000000" w:sz="8" w:space="0"/>
                    <w:left w:val="single" w:color="000000" w:sz="8" w:space="0"/>
                    <w:right w:val="single" w:color="000000" w:sz="8" w:space="0"/>
                  </w:tcBorders>
                  <w:shd w:val="clear" w:color="auto" w:fill="auto"/>
                  <w:noWrap w:val="0"/>
                  <w:vAlign w:val="center"/>
                </w:tcPr>
                <w:p w14:paraId="48C9A95A">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一般排放口</w:t>
                  </w:r>
                </w:p>
              </w:tc>
              <w:tc>
                <w:tcPr>
                  <w:tcW w:w="397" w:type="pct"/>
                  <w:vMerge w:val="restart"/>
                  <w:tcBorders>
                    <w:top w:val="single" w:color="000000" w:sz="8" w:space="0"/>
                    <w:left w:val="single" w:color="000000" w:sz="8" w:space="0"/>
                    <w:right w:val="single" w:color="000000" w:sz="8" w:space="0"/>
                  </w:tcBorders>
                  <w:shd w:val="clear" w:color="auto" w:fill="auto"/>
                  <w:noWrap w:val="0"/>
                  <w:vAlign w:val="center"/>
                </w:tcPr>
                <w:p w14:paraId="7AD0EE6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2"/>
                      <w:szCs w:val="22"/>
                      <w:highlight w:val="none"/>
                      <w:lang w:val="en-US" w:eastAsia="zh-CN"/>
                    </w:rPr>
                    <w:t>DW0</w:t>
                  </w:r>
                  <w:r>
                    <w:rPr>
                      <w:rFonts w:hint="default" w:ascii="Times New Roman" w:hAnsi="Times New Roman" w:eastAsia="宋体" w:cs="Times New Roman"/>
                      <w:color w:val="auto"/>
                      <w:kern w:val="0"/>
                      <w:sz w:val="22"/>
                      <w:szCs w:val="22"/>
                      <w:highlight w:val="none"/>
                    </w:rPr>
                    <w:t>01</w:t>
                  </w:r>
                </w:p>
              </w:tc>
              <w:tc>
                <w:tcPr>
                  <w:tcW w:w="640"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1174959">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化学需氧量</w:t>
                  </w:r>
                </w:p>
              </w:tc>
              <w:tc>
                <w:tcPr>
                  <w:tcW w:w="52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90D6125">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1次/</w:t>
                  </w:r>
                  <w:r>
                    <w:rPr>
                      <w:rFonts w:hint="eastAsia" w:ascii="Times New Roman" w:hAnsi="Times New Roman" w:eastAsia="宋体" w:cs="Times New Roman"/>
                      <w:color w:val="auto"/>
                      <w:kern w:val="0"/>
                      <w:sz w:val="21"/>
                      <w:szCs w:val="21"/>
                      <w:highlight w:val="none"/>
                      <w:lang w:eastAsia="zh-CN"/>
                    </w:rPr>
                    <w:t>年</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4D3C452">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350</w:t>
                  </w:r>
                </w:p>
              </w:tc>
            </w:tr>
            <w:tr w14:paraId="78F3FB87">
              <w:tblPrEx>
                <w:tblCellMar>
                  <w:top w:w="0" w:type="dxa"/>
                  <w:left w:w="108" w:type="dxa"/>
                  <w:bottom w:w="0" w:type="dxa"/>
                  <w:right w:w="108" w:type="dxa"/>
                </w:tblCellMar>
              </w:tblPrEx>
              <w:trPr>
                <w:trHeight w:val="283" w:hRule="atLeast"/>
                <w:jc w:val="center"/>
              </w:trPr>
              <w:tc>
                <w:tcPr>
                  <w:tcW w:w="221" w:type="pct"/>
                  <w:vMerge w:val="continue"/>
                  <w:tcBorders>
                    <w:left w:val="single" w:color="000000" w:sz="8" w:space="0"/>
                    <w:right w:val="single" w:color="000000" w:sz="8" w:space="0"/>
                  </w:tcBorders>
                  <w:shd w:val="clear" w:color="auto" w:fill="auto"/>
                  <w:noWrap w:val="0"/>
                  <w:vAlign w:val="center"/>
                </w:tcPr>
                <w:p w14:paraId="543A04FB">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427" w:type="pct"/>
                  <w:vMerge w:val="continue"/>
                  <w:tcBorders>
                    <w:left w:val="single" w:color="000000" w:sz="8" w:space="0"/>
                    <w:right w:val="single" w:color="000000" w:sz="8" w:space="0"/>
                  </w:tcBorders>
                  <w:shd w:val="clear" w:color="auto" w:fill="auto"/>
                  <w:noWrap w:val="0"/>
                  <w:vAlign w:val="center"/>
                </w:tcPr>
                <w:p w14:paraId="590B528A">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57" w:type="pct"/>
                  <w:vMerge w:val="continue"/>
                  <w:tcBorders>
                    <w:left w:val="single" w:color="000000" w:sz="8" w:space="0"/>
                    <w:right w:val="single" w:color="000000" w:sz="8" w:space="0"/>
                  </w:tcBorders>
                  <w:shd w:val="clear" w:color="auto" w:fill="auto"/>
                  <w:noWrap w:val="0"/>
                  <w:vAlign w:val="center"/>
                </w:tcPr>
                <w:p w14:paraId="3684BB46">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right w:val="single" w:color="000000" w:sz="8" w:space="0"/>
                  </w:tcBorders>
                  <w:shd w:val="clear" w:color="auto" w:fill="auto"/>
                  <w:noWrap w:val="0"/>
                  <w:vAlign w:val="center"/>
                </w:tcPr>
                <w:p w14:paraId="399F73E2">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72" w:type="pct"/>
                  <w:vMerge w:val="continue"/>
                  <w:tcBorders>
                    <w:left w:val="single" w:color="000000" w:sz="8" w:space="0"/>
                    <w:right w:val="single" w:color="000000" w:sz="8" w:space="0"/>
                  </w:tcBorders>
                  <w:shd w:val="clear" w:color="auto" w:fill="auto"/>
                  <w:noWrap w:val="0"/>
                  <w:vAlign w:val="center"/>
                </w:tcPr>
                <w:p w14:paraId="7FFBC86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572" w:type="pct"/>
                  <w:vMerge w:val="continue"/>
                  <w:tcBorders>
                    <w:left w:val="single" w:color="000000" w:sz="8" w:space="0"/>
                    <w:right w:val="single" w:color="000000" w:sz="8" w:space="0"/>
                  </w:tcBorders>
                  <w:shd w:val="clear" w:color="auto" w:fill="auto"/>
                  <w:noWrap w:val="0"/>
                  <w:vAlign w:val="center"/>
                </w:tcPr>
                <w:p w14:paraId="5D094A53">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63" w:type="pct"/>
                  <w:vMerge w:val="continue"/>
                  <w:tcBorders>
                    <w:left w:val="single" w:color="000000" w:sz="8" w:space="0"/>
                    <w:right w:val="single" w:color="000000" w:sz="8" w:space="0"/>
                  </w:tcBorders>
                  <w:shd w:val="clear" w:color="auto" w:fill="auto"/>
                  <w:noWrap w:val="0"/>
                  <w:vAlign w:val="center"/>
                </w:tcPr>
                <w:p w14:paraId="41C2C941">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right w:val="single" w:color="000000" w:sz="8" w:space="0"/>
                  </w:tcBorders>
                  <w:shd w:val="clear" w:color="auto" w:fill="auto"/>
                  <w:noWrap w:val="0"/>
                  <w:vAlign w:val="center"/>
                </w:tcPr>
                <w:p w14:paraId="5F2FC57F">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40"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6D67BE2">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五日生化需氧量</w:t>
                  </w:r>
                </w:p>
              </w:tc>
              <w:tc>
                <w:tcPr>
                  <w:tcW w:w="52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63C3DAE">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1次/</w:t>
                  </w:r>
                  <w:r>
                    <w:rPr>
                      <w:rFonts w:hint="eastAsia" w:ascii="Times New Roman" w:hAnsi="Times New Roman" w:eastAsia="宋体" w:cs="Times New Roman"/>
                      <w:color w:val="auto"/>
                      <w:kern w:val="0"/>
                      <w:sz w:val="21"/>
                      <w:szCs w:val="21"/>
                      <w:highlight w:val="none"/>
                      <w:lang w:eastAsia="zh-CN"/>
                    </w:rPr>
                    <w:t>年</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EB1EAD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250</w:t>
                  </w:r>
                </w:p>
              </w:tc>
            </w:tr>
            <w:tr w14:paraId="51D0035C">
              <w:tblPrEx>
                <w:tblCellMar>
                  <w:top w:w="0" w:type="dxa"/>
                  <w:left w:w="108" w:type="dxa"/>
                  <w:bottom w:w="0" w:type="dxa"/>
                  <w:right w:w="108" w:type="dxa"/>
                </w:tblCellMar>
              </w:tblPrEx>
              <w:trPr>
                <w:trHeight w:val="283" w:hRule="atLeast"/>
                <w:jc w:val="center"/>
              </w:trPr>
              <w:tc>
                <w:tcPr>
                  <w:tcW w:w="221" w:type="pct"/>
                  <w:vMerge w:val="continue"/>
                  <w:tcBorders>
                    <w:left w:val="single" w:color="000000" w:sz="8" w:space="0"/>
                    <w:right w:val="single" w:color="000000" w:sz="8" w:space="0"/>
                  </w:tcBorders>
                  <w:shd w:val="clear" w:color="auto" w:fill="auto"/>
                  <w:noWrap w:val="0"/>
                  <w:vAlign w:val="center"/>
                </w:tcPr>
                <w:p w14:paraId="17AD0261">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427" w:type="pct"/>
                  <w:vMerge w:val="continue"/>
                  <w:tcBorders>
                    <w:left w:val="single" w:color="000000" w:sz="8" w:space="0"/>
                    <w:right w:val="single" w:color="000000" w:sz="8" w:space="0"/>
                  </w:tcBorders>
                  <w:shd w:val="clear" w:color="auto" w:fill="auto"/>
                  <w:noWrap w:val="0"/>
                  <w:vAlign w:val="center"/>
                </w:tcPr>
                <w:p w14:paraId="2C10AEF0">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57" w:type="pct"/>
                  <w:vMerge w:val="continue"/>
                  <w:tcBorders>
                    <w:left w:val="single" w:color="000000" w:sz="8" w:space="0"/>
                    <w:right w:val="single" w:color="000000" w:sz="8" w:space="0"/>
                  </w:tcBorders>
                  <w:shd w:val="clear" w:color="auto" w:fill="auto"/>
                  <w:noWrap w:val="0"/>
                  <w:vAlign w:val="center"/>
                </w:tcPr>
                <w:p w14:paraId="7C88471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right w:val="single" w:color="000000" w:sz="8" w:space="0"/>
                  </w:tcBorders>
                  <w:shd w:val="clear" w:color="auto" w:fill="auto"/>
                  <w:noWrap w:val="0"/>
                  <w:vAlign w:val="center"/>
                </w:tcPr>
                <w:p w14:paraId="552EE2D2">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72" w:type="pct"/>
                  <w:vMerge w:val="continue"/>
                  <w:tcBorders>
                    <w:left w:val="single" w:color="000000" w:sz="8" w:space="0"/>
                    <w:right w:val="single" w:color="000000" w:sz="8" w:space="0"/>
                  </w:tcBorders>
                  <w:shd w:val="clear" w:color="auto" w:fill="auto"/>
                  <w:noWrap w:val="0"/>
                  <w:vAlign w:val="center"/>
                </w:tcPr>
                <w:p w14:paraId="739445DC">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572" w:type="pct"/>
                  <w:vMerge w:val="continue"/>
                  <w:tcBorders>
                    <w:left w:val="single" w:color="000000" w:sz="8" w:space="0"/>
                    <w:right w:val="single" w:color="000000" w:sz="8" w:space="0"/>
                  </w:tcBorders>
                  <w:shd w:val="clear" w:color="auto" w:fill="auto"/>
                  <w:noWrap w:val="0"/>
                  <w:vAlign w:val="center"/>
                </w:tcPr>
                <w:p w14:paraId="48DD7B0E">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63" w:type="pct"/>
                  <w:vMerge w:val="continue"/>
                  <w:tcBorders>
                    <w:left w:val="single" w:color="000000" w:sz="8" w:space="0"/>
                    <w:right w:val="single" w:color="000000" w:sz="8" w:space="0"/>
                  </w:tcBorders>
                  <w:shd w:val="clear" w:color="auto" w:fill="auto"/>
                  <w:noWrap w:val="0"/>
                  <w:vAlign w:val="center"/>
                </w:tcPr>
                <w:p w14:paraId="7DD129E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right w:val="single" w:color="000000" w:sz="8" w:space="0"/>
                  </w:tcBorders>
                  <w:shd w:val="clear" w:color="auto" w:fill="auto"/>
                  <w:noWrap w:val="0"/>
                  <w:vAlign w:val="center"/>
                </w:tcPr>
                <w:p w14:paraId="5F71205D">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40"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FE22DBB">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pH值</w:t>
                  </w:r>
                </w:p>
              </w:tc>
              <w:tc>
                <w:tcPr>
                  <w:tcW w:w="52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B0CA6D8">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1次/</w:t>
                  </w:r>
                  <w:r>
                    <w:rPr>
                      <w:rFonts w:hint="eastAsia" w:ascii="Times New Roman" w:hAnsi="Times New Roman" w:eastAsia="宋体" w:cs="Times New Roman"/>
                      <w:color w:val="auto"/>
                      <w:kern w:val="0"/>
                      <w:sz w:val="21"/>
                      <w:szCs w:val="21"/>
                      <w:highlight w:val="none"/>
                      <w:lang w:eastAsia="zh-CN"/>
                    </w:rPr>
                    <w:t>年</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2E5DDD6">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6~9</w:t>
                  </w:r>
                </w:p>
              </w:tc>
            </w:tr>
            <w:tr w14:paraId="4888F90D">
              <w:tblPrEx>
                <w:tblCellMar>
                  <w:top w:w="0" w:type="dxa"/>
                  <w:left w:w="108" w:type="dxa"/>
                  <w:bottom w:w="0" w:type="dxa"/>
                  <w:right w:w="108" w:type="dxa"/>
                </w:tblCellMar>
              </w:tblPrEx>
              <w:trPr>
                <w:trHeight w:val="283" w:hRule="atLeast"/>
                <w:jc w:val="center"/>
              </w:trPr>
              <w:tc>
                <w:tcPr>
                  <w:tcW w:w="221" w:type="pct"/>
                  <w:vMerge w:val="continue"/>
                  <w:tcBorders>
                    <w:left w:val="single" w:color="000000" w:sz="8" w:space="0"/>
                    <w:right w:val="single" w:color="000000" w:sz="8" w:space="0"/>
                  </w:tcBorders>
                  <w:shd w:val="clear" w:color="auto" w:fill="auto"/>
                  <w:noWrap w:val="0"/>
                  <w:vAlign w:val="center"/>
                </w:tcPr>
                <w:p w14:paraId="3B960D5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427" w:type="pct"/>
                  <w:vMerge w:val="continue"/>
                  <w:tcBorders>
                    <w:left w:val="single" w:color="000000" w:sz="8" w:space="0"/>
                    <w:right w:val="single" w:color="000000" w:sz="8" w:space="0"/>
                  </w:tcBorders>
                  <w:shd w:val="clear" w:color="auto" w:fill="auto"/>
                  <w:noWrap w:val="0"/>
                  <w:vAlign w:val="center"/>
                </w:tcPr>
                <w:p w14:paraId="0D940DDE">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57" w:type="pct"/>
                  <w:vMerge w:val="continue"/>
                  <w:tcBorders>
                    <w:left w:val="single" w:color="000000" w:sz="8" w:space="0"/>
                    <w:right w:val="single" w:color="000000" w:sz="8" w:space="0"/>
                  </w:tcBorders>
                  <w:shd w:val="clear" w:color="auto" w:fill="auto"/>
                  <w:noWrap w:val="0"/>
                  <w:vAlign w:val="center"/>
                </w:tcPr>
                <w:p w14:paraId="64D7A291">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right w:val="single" w:color="000000" w:sz="8" w:space="0"/>
                  </w:tcBorders>
                  <w:shd w:val="clear" w:color="auto" w:fill="auto"/>
                  <w:noWrap w:val="0"/>
                  <w:vAlign w:val="center"/>
                </w:tcPr>
                <w:p w14:paraId="2F9862BF">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72" w:type="pct"/>
                  <w:vMerge w:val="continue"/>
                  <w:tcBorders>
                    <w:left w:val="single" w:color="000000" w:sz="8" w:space="0"/>
                    <w:right w:val="single" w:color="000000" w:sz="8" w:space="0"/>
                  </w:tcBorders>
                  <w:shd w:val="clear" w:color="auto" w:fill="auto"/>
                  <w:noWrap w:val="0"/>
                  <w:vAlign w:val="center"/>
                </w:tcPr>
                <w:p w14:paraId="5FFFFED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572" w:type="pct"/>
                  <w:vMerge w:val="continue"/>
                  <w:tcBorders>
                    <w:left w:val="single" w:color="000000" w:sz="8" w:space="0"/>
                    <w:right w:val="single" w:color="000000" w:sz="8" w:space="0"/>
                  </w:tcBorders>
                  <w:shd w:val="clear" w:color="auto" w:fill="auto"/>
                  <w:noWrap w:val="0"/>
                  <w:vAlign w:val="center"/>
                </w:tcPr>
                <w:p w14:paraId="33531160">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63" w:type="pct"/>
                  <w:vMerge w:val="continue"/>
                  <w:tcBorders>
                    <w:left w:val="single" w:color="000000" w:sz="8" w:space="0"/>
                    <w:right w:val="single" w:color="000000" w:sz="8" w:space="0"/>
                  </w:tcBorders>
                  <w:shd w:val="clear" w:color="auto" w:fill="auto"/>
                  <w:noWrap w:val="0"/>
                  <w:vAlign w:val="center"/>
                </w:tcPr>
                <w:p w14:paraId="322BD273">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right w:val="single" w:color="000000" w:sz="8" w:space="0"/>
                  </w:tcBorders>
                  <w:shd w:val="clear" w:color="auto" w:fill="auto"/>
                  <w:noWrap w:val="0"/>
                  <w:vAlign w:val="center"/>
                </w:tcPr>
                <w:p w14:paraId="1ECEAC14">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40"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F3BA9C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氨氮</w:t>
                  </w:r>
                </w:p>
              </w:tc>
              <w:tc>
                <w:tcPr>
                  <w:tcW w:w="52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BA61272">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1次/年</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0B8A97B">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3</w:t>
                  </w:r>
                  <w:r>
                    <w:rPr>
                      <w:rFonts w:hint="eastAsia" w:cs="Times New Roman"/>
                      <w:color w:val="auto"/>
                      <w:kern w:val="0"/>
                      <w:sz w:val="21"/>
                      <w:szCs w:val="21"/>
                      <w:highlight w:val="none"/>
                      <w:lang w:val="en-US" w:eastAsia="zh-CN"/>
                    </w:rPr>
                    <w:t>0</w:t>
                  </w:r>
                </w:p>
              </w:tc>
            </w:tr>
            <w:tr w14:paraId="48695827">
              <w:tblPrEx>
                <w:tblCellMar>
                  <w:top w:w="0" w:type="dxa"/>
                  <w:left w:w="108" w:type="dxa"/>
                  <w:bottom w:w="0" w:type="dxa"/>
                  <w:right w:w="108" w:type="dxa"/>
                </w:tblCellMar>
              </w:tblPrEx>
              <w:trPr>
                <w:trHeight w:val="283" w:hRule="atLeast"/>
                <w:jc w:val="center"/>
              </w:trPr>
              <w:tc>
                <w:tcPr>
                  <w:tcW w:w="221" w:type="pct"/>
                  <w:vMerge w:val="continue"/>
                  <w:tcBorders>
                    <w:left w:val="single" w:color="000000" w:sz="8" w:space="0"/>
                    <w:bottom w:val="single" w:color="000000" w:sz="8" w:space="0"/>
                    <w:right w:val="single" w:color="000000" w:sz="8" w:space="0"/>
                  </w:tcBorders>
                  <w:shd w:val="clear" w:color="auto" w:fill="auto"/>
                  <w:noWrap w:val="0"/>
                  <w:vAlign w:val="center"/>
                </w:tcPr>
                <w:p w14:paraId="30CB7860">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427" w:type="pct"/>
                  <w:vMerge w:val="continue"/>
                  <w:tcBorders>
                    <w:left w:val="single" w:color="000000" w:sz="8" w:space="0"/>
                    <w:bottom w:val="single" w:color="000000" w:sz="8" w:space="0"/>
                    <w:right w:val="single" w:color="000000" w:sz="8" w:space="0"/>
                  </w:tcBorders>
                  <w:shd w:val="clear" w:color="auto" w:fill="auto"/>
                  <w:noWrap w:val="0"/>
                  <w:vAlign w:val="center"/>
                </w:tcPr>
                <w:p w14:paraId="494482F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57" w:type="pct"/>
                  <w:vMerge w:val="continue"/>
                  <w:tcBorders>
                    <w:left w:val="single" w:color="000000" w:sz="8" w:space="0"/>
                    <w:bottom w:val="single" w:color="000000" w:sz="8" w:space="0"/>
                    <w:right w:val="single" w:color="000000" w:sz="8" w:space="0"/>
                  </w:tcBorders>
                  <w:shd w:val="clear" w:color="auto" w:fill="auto"/>
                  <w:noWrap w:val="0"/>
                  <w:vAlign w:val="center"/>
                </w:tcPr>
                <w:p w14:paraId="45C3A6F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bottom w:val="single" w:color="000000" w:sz="8" w:space="0"/>
                    <w:right w:val="single" w:color="000000" w:sz="8" w:space="0"/>
                  </w:tcBorders>
                  <w:shd w:val="clear" w:color="auto" w:fill="auto"/>
                  <w:noWrap w:val="0"/>
                  <w:vAlign w:val="center"/>
                </w:tcPr>
                <w:p w14:paraId="4890DB4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72" w:type="pct"/>
                  <w:vMerge w:val="continue"/>
                  <w:tcBorders>
                    <w:left w:val="single" w:color="000000" w:sz="8" w:space="0"/>
                    <w:bottom w:val="single" w:color="000000" w:sz="8" w:space="0"/>
                    <w:right w:val="single" w:color="000000" w:sz="8" w:space="0"/>
                  </w:tcBorders>
                  <w:shd w:val="clear" w:color="auto" w:fill="auto"/>
                  <w:noWrap w:val="0"/>
                  <w:vAlign w:val="center"/>
                </w:tcPr>
                <w:p w14:paraId="2E5F12A5">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572" w:type="pct"/>
                  <w:vMerge w:val="continue"/>
                  <w:tcBorders>
                    <w:left w:val="single" w:color="000000" w:sz="8" w:space="0"/>
                    <w:bottom w:val="single" w:color="000000" w:sz="8" w:space="0"/>
                    <w:right w:val="single" w:color="000000" w:sz="8" w:space="0"/>
                  </w:tcBorders>
                  <w:shd w:val="clear" w:color="auto" w:fill="auto"/>
                  <w:noWrap w:val="0"/>
                  <w:vAlign w:val="center"/>
                </w:tcPr>
                <w:p w14:paraId="709CC3C2">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263" w:type="pct"/>
                  <w:vMerge w:val="continue"/>
                  <w:tcBorders>
                    <w:left w:val="single" w:color="000000" w:sz="8" w:space="0"/>
                    <w:bottom w:val="single" w:color="000000" w:sz="8" w:space="0"/>
                    <w:right w:val="single" w:color="000000" w:sz="8" w:space="0"/>
                  </w:tcBorders>
                  <w:shd w:val="clear" w:color="auto" w:fill="auto"/>
                  <w:noWrap w:val="0"/>
                  <w:vAlign w:val="center"/>
                </w:tcPr>
                <w:p w14:paraId="1F010D5B">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397" w:type="pct"/>
                  <w:vMerge w:val="continue"/>
                  <w:tcBorders>
                    <w:left w:val="single" w:color="000000" w:sz="8" w:space="0"/>
                    <w:bottom w:val="single" w:color="000000" w:sz="8" w:space="0"/>
                    <w:right w:val="single" w:color="000000" w:sz="8" w:space="0"/>
                  </w:tcBorders>
                  <w:shd w:val="clear" w:color="auto" w:fill="auto"/>
                  <w:noWrap w:val="0"/>
                  <w:vAlign w:val="center"/>
                </w:tcPr>
                <w:p w14:paraId="320D412C">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p>
              </w:tc>
              <w:tc>
                <w:tcPr>
                  <w:tcW w:w="640"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2A4A01D">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悬浮物</w:t>
                  </w:r>
                </w:p>
              </w:tc>
              <w:tc>
                <w:tcPr>
                  <w:tcW w:w="527"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19CCA43">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1次/年</w:t>
                  </w:r>
                </w:p>
              </w:tc>
              <w:tc>
                <w:tcPr>
                  <w:tcW w:w="622"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587B659">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200</w:t>
                  </w:r>
                </w:p>
              </w:tc>
            </w:tr>
          </w:tbl>
          <w:p w14:paraId="1E427F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highlight w:val="none"/>
                <w:lang w:val="en-US" w:eastAsia="zh-CN"/>
              </w:rPr>
            </w:pPr>
          </w:p>
        </w:tc>
      </w:tr>
    </w:tbl>
    <w:p w14:paraId="4D0D6A0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0" w:firstLineChars="200"/>
        <w:textAlignment w:val="auto"/>
        <w:rPr>
          <w:rFonts w:hint="eastAsia" w:ascii="Times New Roman" w:hAnsi="Times New Roman" w:eastAsia="宋体" w:cs="Times New Roman"/>
          <w:color w:val="FF0000"/>
          <w:sz w:val="24"/>
          <w:szCs w:val="32"/>
          <w:highlight w:val="none"/>
          <w:lang w:val="en-US" w:eastAsia="zh-CN"/>
        </w:rPr>
        <w:sectPr>
          <w:pgSz w:w="11907" w:h="16840"/>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tbl>
      <w:tblPr>
        <w:tblStyle w:val="36"/>
        <w:tblW w:w="502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72"/>
        <w:gridCol w:w="13746"/>
      </w:tblGrid>
      <w:tr w14:paraId="227C45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6" w:type="pct"/>
            <w:tcBorders>
              <w:tl2br w:val="nil"/>
              <w:tr2bl w:val="nil"/>
            </w:tcBorders>
            <w:noWrap w:val="0"/>
            <w:tcMar>
              <w:left w:w="28" w:type="dxa"/>
              <w:right w:w="28" w:type="dxa"/>
            </w:tcMar>
            <w:vAlign w:val="center"/>
          </w:tcPr>
          <w:p w14:paraId="4208E1C1">
            <w:pPr>
              <w:adjustRightInd w:val="0"/>
              <w:snapToGrid w:val="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运营期环境影响和保护措施</w:t>
            </w:r>
          </w:p>
        </w:tc>
        <w:tc>
          <w:tcPr>
            <w:tcW w:w="4833" w:type="pct"/>
            <w:tcBorders>
              <w:tl2br w:val="nil"/>
              <w:tr2bl w:val="nil"/>
            </w:tcBorders>
            <w:noWrap w:val="0"/>
            <w:vAlign w:val="center"/>
          </w:tcPr>
          <w:p w14:paraId="47946754">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3.</w:t>
            </w:r>
            <w:r>
              <w:rPr>
                <w:rFonts w:hint="eastAsia" w:ascii="Times New Roman" w:hAnsi="Times New Roman" w:eastAsia="宋体" w:cs="Times New Roman"/>
                <w:b/>
                <w:bCs/>
                <w:color w:val="auto"/>
                <w:kern w:val="2"/>
                <w:sz w:val="24"/>
                <w:szCs w:val="24"/>
                <w:lang w:val="en-US" w:eastAsia="zh-CN"/>
              </w:rPr>
              <w:t>噪声环境影响和保护措施分析</w:t>
            </w:r>
          </w:p>
          <w:p w14:paraId="4F49CC7A">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（1）噪声源强及排放分析</w:t>
            </w:r>
          </w:p>
          <w:p w14:paraId="0E6E8F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根据企业提供的资料，</w:t>
            </w:r>
            <w:r>
              <w:rPr>
                <w:rFonts w:hint="eastAsia" w:ascii="Times New Roman" w:hAnsi="Times New Roman" w:cs="Times New Roman"/>
                <w:color w:val="auto"/>
                <w:sz w:val="24"/>
                <w:szCs w:val="24"/>
                <w:highlight w:val="none"/>
                <w:lang w:val="en-US" w:eastAsia="zh-CN"/>
              </w:rPr>
              <w:t>本项目部分设备设施依托</w:t>
            </w:r>
            <w:r>
              <w:rPr>
                <w:rFonts w:hint="default" w:ascii="Times New Roman" w:hAnsi="Times New Roman" w:cs="Times New Roman"/>
                <w:color w:val="auto"/>
                <w:sz w:val="24"/>
                <w:szCs w:val="24"/>
                <w:highlight w:val="none"/>
                <w:lang w:val="en-US" w:eastAsia="zh-CN"/>
              </w:rPr>
              <w:t>企业现有项目</w:t>
            </w:r>
            <w:r>
              <w:rPr>
                <w:rFonts w:hint="eastAsia" w:ascii="Times New Roman" w:hAnsi="Times New Roman" w:cs="Times New Roman"/>
                <w:color w:val="auto"/>
                <w:sz w:val="24"/>
                <w:szCs w:val="24"/>
                <w:highlight w:val="none"/>
                <w:lang w:val="en-US" w:eastAsia="zh-CN"/>
              </w:rPr>
              <w:t>部分</w:t>
            </w:r>
            <w:r>
              <w:rPr>
                <w:rFonts w:hint="default" w:ascii="Times New Roman" w:hAnsi="Times New Roman" w:cs="Times New Roman"/>
                <w:color w:val="auto"/>
                <w:sz w:val="24"/>
                <w:szCs w:val="24"/>
                <w:highlight w:val="none"/>
                <w:lang w:val="en-US" w:eastAsia="zh-CN"/>
              </w:rPr>
              <w:t>生产设备、环保设备。</w:t>
            </w:r>
            <w:r>
              <w:rPr>
                <w:rFonts w:hint="eastAsia" w:ascii="Times New Roman" w:hAnsi="Times New Roman" w:eastAsia="宋体" w:cs="Times New Roman"/>
                <w:color w:val="auto"/>
                <w:sz w:val="24"/>
                <w:szCs w:val="24"/>
                <w:highlight w:val="none"/>
                <w:lang w:val="en-US" w:eastAsia="zh-CN"/>
              </w:rPr>
              <w:t>本项目运营期的主要新增噪声源为</w:t>
            </w:r>
            <w:r>
              <w:rPr>
                <w:rFonts w:hint="default" w:ascii="Times New Roman" w:hAnsi="Times New Roman" w:cs="Times New Roman"/>
                <w:color w:val="auto"/>
                <w:kern w:val="0"/>
                <w:sz w:val="24"/>
                <w:highlight w:val="none"/>
                <w:lang w:val="en-US" w:eastAsia="zh-CN"/>
              </w:rPr>
              <w:t>造型机</w:t>
            </w:r>
            <w:r>
              <w:rPr>
                <w:rFonts w:hint="default" w:ascii="Times New Roman" w:hAnsi="Times New Roman" w:cs="Times New Roman"/>
                <w:color w:val="auto"/>
                <w:kern w:val="0"/>
                <w:sz w:val="24"/>
                <w:highlight w:val="none"/>
              </w:rPr>
              <w:t>、</w:t>
            </w:r>
            <w:r>
              <w:rPr>
                <w:rFonts w:hint="default" w:ascii="Times New Roman" w:hAnsi="Times New Roman" w:cs="Times New Roman"/>
                <w:color w:val="auto"/>
                <w:kern w:val="0"/>
                <w:sz w:val="24"/>
                <w:highlight w:val="none"/>
                <w:lang w:val="en-US" w:eastAsia="zh-CN"/>
              </w:rPr>
              <w:t>射芯机</w:t>
            </w:r>
            <w:r>
              <w:rPr>
                <w:rFonts w:hint="default" w:ascii="Times New Roman" w:hAnsi="Times New Roman" w:cs="Times New Roman"/>
                <w:color w:val="auto"/>
                <w:kern w:val="0"/>
                <w:sz w:val="24"/>
                <w:highlight w:val="none"/>
              </w:rPr>
              <w:t>、</w:t>
            </w:r>
            <w:r>
              <w:rPr>
                <w:rFonts w:hint="default" w:ascii="Times New Roman" w:hAnsi="Times New Roman" w:cs="Times New Roman"/>
                <w:color w:val="auto"/>
                <w:kern w:val="0"/>
                <w:sz w:val="24"/>
                <w:highlight w:val="none"/>
                <w:lang w:val="en-US" w:eastAsia="zh-CN"/>
              </w:rPr>
              <w:t>抛丸机</w:t>
            </w:r>
            <w:r>
              <w:rPr>
                <w:rFonts w:hint="default" w:ascii="Times New Roman" w:hAnsi="Times New Roman" w:cs="Times New Roman"/>
                <w:color w:val="auto"/>
                <w:kern w:val="0"/>
                <w:sz w:val="24"/>
                <w:highlight w:val="none"/>
              </w:rPr>
              <w:t>、行车等，噪声源强在</w:t>
            </w:r>
            <w:r>
              <w:rPr>
                <w:rFonts w:hint="default" w:ascii="Times New Roman" w:hAnsi="Times New Roman" w:cs="Times New Roman"/>
                <w:color w:val="auto"/>
                <w:kern w:val="0"/>
                <w:sz w:val="24"/>
                <w:highlight w:val="none"/>
                <w:lang w:val="en-US" w:eastAsia="zh-CN"/>
              </w:rPr>
              <w:t>70</w:t>
            </w:r>
            <w:r>
              <w:rPr>
                <w:rFonts w:hint="default" w:ascii="Times New Roman" w:hAnsi="Times New Roman" w:cs="Times New Roman"/>
                <w:color w:val="auto"/>
                <w:kern w:val="0"/>
                <w:sz w:val="24"/>
                <w:highlight w:val="none"/>
              </w:rPr>
              <w:t>~</w:t>
            </w:r>
            <w:r>
              <w:rPr>
                <w:rFonts w:hint="default" w:ascii="Times New Roman" w:hAnsi="Times New Roman" w:cs="Times New Roman"/>
                <w:color w:val="auto"/>
                <w:kern w:val="0"/>
                <w:sz w:val="24"/>
                <w:highlight w:val="none"/>
                <w:lang w:val="en-US" w:eastAsia="zh-CN"/>
              </w:rPr>
              <w:t>90</w:t>
            </w:r>
            <w:r>
              <w:rPr>
                <w:rFonts w:hint="default" w:ascii="Times New Roman" w:hAnsi="Times New Roman" w:cs="Times New Roman"/>
                <w:color w:val="auto"/>
                <w:kern w:val="0"/>
                <w:sz w:val="24"/>
                <w:highlight w:val="none"/>
              </w:rPr>
              <w:t>dB（A）</w:t>
            </w:r>
            <w:r>
              <w:rPr>
                <w:rFonts w:hint="eastAsia" w:ascii="Times New Roman" w:hAnsi="Times New Roman" w:eastAsia="宋体" w:cs="Times New Roman"/>
                <w:color w:val="auto"/>
                <w:sz w:val="24"/>
                <w:szCs w:val="24"/>
                <w:highlight w:val="none"/>
                <w:lang w:val="en-US" w:eastAsia="zh-CN"/>
              </w:rPr>
              <w:t>。在选用设备时，应优先选用低噪声的设备，并对高噪声设备进行隔声、消声、基础减振等措施；建设单位应严格管理，减少夜间生产的频次。项目运行期主要噪声源及源强见下表。</w:t>
            </w:r>
          </w:p>
          <w:p w14:paraId="3CCDE679">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w:t>
            </w:r>
            <w:r>
              <w:rPr>
                <w:rFonts w:hint="default" w:ascii="Times New Roman" w:hAnsi="Times New Roman" w:eastAsia="宋体"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12  工业企业噪声源强调查清单（室内声源）</w:t>
            </w: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51"/>
              <w:gridCol w:w="774"/>
              <w:gridCol w:w="1918"/>
              <w:gridCol w:w="1396"/>
              <w:gridCol w:w="482"/>
              <w:gridCol w:w="963"/>
              <w:gridCol w:w="701"/>
              <w:gridCol w:w="630"/>
              <w:gridCol w:w="693"/>
              <w:gridCol w:w="655"/>
              <w:gridCol w:w="598"/>
              <w:gridCol w:w="612"/>
              <w:gridCol w:w="693"/>
              <w:gridCol w:w="733"/>
              <w:gridCol w:w="603"/>
              <w:gridCol w:w="961"/>
              <w:gridCol w:w="752"/>
            </w:tblGrid>
            <w:tr w14:paraId="5CA38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vMerge w:val="restart"/>
                  <w:tcBorders>
                    <w:tl2br w:val="nil"/>
                    <w:tr2bl w:val="nil"/>
                  </w:tcBorders>
                  <w:noWrap w:val="0"/>
                  <w:vAlign w:val="center"/>
                </w:tcPr>
                <w:p w14:paraId="273A7EAC">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286" w:type="pct"/>
                  <w:vMerge w:val="restart"/>
                  <w:tcBorders>
                    <w:tl2br w:val="nil"/>
                    <w:tr2bl w:val="nil"/>
                  </w:tcBorders>
                  <w:noWrap w:val="0"/>
                  <w:vAlign w:val="center"/>
                </w:tcPr>
                <w:p w14:paraId="710BF678">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2"/>
                      <w:sz w:val="21"/>
                      <w:szCs w:val="21"/>
                      <w:highlight w:val="none"/>
                    </w:rPr>
                    <w:t>建筑物名</w:t>
                  </w:r>
                  <w:r>
                    <w:rPr>
                      <w:rFonts w:hint="default" w:ascii="Times New Roman" w:hAnsi="Times New Roman" w:eastAsia="宋体" w:cs="Times New Roman"/>
                      <w:b/>
                      <w:bCs/>
                      <w:color w:val="auto"/>
                      <w:sz w:val="21"/>
                      <w:szCs w:val="21"/>
                      <w:highlight w:val="none"/>
                    </w:rPr>
                    <w:t>称</w:t>
                  </w:r>
                </w:p>
              </w:tc>
              <w:tc>
                <w:tcPr>
                  <w:tcW w:w="709" w:type="pct"/>
                  <w:vMerge w:val="restart"/>
                  <w:tcBorders>
                    <w:tl2br w:val="nil"/>
                    <w:tr2bl w:val="nil"/>
                  </w:tcBorders>
                  <w:noWrap w:val="0"/>
                  <w:vAlign w:val="center"/>
                </w:tcPr>
                <w:p w14:paraId="746E08D4">
                  <w:pPr>
                    <w:pStyle w:val="102"/>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1"/>
                      <w:sz w:val="21"/>
                      <w:szCs w:val="21"/>
                      <w:highlight w:val="none"/>
                    </w:rPr>
                    <w:t>声源名</w:t>
                  </w:r>
                  <w:r>
                    <w:rPr>
                      <w:rFonts w:hint="default" w:ascii="Times New Roman" w:hAnsi="Times New Roman" w:eastAsia="宋体" w:cs="Times New Roman"/>
                      <w:b/>
                      <w:bCs/>
                      <w:color w:val="auto"/>
                      <w:sz w:val="21"/>
                      <w:szCs w:val="21"/>
                      <w:highlight w:val="none"/>
                    </w:rPr>
                    <w:t>称</w:t>
                  </w:r>
                </w:p>
              </w:tc>
              <w:tc>
                <w:tcPr>
                  <w:tcW w:w="516" w:type="pct"/>
                  <w:vMerge w:val="restart"/>
                  <w:tcBorders>
                    <w:tl2br w:val="nil"/>
                    <w:tr2bl w:val="nil"/>
                  </w:tcBorders>
                  <w:noWrap w:val="0"/>
                  <w:vAlign w:val="center"/>
                </w:tcPr>
                <w:p w14:paraId="2EF9E6C6">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型号</w:t>
                  </w:r>
                </w:p>
              </w:tc>
              <w:tc>
                <w:tcPr>
                  <w:tcW w:w="178" w:type="pct"/>
                  <w:vMerge w:val="restart"/>
                  <w:tcBorders>
                    <w:tl2br w:val="nil"/>
                    <w:tr2bl w:val="nil"/>
                  </w:tcBorders>
                  <w:noWrap w:val="0"/>
                  <w:vAlign w:val="center"/>
                </w:tcPr>
                <w:p w14:paraId="1C5343B5">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数量/台</w:t>
                  </w:r>
                </w:p>
              </w:tc>
              <w:tc>
                <w:tcPr>
                  <w:tcW w:w="356" w:type="pct"/>
                  <w:vMerge w:val="restart"/>
                  <w:tcBorders>
                    <w:tl2br w:val="nil"/>
                    <w:tr2bl w:val="nil"/>
                  </w:tcBorders>
                  <w:noWrap w:val="0"/>
                  <w:vAlign w:val="center"/>
                </w:tcPr>
                <w:p w14:paraId="2AE6D436">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1"/>
                      <w:sz w:val="21"/>
                      <w:szCs w:val="21"/>
                      <w:highlight w:val="none"/>
                    </w:rPr>
                    <w:t>声</w:t>
                  </w:r>
                  <w:r>
                    <w:rPr>
                      <w:rFonts w:hint="eastAsia" w:eastAsia="宋体" w:cs="Times New Roman"/>
                      <w:b/>
                      <w:bCs/>
                      <w:color w:val="auto"/>
                      <w:spacing w:val="-1"/>
                      <w:sz w:val="21"/>
                      <w:szCs w:val="21"/>
                      <w:highlight w:val="none"/>
                      <w:lang w:val="en-US" w:eastAsia="zh-CN"/>
                    </w:rPr>
                    <w:t>压</w:t>
                  </w:r>
                  <w:r>
                    <w:rPr>
                      <w:rFonts w:hint="default" w:ascii="Times New Roman" w:hAnsi="Times New Roman" w:eastAsia="宋体" w:cs="Times New Roman"/>
                      <w:b/>
                      <w:bCs/>
                      <w:color w:val="auto"/>
                      <w:spacing w:val="-1"/>
                      <w:sz w:val="21"/>
                      <w:szCs w:val="21"/>
                      <w:highlight w:val="none"/>
                    </w:rPr>
                    <w:t>级/dB</w:t>
                  </w:r>
                  <w:r>
                    <w:rPr>
                      <w:rFonts w:hint="default" w:ascii="Times New Roman" w:hAnsi="Times New Roman" w:eastAsia="宋体" w:cs="Times New Roman"/>
                      <w:b/>
                      <w:bCs/>
                      <w:color w:val="auto"/>
                      <w:sz w:val="21"/>
                      <w:szCs w:val="21"/>
                      <w:highlight w:val="none"/>
                    </w:rPr>
                    <w:t>（A）</w:t>
                  </w:r>
                </w:p>
              </w:tc>
              <w:tc>
                <w:tcPr>
                  <w:tcW w:w="259" w:type="pct"/>
                  <w:vMerge w:val="restart"/>
                  <w:tcBorders>
                    <w:tl2br w:val="nil"/>
                    <w:tr2bl w:val="nil"/>
                  </w:tcBorders>
                  <w:noWrap w:val="0"/>
                  <w:vAlign w:val="center"/>
                </w:tcPr>
                <w:p w14:paraId="0BC42E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1"/>
                      <w:sz w:val="21"/>
                      <w:szCs w:val="21"/>
                      <w:highlight w:val="none"/>
                    </w:rPr>
                    <w:t>声源控制</w:t>
                  </w:r>
                  <w:r>
                    <w:rPr>
                      <w:rFonts w:hint="default" w:ascii="Times New Roman" w:hAnsi="Times New Roman" w:eastAsia="宋体" w:cs="Times New Roman"/>
                      <w:b/>
                      <w:bCs/>
                      <w:color w:val="auto"/>
                      <w:sz w:val="21"/>
                      <w:szCs w:val="21"/>
                      <w:highlight w:val="none"/>
                    </w:rPr>
                    <w:t>措施</w:t>
                  </w:r>
                </w:p>
              </w:tc>
              <w:tc>
                <w:tcPr>
                  <w:tcW w:w="731" w:type="pct"/>
                  <w:gridSpan w:val="3"/>
                  <w:tcBorders>
                    <w:tl2br w:val="nil"/>
                    <w:tr2bl w:val="nil"/>
                  </w:tcBorders>
                  <w:noWrap w:val="0"/>
                  <w:vAlign w:val="center"/>
                </w:tcPr>
                <w:p w14:paraId="527F9C23">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空间相对位置/m</w:t>
                  </w:r>
                </w:p>
              </w:tc>
              <w:tc>
                <w:tcPr>
                  <w:tcW w:w="974" w:type="pct"/>
                  <w:gridSpan w:val="4"/>
                  <w:tcBorders>
                    <w:tl2br w:val="nil"/>
                    <w:tr2bl w:val="nil"/>
                  </w:tcBorders>
                  <w:noWrap w:val="0"/>
                  <w:vAlign w:val="center"/>
                </w:tcPr>
                <w:p w14:paraId="5BB4C852">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1"/>
                      <w:sz w:val="21"/>
                      <w:szCs w:val="21"/>
                      <w:highlight w:val="none"/>
                    </w:rPr>
                    <w:t>距室内边界距</w:t>
                  </w:r>
                  <w:r>
                    <w:rPr>
                      <w:rFonts w:hint="default" w:ascii="Times New Roman" w:hAnsi="Times New Roman" w:eastAsia="宋体" w:cs="Times New Roman"/>
                      <w:b/>
                      <w:bCs/>
                      <w:color w:val="auto"/>
                      <w:sz w:val="21"/>
                      <w:szCs w:val="21"/>
                      <w:highlight w:val="none"/>
                    </w:rPr>
                    <w:t>离/m</w:t>
                  </w:r>
                </w:p>
              </w:tc>
              <w:tc>
                <w:tcPr>
                  <w:tcW w:w="223" w:type="pct"/>
                  <w:vMerge w:val="restart"/>
                  <w:tcBorders>
                    <w:tl2br w:val="nil"/>
                    <w:tr2bl w:val="nil"/>
                  </w:tcBorders>
                  <w:noWrap w:val="0"/>
                  <w:vAlign w:val="center"/>
                </w:tcPr>
                <w:p w14:paraId="483F31C8">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2"/>
                      <w:sz w:val="21"/>
                      <w:szCs w:val="21"/>
                      <w:highlight w:val="none"/>
                    </w:rPr>
                    <w:t>运行时段</w:t>
                  </w:r>
                </w:p>
              </w:tc>
              <w:tc>
                <w:tcPr>
                  <w:tcW w:w="355" w:type="pct"/>
                  <w:vMerge w:val="restart"/>
                  <w:tcBorders>
                    <w:tl2br w:val="nil"/>
                    <w:tr2bl w:val="nil"/>
                  </w:tcBorders>
                  <w:noWrap w:val="0"/>
                  <w:vAlign w:val="center"/>
                </w:tcPr>
                <w:p w14:paraId="239B2837">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建筑物插入</w:t>
                  </w:r>
                  <w:r>
                    <w:rPr>
                      <w:rFonts w:hint="default" w:ascii="Times New Roman" w:hAnsi="Times New Roman" w:eastAsia="宋体" w:cs="Times New Roman"/>
                      <w:b/>
                      <w:bCs/>
                      <w:color w:val="auto"/>
                      <w:spacing w:val="-8"/>
                      <w:sz w:val="21"/>
                      <w:szCs w:val="21"/>
                      <w:highlight w:val="none"/>
                    </w:rPr>
                    <w:t>损失</w:t>
                  </w:r>
                  <w:r>
                    <w:rPr>
                      <w:rFonts w:hint="default" w:ascii="Times New Roman" w:hAnsi="Times New Roman" w:eastAsia="宋体" w:cs="Times New Roman"/>
                      <w:b/>
                      <w:bCs/>
                      <w:color w:val="auto"/>
                      <w:spacing w:val="-7"/>
                      <w:sz w:val="21"/>
                      <w:szCs w:val="21"/>
                      <w:highlight w:val="none"/>
                    </w:rPr>
                    <w:t>/dB（A）</w:t>
                  </w:r>
                </w:p>
              </w:tc>
              <w:tc>
                <w:tcPr>
                  <w:tcW w:w="278" w:type="pct"/>
                  <w:vMerge w:val="restart"/>
                  <w:tcBorders>
                    <w:tl2br w:val="nil"/>
                    <w:tr2bl w:val="nil"/>
                  </w:tcBorders>
                  <w:noWrap w:val="0"/>
                  <w:vAlign w:val="center"/>
                </w:tcPr>
                <w:p w14:paraId="2D55F4E1">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1"/>
                      <w:sz w:val="21"/>
                      <w:szCs w:val="21"/>
                      <w:highlight w:val="none"/>
                    </w:rPr>
                    <w:t>建筑物外距离</w:t>
                  </w:r>
                  <w:r>
                    <w:rPr>
                      <w:rFonts w:hint="default" w:ascii="Times New Roman" w:hAnsi="Times New Roman" w:eastAsia="宋体" w:cs="Times New Roman"/>
                      <w:b/>
                      <w:bCs/>
                      <w:color w:val="auto"/>
                      <w:sz w:val="21"/>
                      <w:szCs w:val="21"/>
                      <w:highlight w:val="none"/>
                    </w:rPr>
                    <w:t>/m</w:t>
                  </w:r>
                </w:p>
              </w:tc>
            </w:tr>
            <w:tr w14:paraId="28796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 w:hRule="atLeast"/>
                <w:jc w:val="center"/>
              </w:trPr>
              <w:tc>
                <w:tcPr>
                  <w:tcW w:w="130" w:type="pct"/>
                  <w:vMerge w:val="continue"/>
                  <w:tcBorders>
                    <w:tl2br w:val="nil"/>
                    <w:tr2bl w:val="nil"/>
                  </w:tcBorders>
                  <w:noWrap w:val="0"/>
                  <w:vAlign w:val="center"/>
                </w:tcPr>
                <w:p w14:paraId="17C5E8FC">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286" w:type="pct"/>
                  <w:vMerge w:val="continue"/>
                  <w:tcBorders>
                    <w:tl2br w:val="nil"/>
                    <w:tr2bl w:val="nil"/>
                  </w:tcBorders>
                  <w:noWrap w:val="0"/>
                  <w:vAlign w:val="center"/>
                </w:tcPr>
                <w:p w14:paraId="34EC71AB">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709" w:type="pct"/>
                  <w:vMerge w:val="continue"/>
                  <w:tcBorders>
                    <w:tl2br w:val="nil"/>
                    <w:tr2bl w:val="nil"/>
                  </w:tcBorders>
                  <w:noWrap w:val="0"/>
                  <w:vAlign w:val="center"/>
                </w:tcPr>
                <w:p w14:paraId="31FA8D8A">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516" w:type="pct"/>
                  <w:vMerge w:val="continue"/>
                  <w:tcBorders>
                    <w:tl2br w:val="nil"/>
                    <w:tr2bl w:val="nil"/>
                  </w:tcBorders>
                  <w:noWrap w:val="0"/>
                  <w:vAlign w:val="center"/>
                </w:tcPr>
                <w:p w14:paraId="1F17BBAB">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178" w:type="pct"/>
                  <w:vMerge w:val="continue"/>
                  <w:tcBorders>
                    <w:tl2br w:val="nil"/>
                    <w:tr2bl w:val="nil"/>
                  </w:tcBorders>
                  <w:noWrap w:val="0"/>
                  <w:vAlign w:val="center"/>
                </w:tcPr>
                <w:p w14:paraId="5A11C365">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356" w:type="pct"/>
                  <w:vMerge w:val="continue"/>
                  <w:tcBorders>
                    <w:tl2br w:val="nil"/>
                    <w:tr2bl w:val="nil"/>
                  </w:tcBorders>
                  <w:noWrap w:val="0"/>
                  <w:vAlign w:val="center"/>
                </w:tcPr>
                <w:p w14:paraId="22B1CDA3">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259" w:type="pct"/>
                  <w:vMerge w:val="continue"/>
                  <w:tcBorders>
                    <w:tl2br w:val="nil"/>
                    <w:tr2bl w:val="nil"/>
                  </w:tcBorders>
                  <w:noWrap w:val="0"/>
                  <w:vAlign w:val="center"/>
                </w:tcPr>
                <w:p w14:paraId="47E96590">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233" w:type="pct"/>
                  <w:tcBorders>
                    <w:tl2br w:val="nil"/>
                    <w:tr2bl w:val="nil"/>
                  </w:tcBorders>
                  <w:noWrap w:val="0"/>
                  <w:vAlign w:val="center"/>
                </w:tcPr>
                <w:p w14:paraId="36EAA522">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X</w:t>
                  </w:r>
                </w:p>
              </w:tc>
              <w:tc>
                <w:tcPr>
                  <w:tcW w:w="256" w:type="pct"/>
                  <w:tcBorders>
                    <w:tl2br w:val="nil"/>
                    <w:tr2bl w:val="nil"/>
                  </w:tcBorders>
                  <w:noWrap w:val="0"/>
                  <w:vAlign w:val="center"/>
                </w:tcPr>
                <w:p w14:paraId="62E06C1C">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Y</w:t>
                  </w:r>
                </w:p>
              </w:tc>
              <w:tc>
                <w:tcPr>
                  <w:tcW w:w="242" w:type="pct"/>
                  <w:tcBorders>
                    <w:tl2br w:val="nil"/>
                    <w:tr2bl w:val="nil"/>
                  </w:tcBorders>
                  <w:noWrap w:val="0"/>
                  <w:vAlign w:val="center"/>
                </w:tcPr>
                <w:p w14:paraId="18918535">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Z</w:t>
                  </w:r>
                </w:p>
              </w:tc>
              <w:tc>
                <w:tcPr>
                  <w:tcW w:w="221" w:type="pct"/>
                  <w:tcBorders>
                    <w:tl2br w:val="nil"/>
                    <w:tr2bl w:val="nil"/>
                  </w:tcBorders>
                  <w:noWrap w:val="0"/>
                  <w:vAlign w:val="center"/>
                </w:tcPr>
                <w:p w14:paraId="6D53AE73">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东</w:t>
                  </w:r>
                </w:p>
              </w:tc>
              <w:tc>
                <w:tcPr>
                  <w:tcW w:w="226" w:type="pct"/>
                  <w:tcBorders>
                    <w:tl2br w:val="nil"/>
                    <w:tr2bl w:val="nil"/>
                  </w:tcBorders>
                  <w:noWrap w:val="0"/>
                  <w:vAlign w:val="center"/>
                </w:tcPr>
                <w:p w14:paraId="38ABDEC2">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南</w:t>
                  </w:r>
                </w:p>
              </w:tc>
              <w:tc>
                <w:tcPr>
                  <w:tcW w:w="256" w:type="pct"/>
                  <w:tcBorders>
                    <w:tl2br w:val="nil"/>
                    <w:tr2bl w:val="nil"/>
                  </w:tcBorders>
                  <w:noWrap w:val="0"/>
                  <w:vAlign w:val="center"/>
                </w:tcPr>
                <w:p w14:paraId="03C69279">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西</w:t>
                  </w:r>
                </w:p>
              </w:tc>
              <w:tc>
                <w:tcPr>
                  <w:tcW w:w="270" w:type="pct"/>
                  <w:tcBorders>
                    <w:tl2br w:val="nil"/>
                    <w:tr2bl w:val="nil"/>
                  </w:tcBorders>
                  <w:noWrap w:val="0"/>
                  <w:vAlign w:val="center"/>
                </w:tcPr>
                <w:p w14:paraId="00C4103F">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北</w:t>
                  </w:r>
                </w:p>
              </w:tc>
              <w:tc>
                <w:tcPr>
                  <w:tcW w:w="223" w:type="pct"/>
                  <w:vMerge w:val="continue"/>
                  <w:tcBorders>
                    <w:tl2br w:val="nil"/>
                    <w:tr2bl w:val="nil"/>
                  </w:tcBorders>
                  <w:noWrap w:val="0"/>
                  <w:vAlign w:val="center"/>
                </w:tcPr>
                <w:p w14:paraId="6C24EBD0">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355" w:type="pct"/>
                  <w:vMerge w:val="continue"/>
                  <w:tcBorders>
                    <w:tl2br w:val="nil"/>
                    <w:tr2bl w:val="nil"/>
                  </w:tcBorders>
                  <w:noWrap w:val="0"/>
                  <w:vAlign w:val="center"/>
                </w:tcPr>
                <w:p w14:paraId="5B253F4B">
                  <w:pPr>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c>
                <w:tcPr>
                  <w:tcW w:w="278" w:type="pct"/>
                  <w:vMerge w:val="continue"/>
                  <w:tcBorders>
                    <w:tl2br w:val="nil"/>
                    <w:tr2bl w:val="nil"/>
                  </w:tcBorders>
                  <w:noWrap w:val="0"/>
                  <w:vAlign w:val="center"/>
                </w:tcPr>
                <w:p w14:paraId="6B802E1D">
                  <w:pPr>
                    <w:pStyle w:val="102"/>
                    <w:keepNext w:val="0"/>
                    <w:keepLines w:val="0"/>
                    <w:pageBreakBefore w:val="0"/>
                    <w:widowControl w:val="0"/>
                    <w:kinsoku/>
                    <w:wordWrap/>
                    <w:overflowPunct/>
                    <w:topLinePunct w:val="0"/>
                    <w:bidi w:val="0"/>
                    <w:adjustRightInd/>
                    <w:snapToGrid/>
                    <w:spacing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rPr>
                  </w:pPr>
                </w:p>
              </w:tc>
            </w:tr>
            <w:tr w14:paraId="4B2FD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7819F3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286" w:type="pct"/>
                  <w:vMerge w:val="restart"/>
                  <w:noWrap w:val="0"/>
                  <w:vAlign w:val="center"/>
                </w:tcPr>
                <w:p w14:paraId="0894C8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1号厂房</w:t>
                  </w:r>
                </w:p>
              </w:tc>
              <w:tc>
                <w:tcPr>
                  <w:tcW w:w="709" w:type="pct"/>
                  <w:noWrap w:val="0"/>
                  <w:vAlign w:val="center"/>
                </w:tcPr>
                <w:p w14:paraId="461D7E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自动造型机</w:t>
                  </w:r>
                </w:p>
              </w:tc>
              <w:tc>
                <w:tcPr>
                  <w:tcW w:w="516" w:type="pct"/>
                  <w:noWrap w:val="0"/>
                  <w:vAlign w:val="center"/>
                </w:tcPr>
                <w:p w14:paraId="765B7B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510×610</w:t>
                  </w:r>
                </w:p>
              </w:tc>
              <w:tc>
                <w:tcPr>
                  <w:tcW w:w="178" w:type="pct"/>
                  <w:noWrap w:val="0"/>
                  <w:vAlign w:val="center"/>
                </w:tcPr>
                <w:p w14:paraId="215684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356" w:type="pct"/>
                  <w:noWrap w:val="0"/>
                  <w:vAlign w:val="center"/>
                </w:tcPr>
                <w:p w14:paraId="771725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vMerge w:val="restart"/>
                  <w:noWrap w:val="0"/>
                  <w:vAlign w:val="center"/>
                </w:tcPr>
                <w:p w14:paraId="04EC5C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选用低噪声设备、隔声、减振</w:t>
                  </w:r>
                </w:p>
              </w:tc>
              <w:tc>
                <w:tcPr>
                  <w:tcW w:w="233" w:type="pct"/>
                  <w:noWrap w:val="0"/>
                  <w:vAlign w:val="center"/>
                </w:tcPr>
                <w:p w14:paraId="1E150B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w:t>
                  </w:r>
                </w:p>
              </w:tc>
              <w:tc>
                <w:tcPr>
                  <w:tcW w:w="256" w:type="pct"/>
                  <w:noWrap w:val="0"/>
                  <w:vAlign w:val="center"/>
                </w:tcPr>
                <w:p w14:paraId="742E43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4</w:t>
                  </w:r>
                  <w:r>
                    <w:rPr>
                      <w:rFonts w:hint="default" w:ascii="Times New Roman" w:hAnsi="Times New Roman" w:eastAsia="宋体" w:cs="Times New Roman"/>
                      <w:color w:val="auto"/>
                      <w:kern w:val="2"/>
                      <w:sz w:val="21"/>
                      <w:szCs w:val="21"/>
                      <w:highlight w:val="none"/>
                      <w:lang w:val="en-US" w:eastAsia="zh-CN" w:bidi="ar-SA"/>
                    </w:rPr>
                    <w:t>0</w:t>
                  </w:r>
                </w:p>
              </w:tc>
              <w:tc>
                <w:tcPr>
                  <w:tcW w:w="242" w:type="pct"/>
                  <w:noWrap w:val="0"/>
                  <w:vAlign w:val="center"/>
                </w:tcPr>
                <w:p w14:paraId="6ACB30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7079EF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w:t>
                  </w:r>
                </w:p>
              </w:tc>
              <w:tc>
                <w:tcPr>
                  <w:tcW w:w="226" w:type="pct"/>
                  <w:noWrap w:val="0"/>
                  <w:vAlign w:val="center"/>
                </w:tcPr>
                <w:p w14:paraId="097757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4</w:t>
                  </w:r>
                  <w:r>
                    <w:rPr>
                      <w:rFonts w:hint="default" w:ascii="Times New Roman" w:hAnsi="Times New Roman" w:eastAsia="宋体" w:cs="Times New Roman"/>
                      <w:color w:val="auto"/>
                      <w:kern w:val="2"/>
                      <w:sz w:val="21"/>
                      <w:szCs w:val="21"/>
                      <w:highlight w:val="none"/>
                      <w:lang w:val="en-US" w:eastAsia="zh-CN" w:bidi="ar-SA"/>
                    </w:rPr>
                    <w:t>0</w:t>
                  </w:r>
                </w:p>
              </w:tc>
              <w:tc>
                <w:tcPr>
                  <w:tcW w:w="256" w:type="pct"/>
                  <w:noWrap w:val="0"/>
                  <w:vAlign w:val="center"/>
                </w:tcPr>
                <w:p w14:paraId="049A98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270" w:type="pct"/>
                  <w:noWrap w:val="0"/>
                  <w:vAlign w:val="center"/>
                </w:tcPr>
                <w:p w14:paraId="0424E5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w:t>
                  </w:r>
                  <w:r>
                    <w:rPr>
                      <w:rFonts w:hint="default" w:ascii="Times New Roman" w:hAnsi="Times New Roman" w:eastAsia="宋体" w:cs="Times New Roman"/>
                      <w:color w:val="auto"/>
                      <w:kern w:val="2"/>
                      <w:sz w:val="21"/>
                      <w:szCs w:val="21"/>
                      <w:highlight w:val="none"/>
                      <w:lang w:val="en-US" w:eastAsia="zh-CN" w:bidi="ar-SA"/>
                    </w:rPr>
                    <w:t>5-1</w:t>
                  </w:r>
                  <w:r>
                    <w:rPr>
                      <w:rFonts w:hint="eastAsia" w:ascii="Times New Roman" w:hAnsi="Times New Roman" w:eastAsia="宋体" w:cs="Times New Roman"/>
                      <w:color w:val="auto"/>
                      <w:kern w:val="2"/>
                      <w:sz w:val="21"/>
                      <w:szCs w:val="21"/>
                      <w:highlight w:val="none"/>
                      <w:lang w:val="en-US" w:eastAsia="zh-CN" w:bidi="ar-SA"/>
                    </w:rPr>
                    <w:t>0</w:t>
                  </w:r>
                  <w:r>
                    <w:rPr>
                      <w:rFonts w:hint="default" w:ascii="Times New Roman" w:hAnsi="Times New Roman" w:eastAsia="宋体" w:cs="Times New Roman"/>
                      <w:color w:val="auto"/>
                      <w:kern w:val="2"/>
                      <w:sz w:val="21"/>
                      <w:szCs w:val="21"/>
                      <w:highlight w:val="none"/>
                      <w:lang w:val="en-US" w:eastAsia="zh-CN" w:bidi="ar-SA"/>
                    </w:rPr>
                    <w:t>3</w:t>
                  </w:r>
                </w:p>
              </w:tc>
              <w:tc>
                <w:tcPr>
                  <w:tcW w:w="223" w:type="pct"/>
                  <w:vMerge w:val="restart"/>
                  <w:noWrap w:val="0"/>
                  <w:vAlign w:val="center"/>
                </w:tcPr>
                <w:p w14:paraId="02C76E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昼夜间</w:t>
                  </w:r>
                </w:p>
              </w:tc>
              <w:tc>
                <w:tcPr>
                  <w:tcW w:w="355" w:type="pct"/>
                  <w:vMerge w:val="restart"/>
                  <w:noWrap w:val="0"/>
                  <w:vAlign w:val="center"/>
                </w:tcPr>
                <w:p w14:paraId="613C2A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278" w:type="pct"/>
                  <w:vMerge w:val="restart"/>
                  <w:noWrap w:val="0"/>
                  <w:vAlign w:val="center"/>
                </w:tcPr>
                <w:p w14:paraId="5B2316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r>
            <w:tr w14:paraId="070AC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764AA9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w:t>
                  </w:r>
                </w:p>
              </w:tc>
              <w:tc>
                <w:tcPr>
                  <w:tcW w:w="286" w:type="pct"/>
                  <w:vMerge w:val="continue"/>
                  <w:noWrap w:val="0"/>
                  <w:vAlign w:val="center"/>
                </w:tcPr>
                <w:p w14:paraId="3A30F4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709" w:type="pct"/>
                  <w:noWrap w:val="0"/>
                  <w:vAlign w:val="center"/>
                </w:tcPr>
                <w:p w14:paraId="347D7D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电动双梁行车</w:t>
                  </w:r>
                </w:p>
              </w:tc>
              <w:tc>
                <w:tcPr>
                  <w:tcW w:w="516" w:type="pct"/>
                  <w:noWrap w:val="0"/>
                  <w:vAlign w:val="center"/>
                </w:tcPr>
                <w:p w14:paraId="01BDD3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河南重工3T</w:t>
                  </w:r>
                </w:p>
              </w:tc>
              <w:tc>
                <w:tcPr>
                  <w:tcW w:w="178" w:type="pct"/>
                  <w:noWrap w:val="0"/>
                  <w:vAlign w:val="center"/>
                </w:tcPr>
                <w:p w14:paraId="511114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w:t>
                  </w:r>
                </w:p>
              </w:tc>
              <w:tc>
                <w:tcPr>
                  <w:tcW w:w="356" w:type="pct"/>
                  <w:noWrap w:val="0"/>
                  <w:vAlign w:val="center"/>
                </w:tcPr>
                <w:p w14:paraId="7F4277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vMerge w:val="continue"/>
                  <w:noWrap w:val="0"/>
                  <w:vAlign w:val="center"/>
                </w:tcPr>
                <w:p w14:paraId="1B90A2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278D31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w:t>
                  </w:r>
                </w:p>
              </w:tc>
              <w:tc>
                <w:tcPr>
                  <w:tcW w:w="256" w:type="pct"/>
                  <w:noWrap w:val="0"/>
                  <w:vAlign w:val="center"/>
                </w:tcPr>
                <w:p w14:paraId="4D490B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40-70</w:t>
                  </w:r>
                </w:p>
              </w:tc>
              <w:tc>
                <w:tcPr>
                  <w:tcW w:w="242" w:type="pct"/>
                  <w:noWrap w:val="0"/>
                  <w:vAlign w:val="center"/>
                </w:tcPr>
                <w:p w14:paraId="53900F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1CF029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40-70</w:t>
                  </w:r>
                </w:p>
              </w:tc>
              <w:tc>
                <w:tcPr>
                  <w:tcW w:w="226" w:type="pct"/>
                  <w:noWrap w:val="0"/>
                  <w:vAlign w:val="center"/>
                </w:tcPr>
                <w:p w14:paraId="626FA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w:t>
                  </w:r>
                </w:p>
              </w:tc>
              <w:tc>
                <w:tcPr>
                  <w:tcW w:w="256" w:type="pct"/>
                  <w:noWrap w:val="0"/>
                  <w:vAlign w:val="center"/>
                </w:tcPr>
                <w:p w14:paraId="049461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40-70</w:t>
                  </w:r>
                </w:p>
              </w:tc>
              <w:tc>
                <w:tcPr>
                  <w:tcW w:w="270" w:type="pct"/>
                  <w:noWrap w:val="0"/>
                  <w:vAlign w:val="center"/>
                </w:tcPr>
                <w:p w14:paraId="763CF8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w:t>
                  </w:r>
                </w:p>
              </w:tc>
              <w:tc>
                <w:tcPr>
                  <w:tcW w:w="223" w:type="pct"/>
                  <w:vMerge w:val="continue"/>
                  <w:noWrap w:val="0"/>
                  <w:vAlign w:val="center"/>
                </w:tcPr>
                <w:p w14:paraId="04EF20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15D594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5AD37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r>
            <w:tr w14:paraId="60254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01A3A0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w:t>
                  </w:r>
                </w:p>
              </w:tc>
              <w:tc>
                <w:tcPr>
                  <w:tcW w:w="286" w:type="pct"/>
                  <w:vMerge w:val="continue"/>
                  <w:noWrap w:val="0"/>
                  <w:vAlign w:val="center"/>
                </w:tcPr>
                <w:p w14:paraId="469B87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709" w:type="pct"/>
                  <w:noWrap w:val="0"/>
                  <w:vAlign w:val="center"/>
                </w:tcPr>
                <w:p w14:paraId="295688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电动双梁行车</w:t>
                  </w:r>
                </w:p>
              </w:tc>
              <w:tc>
                <w:tcPr>
                  <w:tcW w:w="516" w:type="pct"/>
                  <w:noWrap w:val="0"/>
                  <w:vAlign w:val="center"/>
                </w:tcPr>
                <w:p w14:paraId="3B69A3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河南重工2T</w:t>
                  </w:r>
                </w:p>
              </w:tc>
              <w:tc>
                <w:tcPr>
                  <w:tcW w:w="178" w:type="pct"/>
                  <w:noWrap w:val="0"/>
                  <w:vAlign w:val="center"/>
                </w:tcPr>
                <w:p w14:paraId="694FAF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w:t>
                  </w:r>
                </w:p>
              </w:tc>
              <w:tc>
                <w:tcPr>
                  <w:tcW w:w="356" w:type="pct"/>
                  <w:noWrap w:val="0"/>
                  <w:vAlign w:val="center"/>
                </w:tcPr>
                <w:p w14:paraId="1298EB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vMerge w:val="continue"/>
                  <w:noWrap w:val="0"/>
                  <w:vAlign w:val="center"/>
                </w:tcPr>
                <w:p w14:paraId="76E37E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4E671E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w:t>
                  </w:r>
                </w:p>
              </w:tc>
              <w:tc>
                <w:tcPr>
                  <w:tcW w:w="256" w:type="pct"/>
                  <w:noWrap w:val="0"/>
                  <w:vAlign w:val="center"/>
                </w:tcPr>
                <w:p w14:paraId="498AFB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70-110</w:t>
                  </w:r>
                </w:p>
              </w:tc>
              <w:tc>
                <w:tcPr>
                  <w:tcW w:w="242" w:type="pct"/>
                  <w:noWrap w:val="0"/>
                  <w:vAlign w:val="center"/>
                </w:tcPr>
                <w:p w14:paraId="1E5E0A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3E46A0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70-110</w:t>
                  </w:r>
                </w:p>
              </w:tc>
              <w:tc>
                <w:tcPr>
                  <w:tcW w:w="226" w:type="pct"/>
                  <w:noWrap w:val="0"/>
                  <w:vAlign w:val="center"/>
                </w:tcPr>
                <w:p w14:paraId="256E7E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w:t>
                  </w:r>
                </w:p>
              </w:tc>
              <w:tc>
                <w:tcPr>
                  <w:tcW w:w="256" w:type="pct"/>
                  <w:noWrap w:val="0"/>
                  <w:vAlign w:val="center"/>
                </w:tcPr>
                <w:p w14:paraId="5C8092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270" w:type="pct"/>
                  <w:noWrap w:val="0"/>
                  <w:vAlign w:val="center"/>
                </w:tcPr>
                <w:p w14:paraId="319494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0-40</w:t>
                  </w:r>
                </w:p>
              </w:tc>
              <w:tc>
                <w:tcPr>
                  <w:tcW w:w="223" w:type="pct"/>
                  <w:vMerge w:val="continue"/>
                  <w:noWrap w:val="0"/>
                  <w:vAlign w:val="center"/>
                </w:tcPr>
                <w:p w14:paraId="38A26C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63B106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36CF74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r>
            <w:tr w14:paraId="2ECD0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453166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w:t>
                  </w:r>
                </w:p>
              </w:tc>
              <w:tc>
                <w:tcPr>
                  <w:tcW w:w="286" w:type="pct"/>
                  <w:vMerge w:val="continue"/>
                  <w:noWrap w:val="0"/>
                  <w:vAlign w:val="center"/>
                </w:tcPr>
                <w:p w14:paraId="03A5F1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709" w:type="pct"/>
                  <w:noWrap w:val="0"/>
                  <w:vAlign w:val="center"/>
                </w:tcPr>
                <w:p w14:paraId="43A120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水平射芯机</w:t>
                  </w:r>
                </w:p>
              </w:tc>
              <w:tc>
                <w:tcPr>
                  <w:tcW w:w="516" w:type="pct"/>
                  <w:noWrap w:val="0"/>
                  <w:vAlign w:val="center"/>
                </w:tcPr>
                <w:p w14:paraId="3E72B5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78" w:type="pct"/>
                  <w:noWrap w:val="0"/>
                  <w:vAlign w:val="center"/>
                </w:tcPr>
                <w:p w14:paraId="113F64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w:t>
                  </w:r>
                </w:p>
              </w:tc>
              <w:tc>
                <w:tcPr>
                  <w:tcW w:w="356" w:type="pct"/>
                  <w:noWrap w:val="0"/>
                  <w:vAlign w:val="center"/>
                </w:tcPr>
                <w:p w14:paraId="65B166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70~80</w:t>
                  </w:r>
                </w:p>
              </w:tc>
              <w:tc>
                <w:tcPr>
                  <w:tcW w:w="259" w:type="pct"/>
                  <w:vMerge w:val="continue"/>
                  <w:noWrap w:val="0"/>
                  <w:vAlign w:val="center"/>
                </w:tcPr>
                <w:p w14:paraId="0E848A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175880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56" w:type="pct"/>
                  <w:noWrap w:val="0"/>
                  <w:vAlign w:val="center"/>
                </w:tcPr>
                <w:p w14:paraId="1893F9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w:t>
                  </w:r>
                  <w:r>
                    <w:rPr>
                      <w:rFonts w:hint="eastAsia" w:ascii="Times New Roman" w:hAnsi="Times New Roman" w:eastAsia="宋体" w:cs="Times New Roman"/>
                      <w:color w:val="auto"/>
                      <w:kern w:val="2"/>
                      <w:sz w:val="21"/>
                      <w:szCs w:val="21"/>
                      <w:highlight w:val="none"/>
                      <w:lang w:val="en-US" w:eastAsia="zh-CN" w:bidi="ar-SA"/>
                    </w:rPr>
                    <w:t>3</w:t>
                  </w:r>
                </w:p>
              </w:tc>
              <w:tc>
                <w:tcPr>
                  <w:tcW w:w="242" w:type="pct"/>
                  <w:noWrap w:val="0"/>
                  <w:vAlign w:val="center"/>
                </w:tcPr>
                <w:p w14:paraId="43D322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08BBFC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26" w:type="pct"/>
                  <w:noWrap w:val="0"/>
                  <w:vAlign w:val="center"/>
                </w:tcPr>
                <w:p w14:paraId="4EDED5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w:t>
                  </w:r>
                  <w:r>
                    <w:rPr>
                      <w:rFonts w:hint="eastAsia" w:ascii="Times New Roman" w:hAnsi="Times New Roman" w:eastAsia="宋体" w:cs="Times New Roman"/>
                      <w:color w:val="auto"/>
                      <w:kern w:val="2"/>
                      <w:sz w:val="21"/>
                      <w:szCs w:val="21"/>
                      <w:highlight w:val="none"/>
                      <w:lang w:val="en-US" w:eastAsia="zh-CN" w:bidi="ar-SA"/>
                    </w:rPr>
                    <w:t>3</w:t>
                  </w:r>
                </w:p>
              </w:tc>
              <w:tc>
                <w:tcPr>
                  <w:tcW w:w="256" w:type="pct"/>
                  <w:noWrap w:val="0"/>
                  <w:vAlign w:val="center"/>
                </w:tcPr>
                <w:p w14:paraId="53DE9E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25</w:t>
                  </w:r>
                </w:p>
              </w:tc>
              <w:tc>
                <w:tcPr>
                  <w:tcW w:w="270" w:type="pct"/>
                  <w:noWrap w:val="0"/>
                  <w:vAlign w:val="center"/>
                </w:tcPr>
                <w:p w14:paraId="17E193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37</w:t>
                  </w:r>
                </w:p>
              </w:tc>
              <w:tc>
                <w:tcPr>
                  <w:tcW w:w="223" w:type="pct"/>
                  <w:vMerge w:val="continue"/>
                  <w:noWrap w:val="0"/>
                  <w:vAlign w:val="center"/>
                </w:tcPr>
                <w:p w14:paraId="4D1478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146E1A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4F70BF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r>
            <w:tr w14:paraId="3168B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3953F5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86" w:type="pct"/>
                  <w:vMerge w:val="continue"/>
                  <w:noWrap w:val="0"/>
                  <w:vAlign w:val="center"/>
                </w:tcPr>
                <w:p w14:paraId="506866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709" w:type="pct"/>
                  <w:noWrap w:val="0"/>
                  <w:vAlign w:val="center"/>
                </w:tcPr>
                <w:p w14:paraId="160825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垂直射芯机</w:t>
                  </w:r>
                </w:p>
              </w:tc>
              <w:tc>
                <w:tcPr>
                  <w:tcW w:w="516" w:type="pct"/>
                  <w:noWrap w:val="0"/>
                  <w:vAlign w:val="center"/>
                </w:tcPr>
                <w:p w14:paraId="212959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78" w:type="pct"/>
                  <w:noWrap w:val="0"/>
                  <w:vAlign w:val="center"/>
                </w:tcPr>
                <w:p w14:paraId="1D8C8D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w:t>
                  </w:r>
                </w:p>
              </w:tc>
              <w:tc>
                <w:tcPr>
                  <w:tcW w:w="356" w:type="pct"/>
                  <w:noWrap w:val="0"/>
                  <w:vAlign w:val="center"/>
                </w:tcPr>
                <w:p w14:paraId="03453E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70~80</w:t>
                  </w:r>
                </w:p>
              </w:tc>
              <w:tc>
                <w:tcPr>
                  <w:tcW w:w="259" w:type="pct"/>
                  <w:vMerge w:val="continue"/>
                  <w:noWrap w:val="0"/>
                  <w:vAlign w:val="center"/>
                </w:tcPr>
                <w:p w14:paraId="6F6186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1D831E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56" w:type="pct"/>
                  <w:noWrap w:val="0"/>
                  <w:vAlign w:val="center"/>
                </w:tcPr>
                <w:p w14:paraId="3BC74B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w:t>
                  </w:r>
                  <w:r>
                    <w:rPr>
                      <w:rFonts w:hint="eastAsia" w:ascii="Times New Roman" w:hAnsi="Times New Roman" w:eastAsia="宋体" w:cs="Times New Roman"/>
                      <w:color w:val="auto"/>
                      <w:kern w:val="2"/>
                      <w:sz w:val="21"/>
                      <w:szCs w:val="21"/>
                      <w:highlight w:val="none"/>
                      <w:lang w:val="en-US" w:eastAsia="zh-CN" w:bidi="ar-SA"/>
                    </w:rPr>
                    <w:t>3</w:t>
                  </w:r>
                </w:p>
              </w:tc>
              <w:tc>
                <w:tcPr>
                  <w:tcW w:w="242" w:type="pct"/>
                  <w:noWrap w:val="0"/>
                  <w:vAlign w:val="center"/>
                </w:tcPr>
                <w:p w14:paraId="05D6A8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636BE2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26" w:type="pct"/>
                  <w:noWrap w:val="0"/>
                  <w:vAlign w:val="center"/>
                </w:tcPr>
                <w:p w14:paraId="1335C2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w:t>
                  </w:r>
                  <w:r>
                    <w:rPr>
                      <w:rFonts w:hint="eastAsia" w:ascii="Times New Roman" w:hAnsi="Times New Roman" w:eastAsia="宋体" w:cs="Times New Roman"/>
                      <w:color w:val="auto"/>
                      <w:kern w:val="2"/>
                      <w:sz w:val="21"/>
                      <w:szCs w:val="21"/>
                      <w:highlight w:val="none"/>
                      <w:lang w:val="en-US" w:eastAsia="zh-CN" w:bidi="ar-SA"/>
                    </w:rPr>
                    <w:t>3</w:t>
                  </w:r>
                </w:p>
              </w:tc>
              <w:tc>
                <w:tcPr>
                  <w:tcW w:w="256" w:type="pct"/>
                  <w:noWrap w:val="0"/>
                  <w:vAlign w:val="center"/>
                </w:tcPr>
                <w:p w14:paraId="727F6F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25</w:t>
                  </w:r>
                </w:p>
              </w:tc>
              <w:tc>
                <w:tcPr>
                  <w:tcW w:w="270" w:type="pct"/>
                  <w:noWrap w:val="0"/>
                  <w:vAlign w:val="center"/>
                </w:tcPr>
                <w:p w14:paraId="2ECF77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27</w:t>
                  </w:r>
                </w:p>
              </w:tc>
              <w:tc>
                <w:tcPr>
                  <w:tcW w:w="223" w:type="pct"/>
                  <w:vMerge w:val="continue"/>
                  <w:noWrap w:val="0"/>
                  <w:vAlign w:val="center"/>
                </w:tcPr>
                <w:p w14:paraId="7F0166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60F28A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75AA28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r>
            <w:tr w14:paraId="0E768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49BA41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86" w:type="pct"/>
                  <w:vMerge w:val="continue"/>
                  <w:noWrap w:val="0"/>
                  <w:vAlign w:val="center"/>
                </w:tcPr>
                <w:p w14:paraId="34CA9A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noWrap w:val="0"/>
                  <w:vAlign w:val="center"/>
                </w:tcPr>
                <w:p w14:paraId="1BD34E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碾砂机</w:t>
                  </w:r>
                </w:p>
              </w:tc>
              <w:tc>
                <w:tcPr>
                  <w:tcW w:w="516" w:type="pct"/>
                  <w:noWrap w:val="0"/>
                  <w:vAlign w:val="center"/>
                </w:tcPr>
                <w:p w14:paraId="40D4B4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S558/</w:t>
                  </w:r>
                  <w:r>
                    <w:rPr>
                      <w:rFonts w:hint="eastAsia" w:ascii="Times New Roman" w:hAnsi="Times New Roman" w:eastAsia="宋体" w:cs="Times New Roman"/>
                      <w:color w:val="auto"/>
                      <w:kern w:val="2"/>
                      <w:sz w:val="21"/>
                      <w:szCs w:val="21"/>
                      <w:highlight w:val="none"/>
                      <w:lang w:val="en-US" w:eastAsia="zh-CN" w:bidi="ar-SA"/>
                    </w:rPr>
                    <w:t>国产</w:t>
                  </w:r>
                </w:p>
              </w:tc>
              <w:tc>
                <w:tcPr>
                  <w:tcW w:w="178" w:type="pct"/>
                  <w:noWrap w:val="0"/>
                  <w:vAlign w:val="center"/>
                </w:tcPr>
                <w:p w14:paraId="49C078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356" w:type="pct"/>
                  <w:noWrap w:val="0"/>
                  <w:vAlign w:val="center"/>
                </w:tcPr>
                <w:p w14:paraId="73CE01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80~90</w:t>
                  </w:r>
                </w:p>
              </w:tc>
              <w:tc>
                <w:tcPr>
                  <w:tcW w:w="259" w:type="pct"/>
                  <w:vMerge w:val="continue"/>
                  <w:noWrap w:val="0"/>
                  <w:vAlign w:val="center"/>
                </w:tcPr>
                <w:p w14:paraId="7E3A75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403C30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256" w:type="pct"/>
                  <w:noWrap w:val="0"/>
                  <w:vAlign w:val="center"/>
                </w:tcPr>
                <w:p w14:paraId="2D1106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90</w:t>
                  </w:r>
                </w:p>
              </w:tc>
              <w:tc>
                <w:tcPr>
                  <w:tcW w:w="242" w:type="pct"/>
                  <w:noWrap w:val="0"/>
                  <w:vAlign w:val="center"/>
                </w:tcPr>
                <w:p w14:paraId="6434B0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6BB4D7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226" w:type="pct"/>
                  <w:noWrap w:val="0"/>
                  <w:vAlign w:val="center"/>
                </w:tcPr>
                <w:p w14:paraId="59F235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90</w:t>
                  </w:r>
                </w:p>
              </w:tc>
              <w:tc>
                <w:tcPr>
                  <w:tcW w:w="256" w:type="pct"/>
                  <w:noWrap w:val="0"/>
                  <w:vAlign w:val="center"/>
                </w:tcPr>
                <w:p w14:paraId="7BA82E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70" w:type="pct"/>
                  <w:noWrap w:val="0"/>
                  <w:vAlign w:val="center"/>
                </w:tcPr>
                <w:p w14:paraId="3BD5DF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23" w:type="pct"/>
                  <w:vMerge w:val="continue"/>
                  <w:noWrap w:val="0"/>
                  <w:vAlign w:val="center"/>
                </w:tcPr>
                <w:p w14:paraId="606D5A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4CD115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60F06B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583E5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1602B2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11</w:t>
                  </w:r>
                </w:p>
              </w:tc>
              <w:tc>
                <w:tcPr>
                  <w:tcW w:w="286" w:type="pct"/>
                  <w:vMerge w:val="continue"/>
                  <w:noWrap w:val="0"/>
                  <w:vAlign w:val="center"/>
                </w:tcPr>
                <w:p w14:paraId="43A9E6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shd w:val="clear" w:color="auto" w:fill="auto"/>
                  <w:noWrap w:val="0"/>
                  <w:vAlign w:val="center"/>
                </w:tcPr>
                <w:p w14:paraId="74ABC0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型砂搅拌机</w:t>
                  </w:r>
                </w:p>
              </w:tc>
              <w:tc>
                <w:tcPr>
                  <w:tcW w:w="516" w:type="pct"/>
                  <w:shd w:val="clear" w:color="auto" w:fill="auto"/>
                  <w:noWrap w:val="0"/>
                  <w:vAlign w:val="center"/>
                </w:tcPr>
                <w:p w14:paraId="7E33A2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1t/h/</w:t>
                  </w:r>
                  <w:r>
                    <w:rPr>
                      <w:rFonts w:hint="eastAsia" w:ascii="Times New Roman" w:hAnsi="Times New Roman" w:eastAsia="宋体" w:cs="Times New Roman"/>
                      <w:color w:val="auto"/>
                      <w:kern w:val="2"/>
                      <w:sz w:val="21"/>
                      <w:szCs w:val="21"/>
                      <w:highlight w:val="none"/>
                      <w:lang w:val="en-US" w:eastAsia="zh-CN" w:bidi="ar-SA"/>
                    </w:rPr>
                    <w:t>国产</w:t>
                  </w:r>
                </w:p>
              </w:tc>
              <w:tc>
                <w:tcPr>
                  <w:tcW w:w="178" w:type="pct"/>
                  <w:shd w:val="clear" w:color="auto" w:fill="auto"/>
                  <w:noWrap w:val="0"/>
                  <w:vAlign w:val="center"/>
                </w:tcPr>
                <w:p w14:paraId="4206C8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356" w:type="pct"/>
                  <w:shd w:val="clear" w:color="auto" w:fill="auto"/>
                  <w:noWrap w:val="0"/>
                  <w:vAlign w:val="center"/>
                </w:tcPr>
                <w:p w14:paraId="30C5B7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70~80</w:t>
                  </w:r>
                </w:p>
              </w:tc>
              <w:tc>
                <w:tcPr>
                  <w:tcW w:w="259" w:type="pct"/>
                  <w:vMerge w:val="continue"/>
                  <w:shd w:val="clear" w:color="auto" w:fill="auto"/>
                  <w:noWrap w:val="0"/>
                  <w:vAlign w:val="center"/>
                </w:tcPr>
                <w:p w14:paraId="73354C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shd w:val="clear" w:color="auto" w:fill="auto"/>
                  <w:noWrap w:val="0"/>
                  <w:vAlign w:val="center"/>
                </w:tcPr>
                <w:p w14:paraId="459A64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56" w:type="pct"/>
                  <w:shd w:val="clear" w:color="auto" w:fill="auto"/>
                  <w:noWrap w:val="0"/>
                  <w:vAlign w:val="center"/>
                </w:tcPr>
                <w:p w14:paraId="711DE6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42" w:type="pct"/>
                  <w:shd w:val="clear" w:color="auto" w:fill="auto"/>
                  <w:noWrap w:val="0"/>
                  <w:vAlign w:val="center"/>
                </w:tcPr>
                <w:p w14:paraId="4ABA53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shd w:val="clear" w:color="auto" w:fill="auto"/>
                  <w:noWrap w:val="0"/>
                  <w:vAlign w:val="center"/>
                </w:tcPr>
                <w:p w14:paraId="323627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26" w:type="pct"/>
                  <w:shd w:val="clear" w:color="auto" w:fill="auto"/>
                  <w:noWrap w:val="0"/>
                  <w:vAlign w:val="center"/>
                </w:tcPr>
                <w:p w14:paraId="1A0DA7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56" w:type="pct"/>
                  <w:shd w:val="clear" w:color="auto" w:fill="auto"/>
                  <w:noWrap w:val="0"/>
                  <w:vAlign w:val="center"/>
                </w:tcPr>
                <w:p w14:paraId="6CF6AD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27</w:t>
                  </w:r>
                </w:p>
              </w:tc>
              <w:tc>
                <w:tcPr>
                  <w:tcW w:w="270" w:type="pct"/>
                  <w:shd w:val="clear" w:color="auto" w:fill="auto"/>
                  <w:noWrap w:val="0"/>
                  <w:vAlign w:val="center"/>
                </w:tcPr>
                <w:p w14:paraId="591CBD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107</w:t>
                  </w:r>
                </w:p>
              </w:tc>
              <w:tc>
                <w:tcPr>
                  <w:tcW w:w="223" w:type="pct"/>
                  <w:vMerge w:val="continue"/>
                  <w:noWrap w:val="0"/>
                  <w:vAlign w:val="center"/>
                </w:tcPr>
                <w:p w14:paraId="0CD557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24E1A1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55C733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08B28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69F352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12</w:t>
                  </w:r>
                </w:p>
              </w:tc>
              <w:tc>
                <w:tcPr>
                  <w:tcW w:w="286" w:type="pct"/>
                  <w:vMerge w:val="continue"/>
                  <w:noWrap w:val="0"/>
                  <w:vAlign w:val="center"/>
                </w:tcPr>
                <w:p w14:paraId="6FB2D3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shd w:val="clear" w:color="auto" w:fill="auto"/>
                  <w:noWrap w:val="0"/>
                  <w:vAlign w:val="center"/>
                </w:tcPr>
                <w:p w14:paraId="53F556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手提式磨光机</w:t>
                  </w:r>
                </w:p>
              </w:tc>
              <w:tc>
                <w:tcPr>
                  <w:tcW w:w="516" w:type="pct"/>
                  <w:shd w:val="clear" w:color="auto" w:fill="auto"/>
                  <w:noWrap w:val="0"/>
                  <w:vAlign w:val="center"/>
                </w:tcPr>
                <w:p w14:paraId="4C7D81E5">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78" w:type="pct"/>
                  <w:shd w:val="clear" w:color="auto" w:fill="auto"/>
                  <w:noWrap w:val="0"/>
                  <w:vAlign w:val="center"/>
                </w:tcPr>
                <w:p w14:paraId="4AD71F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6" w:type="pct"/>
                  <w:shd w:val="clear" w:color="auto" w:fill="auto"/>
                  <w:noWrap w:val="0"/>
                  <w:vAlign w:val="center"/>
                </w:tcPr>
                <w:p w14:paraId="32EC13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9" w:type="pct"/>
                  <w:vMerge w:val="continue"/>
                  <w:noWrap w:val="0"/>
                  <w:vAlign w:val="center"/>
                </w:tcPr>
                <w:p w14:paraId="030D57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shd w:val="clear" w:color="auto" w:fill="auto"/>
                  <w:noWrap w:val="0"/>
                  <w:vAlign w:val="center"/>
                </w:tcPr>
                <w:p w14:paraId="632091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shd w:val="clear" w:color="auto" w:fill="auto"/>
                  <w:noWrap w:val="0"/>
                  <w:vAlign w:val="center"/>
                </w:tcPr>
                <w:p w14:paraId="07CB02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42" w:type="pct"/>
                  <w:shd w:val="clear" w:color="auto" w:fill="auto"/>
                  <w:noWrap w:val="0"/>
                  <w:vAlign w:val="center"/>
                </w:tcPr>
                <w:p w14:paraId="17E6B9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1" w:type="pct"/>
                  <w:shd w:val="clear" w:color="auto" w:fill="auto"/>
                  <w:noWrap w:val="0"/>
                  <w:vAlign w:val="center"/>
                </w:tcPr>
                <w:p w14:paraId="37CBF2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6" w:type="pct"/>
                  <w:shd w:val="clear" w:color="auto" w:fill="auto"/>
                  <w:noWrap w:val="0"/>
                  <w:vAlign w:val="center"/>
                </w:tcPr>
                <w:p w14:paraId="5545AB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shd w:val="clear" w:color="auto" w:fill="auto"/>
                  <w:noWrap w:val="0"/>
                  <w:vAlign w:val="center"/>
                </w:tcPr>
                <w:p w14:paraId="5728D9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0" w:type="pct"/>
                  <w:shd w:val="clear" w:color="auto" w:fill="auto"/>
                  <w:noWrap w:val="0"/>
                  <w:vAlign w:val="center"/>
                </w:tcPr>
                <w:p w14:paraId="484620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3" w:type="pct"/>
                  <w:vMerge w:val="continue"/>
                  <w:noWrap w:val="0"/>
                  <w:vAlign w:val="center"/>
                </w:tcPr>
                <w:p w14:paraId="4485BC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0447BD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321A46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3E00F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0CF427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13</w:t>
                  </w:r>
                </w:p>
              </w:tc>
              <w:tc>
                <w:tcPr>
                  <w:tcW w:w="286" w:type="pct"/>
                  <w:vMerge w:val="continue"/>
                  <w:noWrap w:val="0"/>
                  <w:vAlign w:val="center"/>
                </w:tcPr>
                <w:p w14:paraId="0C636B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shd w:val="clear" w:color="auto" w:fill="auto"/>
                  <w:noWrap w:val="0"/>
                  <w:vAlign w:val="center"/>
                </w:tcPr>
                <w:p w14:paraId="509F56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它试驱动砂轮机</w:t>
                  </w:r>
                </w:p>
              </w:tc>
              <w:tc>
                <w:tcPr>
                  <w:tcW w:w="516" w:type="pct"/>
                  <w:shd w:val="clear" w:color="auto" w:fill="auto"/>
                  <w:noWrap w:val="0"/>
                  <w:vAlign w:val="center"/>
                </w:tcPr>
                <w:p w14:paraId="31A48D72">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78" w:type="pct"/>
                  <w:shd w:val="clear" w:color="auto" w:fill="auto"/>
                  <w:noWrap w:val="0"/>
                  <w:vAlign w:val="center"/>
                </w:tcPr>
                <w:p w14:paraId="2610F0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6" w:type="pct"/>
                  <w:shd w:val="clear" w:color="auto" w:fill="auto"/>
                  <w:noWrap w:val="0"/>
                  <w:vAlign w:val="center"/>
                </w:tcPr>
                <w:p w14:paraId="7FB046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9" w:type="pct"/>
                  <w:vMerge w:val="continue"/>
                  <w:noWrap w:val="0"/>
                  <w:vAlign w:val="center"/>
                </w:tcPr>
                <w:p w14:paraId="75F20C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shd w:val="clear" w:color="auto" w:fill="auto"/>
                  <w:noWrap w:val="0"/>
                  <w:vAlign w:val="center"/>
                </w:tcPr>
                <w:p w14:paraId="137075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shd w:val="clear" w:color="auto" w:fill="auto"/>
                  <w:noWrap w:val="0"/>
                  <w:vAlign w:val="center"/>
                </w:tcPr>
                <w:p w14:paraId="5F60F6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42" w:type="pct"/>
                  <w:shd w:val="clear" w:color="auto" w:fill="auto"/>
                  <w:noWrap w:val="0"/>
                  <w:vAlign w:val="center"/>
                </w:tcPr>
                <w:p w14:paraId="73C049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1" w:type="pct"/>
                  <w:shd w:val="clear" w:color="auto" w:fill="auto"/>
                  <w:noWrap w:val="0"/>
                  <w:vAlign w:val="center"/>
                </w:tcPr>
                <w:p w14:paraId="428D8A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6" w:type="pct"/>
                  <w:shd w:val="clear" w:color="auto" w:fill="auto"/>
                  <w:noWrap w:val="0"/>
                  <w:vAlign w:val="center"/>
                </w:tcPr>
                <w:p w14:paraId="064CB8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shd w:val="clear" w:color="auto" w:fill="auto"/>
                  <w:noWrap w:val="0"/>
                  <w:vAlign w:val="center"/>
                </w:tcPr>
                <w:p w14:paraId="281820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0" w:type="pct"/>
                  <w:shd w:val="clear" w:color="auto" w:fill="auto"/>
                  <w:noWrap w:val="0"/>
                  <w:vAlign w:val="center"/>
                </w:tcPr>
                <w:p w14:paraId="39895E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3" w:type="pct"/>
                  <w:vMerge w:val="continue"/>
                  <w:noWrap w:val="0"/>
                  <w:vAlign w:val="center"/>
                </w:tcPr>
                <w:p w14:paraId="6C1184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28CC33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26CDA8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49210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154123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14</w:t>
                  </w:r>
                </w:p>
              </w:tc>
              <w:tc>
                <w:tcPr>
                  <w:tcW w:w="286" w:type="pct"/>
                  <w:vMerge w:val="continue"/>
                  <w:noWrap w:val="0"/>
                  <w:vAlign w:val="center"/>
                </w:tcPr>
                <w:p w14:paraId="148029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shd w:val="clear" w:color="auto" w:fill="auto"/>
                  <w:noWrap w:val="0"/>
                  <w:vAlign w:val="center"/>
                </w:tcPr>
                <w:p w14:paraId="29C793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抛丸机</w:t>
                  </w:r>
                </w:p>
              </w:tc>
              <w:tc>
                <w:tcPr>
                  <w:tcW w:w="516" w:type="pct"/>
                  <w:shd w:val="clear" w:color="auto" w:fill="auto"/>
                  <w:noWrap w:val="0"/>
                  <w:vAlign w:val="center"/>
                </w:tcPr>
                <w:p w14:paraId="537C35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378立式</w:t>
                  </w:r>
                </w:p>
              </w:tc>
              <w:tc>
                <w:tcPr>
                  <w:tcW w:w="178" w:type="pct"/>
                  <w:shd w:val="clear" w:color="auto" w:fill="auto"/>
                  <w:noWrap w:val="0"/>
                  <w:vAlign w:val="center"/>
                </w:tcPr>
                <w:p w14:paraId="450315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356" w:type="pct"/>
                  <w:shd w:val="clear" w:color="auto" w:fill="auto"/>
                  <w:noWrap w:val="0"/>
                  <w:vAlign w:val="center"/>
                </w:tcPr>
                <w:p w14:paraId="212A6C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80~90</w:t>
                  </w:r>
                </w:p>
              </w:tc>
              <w:tc>
                <w:tcPr>
                  <w:tcW w:w="259" w:type="pct"/>
                  <w:vMerge w:val="continue"/>
                  <w:noWrap w:val="0"/>
                  <w:vAlign w:val="center"/>
                </w:tcPr>
                <w:p w14:paraId="4575F8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shd w:val="clear" w:color="auto" w:fill="auto"/>
                  <w:noWrap w:val="0"/>
                  <w:vAlign w:val="center"/>
                </w:tcPr>
                <w:p w14:paraId="6D2DAA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56" w:type="pct"/>
                  <w:shd w:val="clear" w:color="auto" w:fill="auto"/>
                  <w:noWrap w:val="0"/>
                  <w:vAlign w:val="center"/>
                </w:tcPr>
                <w:p w14:paraId="291D2F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w:t>
                  </w:r>
                </w:p>
              </w:tc>
              <w:tc>
                <w:tcPr>
                  <w:tcW w:w="242" w:type="pct"/>
                  <w:shd w:val="clear" w:color="auto" w:fill="auto"/>
                  <w:noWrap w:val="0"/>
                  <w:vAlign w:val="center"/>
                </w:tcPr>
                <w:p w14:paraId="2E8718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shd w:val="clear" w:color="auto" w:fill="auto"/>
                  <w:noWrap w:val="0"/>
                  <w:vAlign w:val="center"/>
                </w:tcPr>
                <w:p w14:paraId="7ADEA1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26" w:type="pct"/>
                  <w:shd w:val="clear" w:color="auto" w:fill="auto"/>
                  <w:noWrap w:val="0"/>
                  <w:vAlign w:val="center"/>
                </w:tcPr>
                <w:p w14:paraId="44CABA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w:t>
                  </w:r>
                </w:p>
              </w:tc>
              <w:tc>
                <w:tcPr>
                  <w:tcW w:w="256" w:type="pct"/>
                  <w:shd w:val="clear" w:color="auto" w:fill="auto"/>
                  <w:noWrap w:val="0"/>
                  <w:vAlign w:val="center"/>
                </w:tcPr>
                <w:p w14:paraId="222F32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27</w:t>
                  </w:r>
                </w:p>
              </w:tc>
              <w:tc>
                <w:tcPr>
                  <w:tcW w:w="270" w:type="pct"/>
                  <w:shd w:val="clear" w:color="auto" w:fill="auto"/>
                  <w:noWrap w:val="0"/>
                  <w:vAlign w:val="center"/>
                </w:tcPr>
                <w:p w14:paraId="38BE65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107</w:t>
                  </w:r>
                </w:p>
              </w:tc>
              <w:tc>
                <w:tcPr>
                  <w:tcW w:w="223" w:type="pct"/>
                  <w:vMerge w:val="continue"/>
                  <w:noWrap w:val="0"/>
                  <w:vAlign w:val="center"/>
                </w:tcPr>
                <w:p w14:paraId="7FC5A0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3E6320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4DEA25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19E0F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653CB3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15</w:t>
                  </w:r>
                </w:p>
              </w:tc>
              <w:tc>
                <w:tcPr>
                  <w:tcW w:w="286" w:type="pct"/>
                  <w:vMerge w:val="continue"/>
                  <w:noWrap w:val="0"/>
                  <w:vAlign w:val="center"/>
                </w:tcPr>
                <w:p w14:paraId="6C010A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shd w:val="clear" w:color="auto" w:fill="auto"/>
                  <w:noWrap w:val="0"/>
                  <w:vAlign w:val="center"/>
                </w:tcPr>
                <w:p w14:paraId="7B1D72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抛丸机</w:t>
                  </w:r>
                </w:p>
              </w:tc>
              <w:tc>
                <w:tcPr>
                  <w:tcW w:w="516" w:type="pct"/>
                  <w:shd w:val="clear" w:color="auto" w:fill="auto"/>
                  <w:noWrap w:val="0"/>
                  <w:vAlign w:val="center"/>
                </w:tcPr>
                <w:p w14:paraId="49693D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Q3210/</w:t>
                  </w:r>
                  <w:r>
                    <w:rPr>
                      <w:rFonts w:hint="eastAsia" w:ascii="Times New Roman" w:hAnsi="Times New Roman" w:eastAsia="宋体" w:cs="Times New Roman"/>
                      <w:color w:val="auto"/>
                      <w:kern w:val="2"/>
                      <w:sz w:val="21"/>
                      <w:szCs w:val="21"/>
                      <w:highlight w:val="none"/>
                      <w:lang w:val="en-US" w:eastAsia="zh-CN" w:bidi="ar-SA"/>
                    </w:rPr>
                    <w:t>国产</w:t>
                  </w:r>
                </w:p>
              </w:tc>
              <w:tc>
                <w:tcPr>
                  <w:tcW w:w="178" w:type="pct"/>
                  <w:shd w:val="clear" w:color="auto" w:fill="auto"/>
                  <w:noWrap w:val="0"/>
                  <w:vAlign w:val="center"/>
                </w:tcPr>
                <w:p w14:paraId="177153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w:t>
                  </w:r>
                </w:p>
              </w:tc>
              <w:tc>
                <w:tcPr>
                  <w:tcW w:w="356" w:type="pct"/>
                  <w:shd w:val="clear" w:color="auto" w:fill="auto"/>
                  <w:noWrap w:val="0"/>
                  <w:vAlign w:val="center"/>
                </w:tcPr>
                <w:p w14:paraId="3C5455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80~90</w:t>
                  </w:r>
                </w:p>
              </w:tc>
              <w:tc>
                <w:tcPr>
                  <w:tcW w:w="259" w:type="pct"/>
                  <w:vMerge w:val="continue"/>
                  <w:noWrap w:val="0"/>
                  <w:vAlign w:val="center"/>
                </w:tcPr>
                <w:p w14:paraId="5C5AE6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shd w:val="clear" w:color="auto" w:fill="auto"/>
                  <w:noWrap w:val="0"/>
                  <w:vAlign w:val="center"/>
                </w:tcPr>
                <w:p w14:paraId="23DEDC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256" w:type="pct"/>
                  <w:shd w:val="clear" w:color="auto" w:fill="auto"/>
                  <w:noWrap w:val="0"/>
                  <w:vAlign w:val="center"/>
                </w:tcPr>
                <w:p w14:paraId="380B0A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42" w:type="pct"/>
                  <w:shd w:val="clear" w:color="auto" w:fill="auto"/>
                  <w:noWrap w:val="0"/>
                  <w:vAlign w:val="center"/>
                </w:tcPr>
                <w:p w14:paraId="70AF4D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shd w:val="clear" w:color="auto" w:fill="auto"/>
                  <w:noWrap w:val="0"/>
                  <w:vAlign w:val="center"/>
                </w:tcPr>
                <w:p w14:paraId="5F57D9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226" w:type="pct"/>
                  <w:shd w:val="clear" w:color="auto" w:fill="auto"/>
                  <w:noWrap w:val="0"/>
                  <w:vAlign w:val="center"/>
                </w:tcPr>
                <w:p w14:paraId="411F6F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56" w:type="pct"/>
                  <w:shd w:val="clear" w:color="auto" w:fill="auto"/>
                  <w:noWrap w:val="0"/>
                  <w:vAlign w:val="center"/>
                </w:tcPr>
                <w:p w14:paraId="61763A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w:t>
                  </w:r>
                </w:p>
              </w:tc>
              <w:tc>
                <w:tcPr>
                  <w:tcW w:w="270" w:type="pct"/>
                  <w:shd w:val="clear" w:color="auto" w:fill="auto"/>
                  <w:noWrap w:val="0"/>
                  <w:vAlign w:val="center"/>
                </w:tcPr>
                <w:p w14:paraId="51C7C0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105</w:t>
                  </w:r>
                </w:p>
              </w:tc>
              <w:tc>
                <w:tcPr>
                  <w:tcW w:w="223" w:type="pct"/>
                  <w:vMerge w:val="continue"/>
                  <w:noWrap w:val="0"/>
                  <w:vAlign w:val="center"/>
                </w:tcPr>
                <w:p w14:paraId="3688BB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75C372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60B207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137D4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5B0BE3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86" w:type="pct"/>
                  <w:vMerge w:val="continue"/>
                  <w:noWrap w:val="0"/>
                  <w:vAlign w:val="center"/>
                </w:tcPr>
                <w:p w14:paraId="6C2E7D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shd w:val="clear" w:color="auto" w:fill="auto"/>
                  <w:noWrap w:val="0"/>
                  <w:vAlign w:val="center"/>
                </w:tcPr>
                <w:p w14:paraId="72E46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砂处理及其除尘系统</w:t>
                  </w:r>
                </w:p>
              </w:tc>
              <w:tc>
                <w:tcPr>
                  <w:tcW w:w="516" w:type="pct"/>
                  <w:shd w:val="clear" w:color="auto" w:fill="auto"/>
                  <w:noWrap w:val="0"/>
                  <w:vAlign w:val="center"/>
                </w:tcPr>
                <w:p w14:paraId="3CFB8E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非标</w:t>
                  </w:r>
                  <w:r>
                    <w:rPr>
                      <w:rFonts w:hint="default"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国产</w:t>
                  </w:r>
                </w:p>
              </w:tc>
              <w:tc>
                <w:tcPr>
                  <w:tcW w:w="178" w:type="pct"/>
                  <w:shd w:val="clear" w:color="auto" w:fill="auto"/>
                  <w:noWrap w:val="0"/>
                  <w:vAlign w:val="center"/>
                </w:tcPr>
                <w:p w14:paraId="415457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356" w:type="pct"/>
                  <w:shd w:val="clear" w:color="auto" w:fill="auto"/>
                  <w:noWrap w:val="0"/>
                  <w:vAlign w:val="center"/>
                </w:tcPr>
                <w:p w14:paraId="2A2FA4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vMerge w:val="continue"/>
                  <w:noWrap w:val="0"/>
                  <w:vAlign w:val="center"/>
                </w:tcPr>
                <w:p w14:paraId="132C3C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shd w:val="clear" w:color="auto" w:fill="auto"/>
                  <w:noWrap w:val="0"/>
                  <w:vAlign w:val="center"/>
                </w:tcPr>
                <w:p w14:paraId="642872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c>
                <w:tcPr>
                  <w:tcW w:w="256" w:type="pct"/>
                  <w:shd w:val="clear" w:color="auto" w:fill="auto"/>
                  <w:noWrap w:val="0"/>
                  <w:vAlign w:val="center"/>
                </w:tcPr>
                <w:p w14:paraId="6E54DD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42" w:type="pct"/>
                  <w:shd w:val="clear" w:color="auto" w:fill="auto"/>
                  <w:noWrap w:val="0"/>
                  <w:vAlign w:val="center"/>
                </w:tcPr>
                <w:p w14:paraId="3CCDD6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21" w:type="pct"/>
                  <w:shd w:val="clear" w:color="auto" w:fill="auto"/>
                  <w:noWrap w:val="0"/>
                  <w:vAlign w:val="center"/>
                </w:tcPr>
                <w:p w14:paraId="72D1B0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w:t>
                  </w:r>
                </w:p>
              </w:tc>
              <w:tc>
                <w:tcPr>
                  <w:tcW w:w="226" w:type="pct"/>
                  <w:shd w:val="clear" w:color="auto" w:fill="auto"/>
                  <w:noWrap w:val="0"/>
                  <w:vAlign w:val="center"/>
                </w:tcPr>
                <w:p w14:paraId="40DC1F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256" w:type="pct"/>
                  <w:shd w:val="clear" w:color="auto" w:fill="auto"/>
                  <w:noWrap w:val="0"/>
                  <w:vAlign w:val="center"/>
                </w:tcPr>
                <w:p w14:paraId="1DA3AC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w:t>
                  </w:r>
                </w:p>
              </w:tc>
              <w:tc>
                <w:tcPr>
                  <w:tcW w:w="270" w:type="pct"/>
                  <w:shd w:val="clear" w:color="auto" w:fill="auto"/>
                  <w:noWrap w:val="0"/>
                  <w:vAlign w:val="center"/>
                </w:tcPr>
                <w:p w14:paraId="600F35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105</w:t>
                  </w:r>
                </w:p>
              </w:tc>
              <w:tc>
                <w:tcPr>
                  <w:tcW w:w="223" w:type="pct"/>
                  <w:vMerge w:val="continue"/>
                  <w:noWrap w:val="0"/>
                  <w:vAlign w:val="center"/>
                </w:tcPr>
                <w:p w14:paraId="7E29F7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2015CC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6A23AD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0370E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522B45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16</w:t>
                  </w:r>
                </w:p>
              </w:tc>
              <w:tc>
                <w:tcPr>
                  <w:tcW w:w="286" w:type="pct"/>
                  <w:vMerge w:val="continue"/>
                  <w:noWrap w:val="0"/>
                  <w:vAlign w:val="center"/>
                </w:tcPr>
                <w:p w14:paraId="785587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709" w:type="pct"/>
                  <w:noWrap w:val="0"/>
                  <w:vAlign w:val="center"/>
                </w:tcPr>
                <w:p w14:paraId="05C85CFF">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空压机</w:t>
                  </w:r>
                </w:p>
              </w:tc>
              <w:tc>
                <w:tcPr>
                  <w:tcW w:w="516" w:type="pct"/>
                  <w:noWrap w:val="0"/>
                  <w:vAlign w:val="center"/>
                </w:tcPr>
                <w:p w14:paraId="36339715">
                  <w:pPr>
                    <w:keepNext w:val="0"/>
                    <w:keepLines w:val="0"/>
                    <w:pageBreakBefore w:val="0"/>
                    <w:widowControl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22kW</w:t>
                  </w:r>
                </w:p>
              </w:tc>
              <w:tc>
                <w:tcPr>
                  <w:tcW w:w="178" w:type="pct"/>
                  <w:noWrap w:val="0"/>
                  <w:vAlign w:val="center"/>
                </w:tcPr>
                <w:p w14:paraId="370F8B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356" w:type="pct"/>
                  <w:noWrap w:val="0"/>
                  <w:vAlign w:val="center"/>
                </w:tcPr>
                <w:p w14:paraId="5A3A1D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80~90</w:t>
                  </w:r>
                </w:p>
              </w:tc>
              <w:tc>
                <w:tcPr>
                  <w:tcW w:w="259" w:type="pct"/>
                  <w:vMerge w:val="continue"/>
                  <w:noWrap w:val="0"/>
                  <w:vAlign w:val="center"/>
                </w:tcPr>
                <w:p w14:paraId="28F8BE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14C9C4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6DCC15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42" w:type="pct"/>
                  <w:noWrap w:val="0"/>
                  <w:vAlign w:val="center"/>
                </w:tcPr>
                <w:p w14:paraId="1C441E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1" w:type="pct"/>
                  <w:noWrap w:val="0"/>
                  <w:vAlign w:val="center"/>
                </w:tcPr>
                <w:p w14:paraId="39532E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6" w:type="pct"/>
                  <w:noWrap w:val="0"/>
                  <w:vAlign w:val="center"/>
                </w:tcPr>
                <w:p w14:paraId="222527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7FFC29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0" w:type="pct"/>
                  <w:noWrap w:val="0"/>
                  <w:vAlign w:val="center"/>
                </w:tcPr>
                <w:p w14:paraId="1DEAC5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3" w:type="pct"/>
                  <w:vMerge w:val="continue"/>
                  <w:noWrap w:val="0"/>
                  <w:vAlign w:val="center"/>
                </w:tcPr>
                <w:p w14:paraId="6F8B8F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7FF91E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0CB7AF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763EC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5BB199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33</w:t>
                  </w:r>
                </w:p>
              </w:tc>
              <w:tc>
                <w:tcPr>
                  <w:tcW w:w="286" w:type="pct"/>
                  <w:vMerge w:val="restart"/>
                  <w:noWrap w:val="0"/>
                  <w:vAlign w:val="center"/>
                </w:tcPr>
                <w:p w14:paraId="4003D3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3号厂房</w:t>
                  </w:r>
                </w:p>
              </w:tc>
              <w:tc>
                <w:tcPr>
                  <w:tcW w:w="709" w:type="pct"/>
                  <w:noWrap w:val="0"/>
                  <w:vAlign w:val="center"/>
                </w:tcPr>
                <w:p w14:paraId="709170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加工中心</w:t>
                  </w:r>
                </w:p>
              </w:tc>
              <w:tc>
                <w:tcPr>
                  <w:tcW w:w="516" w:type="pct"/>
                  <w:noWrap w:val="0"/>
                  <w:vAlign w:val="center"/>
                </w:tcPr>
                <w:p w14:paraId="081567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8" w:type="pct"/>
                  <w:noWrap w:val="0"/>
                  <w:vAlign w:val="center"/>
                </w:tcPr>
                <w:p w14:paraId="73056D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w:t>
                  </w:r>
                </w:p>
              </w:tc>
              <w:tc>
                <w:tcPr>
                  <w:tcW w:w="356" w:type="pct"/>
                  <w:noWrap w:val="0"/>
                  <w:vAlign w:val="center"/>
                </w:tcPr>
                <w:p w14:paraId="688AC3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vMerge w:val="continue"/>
                  <w:noWrap w:val="0"/>
                  <w:vAlign w:val="center"/>
                </w:tcPr>
                <w:p w14:paraId="5F3466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70E5EC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52-78</w:t>
                  </w:r>
                </w:p>
              </w:tc>
              <w:tc>
                <w:tcPr>
                  <w:tcW w:w="256" w:type="pct"/>
                  <w:noWrap w:val="0"/>
                  <w:vAlign w:val="center"/>
                </w:tcPr>
                <w:p w14:paraId="1D45D3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242" w:type="pct"/>
                  <w:noWrap w:val="0"/>
                  <w:vAlign w:val="center"/>
                </w:tcPr>
                <w:p w14:paraId="590980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221" w:type="pct"/>
                  <w:noWrap w:val="0"/>
                  <w:vAlign w:val="center"/>
                </w:tcPr>
                <w:p w14:paraId="1619FA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2-28</w:t>
                  </w:r>
                </w:p>
              </w:tc>
              <w:tc>
                <w:tcPr>
                  <w:tcW w:w="226" w:type="pct"/>
                  <w:noWrap w:val="0"/>
                  <w:vAlign w:val="center"/>
                </w:tcPr>
                <w:p w14:paraId="0827DB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25</w:t>
                  </w:r>
                </w:p>
              </w:tc>
              <w:tc>
                <w:tcPr>
                  <w:tcW w:w="256" w:type="pct"/>
                  <w:noWrap w:val="0"/>
                  <w:vAlign w:val="center"/>
                </w:tcPr>
                <w:p w14:paraId="61812D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42-68</w:t>
                  </w:r>
                </w:p>
              </w:tc>
              <w:tc>
                <w:tcPr>
                  <w:tcW w:w="270" w:type="pct"/>
                  <w:noWrap w:val="0"/>
                  <w:vAlign w:val="center"/>
                </w:tcPr>
                <w:p w14:paraId="72F745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w:t>
                  </w:r>
                </w:p>
              </w:tc>
              <w:tc>
                <w:tcPr>
                  <w:tcW w:w="223" w:type="pct"/>
                  <w:vMerge w:val="continue"/>
                  <w:noWrap w:val="0"/>
                  <w:vAlign w:val="center"/>
                </w:tcPr>
                <w:p w14:paraId="3BD390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vMerge w:val="continue"/>
                  <w:noWrap w:val="0"/>
                  <w:vAlign w:val="center"/>
                </w:tcPr>
                <w:p w14:paraId="2E8D3E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vMerge w:val="continue"/>
                  <w:noWrap w:val="0"/>
                  <w:vAlign w:val="center"/>
                </w:tcPr>
                <w:p w14:paraId="29559E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74665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 w:hRule="atLeast"/>
                <w:jc w:val="center"/>
              </w:trPr>
              <w:tc>
                <w:tcPr>
                  <w:tcW w:w="130" w:type="pct"/>
                  <w:noWrap w:val="0"/>
                  <w:vAlign w:val="center"/>
                </w:tcPr>
                <w:p w14:paraId="605567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86" w:type="pct"/>
                  <w:vMerge w:val="continue"/>
                  <w:noWrap w:val="0"/>
                  <w:vAlign w:val="center"/>
                </w:tcPr>
                <w:p w14:paraId="7D0313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kern w:val="2"/>
                      <w:sz w:val="21"/>
                      <w:szCs w:val="21"/>
                      <w:highlight w:val="none"/>
                      <w:lang w:val="en-US" w:eastAsia="zh-CN" w:bidi="ar-SA"/>
                    </w:rPr>
                  </w:pPr>
                </w:p>
              </w:tc>
              <w:tc>
                <w:tcPr>
                  <w:tcW w:w="709" w:type="pct"/>
                  <w:noWrap w:val="0"/>
                  <w:vAlign w:val="center"/>
                </w:tcPr>
                <w:p w14:paraId="0BC52D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数控车床</w:t>
                  </w:r>
                </w:p>
              </w:tc>
              <w:tc>
                <w:tcPr>
                  <w:tcW w:w="516" w:type="pct"/>
                  <w:noWrap w:val="0"/>
                  <w:vAlign w:val="center"/>
                </w:tcPr>
                <w:p w14:paraId="76CDD3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8" w:type="pct"/>
                  <w:noWrap w:val="0"/>
                  <w:vAlign w:val="center"/>
                </w:tcPr>
                <w:p w14:paraId="1CA0BE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356" w:type="pct"/>
                  <w:noWrap w:val="0"/>
                  <w:vAlign w:val="center"/>
                </w:tcPr>
                <w:p w14:paraId="772DC0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noWrap w:val="0"/>
                  <w:vAlign w:val="center"/>
                </w:tcPr>
                <w:p w14:paraId="74AB60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119756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7BDF60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42" w:type="pct"/>
                  <w:noWrap w:val="0"/>
                  <w:vAlign w:val="center"/>
                </w:tcPr>
                <w:p w14:paraId="2A8CDD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1" w:type="pct"/>
                  <w:noWrap w:val="0"/>
                  <w:vAlign w:val="center"/>
                </w:tcPr>
                <w:p w14:paraId="0C4E57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6" w:type="pct"/>
                  <w:noWrap w:val="0"/>
                  <w:vAlign w:val="center"/>
                </w:tcPr>
                <w:p w14:paraId="3D8082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3E25EE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0" w:type="pct"/>
                  <w:noWrap w:val="0"/>
                  <w:vAlign w:val="center"/>
                </w:tcPr>
                <w:p w14:paraId="3D2A7E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23" w:type="pct"/>
                  <w:noWrap w:val="0"/>
                  <w:vAlign w:val="center"/>
                </w:tcPr>
                <w:p w14:paraId="4AA5A6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noWrap w:val="0"/>
                  <w:vAlign w:val="center"/>
                </w:tcPr>
                <w:p w14:paraId="465B23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noWrap w:val="0"/>
                  <w:vAlign w:val="center"/>
                </w:tcPr>
                <w:p w14:paraId="7E1BC9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51545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1FFED0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86" w:type="pct"/>
                  <w:vMerge w:val="continue"/>
                  <w:noWrap w:val="0"/>
                  <w:vAlign w:val="center"/>
                </w:tcPr>
                <w:p w14:paraId="0376FE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kern w:val="2"/>
                      <w:sz w:val="21"/>
                      <w:szCs w:val="21"/>
                      <w:highlight w:val="none"/>
                      <w:lang w:val="en-US" w:eastAsia="zh-CN" w:bidi="ar-SA"/>
                    </w:rPr>
                  </w:pPr>
                </w:p>
              </w:tc>
              <w:tc>
                <w:tcPr>
                  <w:tcW w:w="709" w:type="pct"/>
                  <w:noWrap w:val="0"/>
                  <w:vAlign w:val="center"/>
                </w:tcPr>
                <w:p w14:paraId="6022F2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普通车床</w:t>
                  </w:r>
                </w:p>
              </w:tc>
              <w:tc>
                <w:tcPr>
                  <w:tcW w:w="516" w:type="pct"/>
                  <w:noWrap w:val="0"/>
                  <w:vAlign w:val="center"/>
                </w:tcPr>
                <w:p w14:paraId="1D8570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8" w:type="pct"/>
                  <w:noWrap w:val="0"/>
                  <w:vAlign w:val="center"/>
                </w:tcPr>
                <w:p w14:paraId="2C60C8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356" w:type="pct"/>
                  <w:noWrap w:val="0"/>
                  <w:vAlign w:val="center"/>
                </w:tcPr>
                <w:p w14:paraId="3F22DD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noWrap w:val="0"/>
                  <w:vAlign w:val="center"/>
                </w:tcPr>
                <w:p w14:paraId="2E1108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0F2A9D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06BC7C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42" w:type="pct"/>
                  <w:noWrap w:val="0"/>
                  <w:vAlign w:val="center"/>
                </w:tcPr>
                <w:p w14:paraId="0CA777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1" w:type="pct"/>
                  <w:noWrap w:val="0"/>
                  <w:vAlign w:val="center"/>
                </w:tcPr>
                <w:p w14:paraId="1B318F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6" w:type="pct"/>
                  <w:noWrap w:val="0"/>
                  <w:vAlign w:val="center"/>
                </w:tcPr>
                <w:p w14:paraId="433D51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6857FE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0" w:type="pct"/>
                  <w:noWrap w:val="0"/>
                  <w:vAlign w:val="center"/>
                </w:tcPr>
                <w:p w14:paraId="51E560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23" w:type="pct"/>
                  <w:noWrap w:val="0"/>
                  <w:vAlign w:val="center"/>
                </w:tcPr>
                <w:p w14:paraId="41058D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noWrap w:val="0"/>
                  <w:vAlign w:val="center"/>
                </w:tcPr>
                <w:p w14:paraId="49FC26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noWrap w:val="0"/>
                  <w:vAlign w:val="center"/>
                </w:tcPr>
                <w:p w14:paraId="3CFAC9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472F6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30" w:type="pct"/>
                  <w:noWrap w:val="0"/>
                  <w:vAlign w:val="center"/>
                </w:tcPr>
                <w:p w14:paraId="5DF472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86" w:type="pct"/>
                  <w:vMerge w:val="continue"/>
                  <w:noWrap w:val="0"/>
                  <w:vAlign w:val="center"/>
                </w:tcPr>
                <w:p w14:paraId="36CDB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kern w:val="2"/>
                      <w:sz w:val="21"/>
                      <w:szCs w:val="21"/>
                      <w:highlight w:val="none"/>
                      <w:lang w:val="en-US" w:eastAsia="zh-CN" w:bidi="ar-SA"/>
                    </w:rPr>
                  </w:pPr>
                </w:p>
              </w:tc>
              <w:tc>
                <w:tcPr>
                  <w:tcW w:w="709" w:type="pct"/>
                  <w:noWrap w:val="0"/>
                  <w:vAlign w:val="center"/>
                </w:tcPr>
                <w:p w14:paraId="5662D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立式打磨机</w:t>
                  </w:r>
                </w:p>
              </w:tc>
              <w:tc>
                <w:tcPr>
                  <w:tcW w:w="516" w:type="pct"/>
                  <w:noWrap w:val="0"/>
                  <w:vAlign w:val="center"/>
                </w:tcPr>
                <w:p w14:paraId="386FAC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w:t>
                  </w:r>
                </w:p>
              </w:tc>
              <w:tc>
                <w:tcPr>
                  <w:tcW w:w="178" w:type="pct"/>
                  <w:noWrap w:val="0"/>
                  <w:vAlign w:val="center"/>
                </w:tcPr>
                <w:p w14:paraId="2D46D7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356" w:type="pct"/>
                  <w:noWrap w:val="0"/>
                  <w:vAlign w:val="center"/>
                </w:tcPr>
                <w:p w14:paraId="34194D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75~85</w:t>
                  </w:r>
                </w:p>
              </w:tc>
              <w:tc>
                <w:tcPr>
                  <w:tcW w:w="259" w:type="pct"/>
                  <w:noWrap w:val="0"/>
                  <w:vAlign w:val="center"/>
                </w:tcPr>
                <w:p w14:paraId="17120A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3" w:type="pct"/>
                  <w:noWrap w:val="0"/>
                  <w:vAlign w:val="center"/>
                </w:tcPr>
                <w:p w14:paraId="4B390D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0F6D55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42" w:type="pct"/>
                  <w:noWrap w:val="0"/>
                  <w:vAlign w:val="center"/>
                </w:tcPr>
                <w:p w14:paraId="59ACE9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1" w:type="pct"/>
                  <w:noWrap w:val="0"/>
                  <w:vAlign w:val="center"/>
                </w:tcPr>
                <w:p w14:paraId="541BF4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26" w:type="pct"/>
                  <w:noWrap w:val="0"/>
                  <w:vAlign w:val="center"/>
                </w:tcPr>
                <w:p w14:paraId="5AC92C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56" w:type="pct"/>
                  <w:noWrap w:val="0"/>
                  <w:vAlign w:val="center"/>
                </w:tcPr>
                <w:p w14:paraId="0D8706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0" w:type="pct"/>
                  <w:noWrap w:val="0"/>
                  <w:vAlign w:val="center"/>
                </w:tcPr>
                <w:p w14:paraId="004ADF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223" w:type="pct"/>
                  <w:noWrap w:val="0"/>
                  <w:vAlign w:val="center"/>
                </w:tcPr>
                <w:p w14:paraId="7D719B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55" w:type="pct"/>
                  <w:noWrap w:val="0"/>
                  <w:vAlign w:val="center"/>
                </w:tcPr>
                <w:p w14:paraId="7688B5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78" w:type="pct"/>
                  <w:noWrap w:val="0"/>
                  <w:vAlign w:val="center"/>
                </w:tcPr>
                <w:p w14:paraId="73CF2F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bl>
          <w:p w14:paraId="41EADE0E">
            <w:pPr>
              <w:widowControl/>
              <w:adjustRightInd w:val="0"/>
              <w:snapToGrid w:val="0"/>
              <w:spacing w:line="240" w:lineRule="auto"/>
              <w:jc w:val="left"/>
              <w:rPr>
                <w:rFonts w:hint="default" w:ascii="Times New Roman" w:hAnsi="Times New Roman" w:eastAsia="宋体" w:cs="Times New Roman"/>
                <w:color w:val="FF0000"/>
                <w:sz w:val="24"/>
                <w:szCs w:val="24"/>
                <w:highlight w:val="none"/>
                <w:lang w:val="en-US" w:eastAsia="zh-CN"/>
              </w:rPr>
            </w:pPr>
            <w:r>
              <w:rPr>
                <w:rFonts w:hint="default" w:ascii="Times New Roman" w:hAnsi="Times New Roman" w:eastAsia="宋体" w:cs="Times New Roman"/>
                <w:b/>
                <w:bCs/>
                <w:color w:val="auto"/>
                <w:kern w:val="0"/>
                <w:sz w:val="18"/>
                <w:szCs w:val="18"/>
                <w:highlight w:val="none"/>
                <w:lang w:val="en-US" w:eastAsia="zh-CN"/>
              </w:rPr>
              <w:t>注：</w:t>
            </w:r>
            <w:r>
              <w:rPr>
                <w:rFonts w:hint="default" w:ascii="Times New Roman" w:hAnsi="Times New Roman" w:eastAsia="宋体" w:cs="Times New Roman"/>
                <w:color w:val="auto"/>
                <w:sz w:val="18"/>
                <w:szCs w:val="18"/>
                <w:highlight w:val="none"/>
                <w:lang w:val="en-US" w:eastAsia="zh-CN"/>
              </w:rPr>
              <w:t>上表中的X、Y轴坐标值系以</w:t>
            </w:r>
            <w:r>
              <w:rPr>
                <w:rFonts w:hint="eastAsia" w:cs="Times New Roman"/>
                <w:color w:val="auto"/>
                <w:sz w:val="18"/>
                <w:szCs w:val="18"/>
                <w:highlight w:val="none"/>
                <w:lang w:val="en-US" w:eastAsia="zh-CN"/>
              </w:rPr>
              <w:t>厂区东</w:t>
            </w:r>
            <w:r>
              <w:rPr>
                <w:rFonts w:hint="eastAsia" w:ascii="Times New Roman" w:hAnsi="Times New Roman" w:eastAsia="宋体" w:cs="Times New Roman"/>
                <w:color w:val="auto"/>
                <w:sz w:val="18"/>
                <w:szCs w:val="18"/>
                <w:highlight w:val="none"/>
                <w:lang w:val="en-US" w:eastAsia="zh-CN"/>
              </w:rPr>
              <w:t>南角</w:t>
            </w:r>
            <w:r>
              <w:rPr>
                <w:rFonts w:hint="default" w:ascii="Times New Roman" w:hAnsi="Times New Roman" w:eastAsia="宋体" w:cs="Times New Roman"/>
                <w:color w:val="auto"/>
                <w:sz w:val="18"/>
                <w:szCs w:val="18"/>
                <w:highlight w:val="none"/>
                <w:lang w:val="en-US" w:eastAsia="zh-CN"/>
              </w:rPr>
              <w:t>：东经117.91561316，北纬30.67699248″为坐标原点（0，0），自西向东为X轴，自南向北为Y轴的定位值</w:t>
            </w:r>
            <w:r>
              <w:rPr>
                <w:rFonts w:hint="default" w:ascii="Times New Roman" w:hAnsi="Times New Roman" w:eastAsia="宋体" w:cs="Times New Roman"/>
                <w:b w:val="0"/>
                <w:bCs w:val="0"/>
                <w:color w:val="auto"/>
                <w:kern w:val="0"/>
                <w:sz w:val="18"/>
                <w:szCs w:val="18"/>
                <w:highlight w:val="none"/>
                <w:lang w:val="en-US" w:eastAsia="zh-CN"/>
              </w:rPr>
              <w:t>。</w:t>
            </w:r>
          </w:p>
        </w:tc>
      </w:tr>
    </w:tbl>
    <w:p w14:paraId="676E9A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FF0000"/>
          <w:sz w:val="24"/>
          <w:szCs w:val="32"/>
          <w:highlight w:val="none"/>
          <w:lang w:val="en-US" w:eastAsia="zh-CN"/>
        </w:rPr>
      </w:pPr>
    </w:p>
    <w:p w14:paraId="3DDF0F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sectPr>
          <w:pgSz w:w="16840" w:h="11907" w:orient="landscape"/>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7"/>
        <w:gridCol w:w="8421"/>
      </w:tblGrid>
      <w:tr w14:paraId="02E44D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7" w:type="dxa"/>
            <w:tcBorders>
              <w:tl2br w:val="nil"/>
              <w:tr2bl w:val="nil"/>
            </w:tcBorders>
            <w:noWrap w:val="0"/>
            <w:tcMar>
              <w:left w:w="28" w:type="dxa"/>
              <w:right w:w="28" w:type="dxa"/>
            </w:tcMar>
            <w:vAlign w:val="center"/>
          </w:tcPr>
          <w:p w14:paraId="19CD752E">
            <w:pPr>
              <w:adjustRightInd w:val="0"/>
              <w:snapToGrid w:val="0"/>
              <w:jc w:val="center"/>
              <w:rPr>
                <w:rFonts w:hint="default" w:ascii="Times New Roman" w:hAnsi="Times New Roman" w:cs="Times New Roman"/>
                <w:b/>
                <w:bCs/>
                <w:color w:val="FF0000"/>
                <w:sz w:val="24"/>
                <w:szCs w:val="24"/>
                <w:highlight w:val="none"/>
              </w:rPr>
            </w:pPr>
            <w:r>
              <w:rPr>
                <w:rFonts w:hint="default" w:ascii="Times New Roman" w:hAnsi="Times New Roman" w:cs="Times New Roman"/>
                <w:b/>
                <w:bCs/>
                <w:color w:val="auto"/>
                <w:sz w:val="24"/>
                <w:szCs w:val="24"/>
                <w:highlight w:val="none"/>
              </w:rPr>
              <w:t>运营期环境影响和保护措施</w:t>
            </w:r>
          </w:p>
        </w:tc>
        <w:tc>
          <w:tcPr>
            <w:tcW w:w="8421" w:type="dxa"/>
            <w:tcBorders>
              <w:tl2br w:val="nil"/>
              <w:tr2bl w:val="nil"/>
            </w:tcBorders>
            <w:noWrap w:val="0"/>
            <w:vAlign w:val="center"/>
          </w:tcPr>
          <w:p w14:paraId="68A7A6D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表4-13  工业企业噪声源强调查表（室外声源）</w:t>
            </w:r>
          </w:p>
          <w:tbl>
            <w:tblPr>
              <w:tblStyle w:val="3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2235"/>
              <w:gridCol w:w="570"/>
              <w:gridCol w:w="608"/>
              <w:gridCol w:w="734"/>
              <w:gridCol w:w="693"/>
              <w:gridCol w:w="1080"/>
              <w:gridCol w:w="854"/>
              <w:gridCol w:w="748"/>
            </w:tblGrid>
            <w:tr w14:paraId="4A97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406" w:type="pct"/>
                  <w:vMerge w:val="restart"/>
                  <w:noWrap w:val="0"/>
                  <w:vAlign w:val="center"/>
                </w:tcPr>
                <w:p w14:paraId="023E19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baseline"/>
                    <w:rPr>
                      <w:b/>
                      <w:bCs w:val="0"/>
                      <w:color w:val="auto"/>
                      <w:sz w:val="21"/>
                      <w:szCs w:val="24"/>
                      <w:highlight w:val="none"/>
                      <w:vertAlign w:val="baseline"/>
                    </w:rPr>
                  </w:pPr>
                  <w:r>
                    <w:rPr>
                      <w:rFonts w:hint="eastAsia"/>
                      <w:b/>
                      <w:bCs w:val="0"/>
                      <w:color w:val="auto"/>
                      <w:sz w:val="21"/>
                      <w:szCs w:val="21"/>
                      <w:highlight w:val="none"/>
                      <w:vertAlign w:val="baseline"/>
                      <w:lang w:val="en-US" w:eastAsia="zh-CN"/>
                    </w:rPr>
                    <w:t>序号</w:t>
                  </w:r>
                </w:p>
              </w:tc>
              <w:tc>
                <w:tcPr>
                  <w:tcW w:w="1364" w:type="pct"/>
                  <w:vMerge w:val="restart"/>
                  <w:noWrap w:val="0"/>
                  <w:vAlign w:val="center"/>
                </w:tcPr>
                <w:p w14:paraId="647B4B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baseline"/>
                    <w:rPr>
                      <w:b/>
                      <w:bCs w:val="0"/>
                      <w:color w:val="auto"/>
                      <w:sz w:val="21"/>
                      <w:szCs w:val="24"/>
                      <w:highlight w:val="none"/>
                      <w:vertAlign w:val="baseline"/>
                    </w:rPr>
                  </w:pPr>
                  <w:r>
                    <w:rPr>
                      <w:rFonts w:hint="eastAsia"/>
                      <w:b/>
                      <w:bCs w:val="0"/>
                      <w:color w:val="auto"/>
                      <w:sz w:val="21"/>
                      <w:szCs w:val="21"/>
                      <w:highlight w:val="none"/>
                      <w:vertAlign w:val="baseline"/>
                      <w:lang w:val="en-US" w:eastAsia="zh-CN"/>
                    </w:rPr>
                    <w:t>声源名称</w:t>
                  </w:r>
                </w:p>
              </w:tc>
              <w:tc>
                <w:tcPr>
                  <w:tcW w:w="348" w:type="pct"/>
                  <w:vMerge w:val="restart"/>
                  <w:noWrap w:val="0"/>
                  <w:vAlign w:val="center"/>
                </w:tcPr>
                <w:p w14:paraId="640A62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firstLine="0" w:firstLineChars="0"/>
                    <w:jc w:val="center"/>
                    <w:textAlignment w:val="baseline"/>
                    <w:rPr>
                      <w:b/>
                      <w:bCs w:val="0"/>
                      <w:color w:val="auto"/>
                      <w:sz w:val="21"/>
                      <w:szCs w:val="24"/>
                      <w:highlight w:val="none"/>
                      <w:vertAlign w:val="baseline"/>
                    </w:rPr>
                  </w:pPr>
                  <w:r>
                    <w:rPr>
                      <w:rFonts w:hint="eastAsia"/>
                      <w:b/>
                      <w:bCs w:val="0"/>
                      <w:color w:val="auto"/>
                      <w:sz w:val="21"/>
                      <w:szCs w:val="21"/>
                      <w:highlight w:val="none"/>
                      <w:vertAlign w:val="baseline"/>
                      <w:lang w:val="en-US" w:eastAsia="zh-CN"/>
                    </w:rPr>
                    <w:t>型号</w:t>
                  </w:r>
                </w:p>
              </w:tc>
              <w:tc>
                <w:tcPr>
                  <w:tcW w:w="1242" w:type="pct"/>
                  <w:gridSpan w:val="3"/>
                  <w:noWrap w:val="0"/>
                  <w:vAlign w:val="center"/>
                </w:tcPr>
                <w:p w14:paraId="11F7B4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val="0"/>
                      <w:color w:val="auto"/>
                      <w:sz w:val="21"/>
                      <w:szCs w:val="24"/>
                      <w:highlight w:val="none"/>
                      <w:vertAlign w:val="baseline"/>
                    </w:rPr>
                  </w:pPr>
                  <w:r>
                    <w:rPr>
                      <w:rFonts w:hint="eastAsia"/>
                      <w:b/>
                      <w:bCs w:val="0"/>
                      <w:color w:val="auto"/>
                      <w:sz w:val="21"/>
                      <w:szCs w:val="21"/>
                      <w:highlight w:val="none"/>
                      <w:vertAlign w:val="baseline"/>
                      <w:lang w:val="en-US" w:eastAsia="zh-CN"/>
                    </w:rPr>
                    <w:t>空间相对位置</w:t>
                  </w:r>
                </w:p>
              </w:tc>
              <w:tc>
                <w:tcPr>
                  <w:tcW w:w="659" w:type="pct"/>
                  <w:vMerge w:val="restart"/>
                  <w:noWrap w:val="0"/>
                  <w:vAlign w:val="center"/>
                </w:tcPr>
                <w:p w14:paraId="6DEA57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val="0"/>
                      <w:color w:val="auto"/>
                      <w:sz w:val="21"/>
                      <w:szCs w:val="24"/>
                      <w:highlight w:val="none"/>
                      <w:vertAlign w:val="baseline"/>
                    </w:rPr>
                  </w:pPr>
                  <w:r>
                    <w:rPr>
                      <w:rFonts w:hint="eastAsia"/>
                      <w:b/>
                      <w:bCs w:val="0"/>
                      <w:color w:val="auto"/>
                      <w:sz w:val="21"/>
                      <w:szCs w:val="21"/>
                      <w:highlight w:val="none"/>
                      <w:vertAlign w:val="baseline"/>
                      <w:lang w:val="en-US" w:eastAsia="zh-CN"/>
                    </w:rPr>
                    <w:t>声压级/dB（A）</w:t>
                  </w:r>
                </w:p>
              </w:tc>
              <w:tc>
                <w:tcPr>
                  <w:tcW w:w="521" w:type="pct"/>
                  <w:vMerge w:val="restart"/>
                  <w:noWrap w:val="0"/>
                  <w:vAlign w:val="center"/>
                </w:tcPr>
                <w:p w14:paraId="794147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val="0"/>
                      <w:color w:val="auto"/>
                      <w:sz w:val="21"/>
                      <w:szCs w:val="24"/>
                      <w:highlight w:val="none"/>
                      <w:vertAlign w:val="baseline"/>
                    </w:rPr>
                  </w:pPr>
                  <w:r>
                    <w:rPr>
                      <w:rFonts w:hint="eastAsia"/>
                      <w:b/>
                      <w:bCs w:val="0"/>
                      <w:color w:val="auto"/>
                      <w:sz w:val="21"/>
                      <w:szCs w:val="21"/>
                      <w:highlight w:val="none"/>
                      <w:vertAlign w:val="baseline"/>
                      <w:lang w:val="en-US" w:eastAsia="zh-CN"/>
                    </w:rPr>
                    <w:t>声源控制措施</w:t>
                  </w:r>
                </w:p>
              </w:tc>
              <w:tc>
                <w:tcPr>
                  <w:tcW w:w="456" w:type="pct"/>
                  <w:vMerge w:val="restart"/>
                  <w:noWrap w:val="0"/>
                  <w:vAlign w:val="center"/>
                </w:tcPr>
                <w:p w14:paraId="4DAE4A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val="0"/>
                      <w:color w:val="auto"/>
                      <w:sz w:val="21"/>
                      <w:szCs w:val="24"/>
                      <w:highlight w:val="none"/>
                      <w:vertAlign w:val="baseline"/>
                    </w:rPr>
                  </w:pPr>
                  <w:r>
                    <w:rPr>
                      <w:rFonts w:hint="eastAsia"/>
                      <w:b/>
                      <w:bCs w:val="0"/>
                      <w:color w:val="auto"/>
                      <w:sz w:val="21"/>
                      <w:szCs w:val="21"/>
                      <w:highlight w:val="none"/>
                      <w:vertAlign w:val="baseline"/>
                      <w:lang w:val="en-US" w:eastAsia="zh-CN"/>
                    </w:rPr>
                    <w:t>运行时段</w:t>
                  </w:r>
                </w:p>
              </w:tc>
            </w:tr>
            <w:tr w14:paraId="5F18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6" w:type="pct"/>
                  <w:vMerge w:val="continue"/>
                  <w:noWrap w:val="0"/>
                  <w:vAlign w:val="center"/>
                </w:tcPr>
                <w:p w14:paraId="0B91F9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1364" w:type="pct"/>
                  <w:vMerge w:val="continue"/>
                  <w:noWrap w:val="0"/>
                  <w:vAlign w:val="center"/>
                </w:tcPr>
                <w:p w14:paraId="59F9DB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348" w:type="pct"/>
                  <w:vMerge w:val="continue"/>
                  <w:noWrap w:val="0"/>
                  <w:vAlign w:val="center"/>
                </w:tcPr>
                <w:p w14:paraId="7E5E9D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371" w:type="pct"/>
                  <w:noWrap w:val="0"/>
                  <w:vAlign w:val="center"/>
                </w:tcPr>
                <w:p w14:paraId="4DB652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b/>
                      <w:bCs/>
                      <w:color w:val="auto"/>
                      <w:sz w:val="21"/>
                      <w:szCs w:val="24"/>
                      <w:highlight w:val="none"/>
                      <w:vertAlign w:val="baseline"/>
                      <w:lang w:val="en-US" w:eastAsia="zh-CN"/>
                    </w:rPr>
                  </w:pPr>
                  <w:r>
                    <w:rPr>
                      <w:rFonts w:hint="eastAsia"/>
                      <w:b/>
                      <w:bCs/>
                      <w:color w:val="auto"/>
                      <w:sz w:val="21"/>
                      <w:szCs w:val="24"/>
                      <w:highlight w:val="none"/>
                      <w:vertAlign w:val="baseline"/>
                      <w:lang w:val="en-US" w:eastAsia="zh-CN"/>
                    </w:rPr>
                    <w:t>X</w:t>
                  </w:r>
                </w:p>
              </w:tc>
              <w:tc>
                <w:tcPr>
                  <w:tcW w:w="448" w:type="pct"/>
                  <w:noWrap w:val="0"/>
                  <w:vAlign w:val="center"/>
                </w:tcPr>
                <w:p w14:paraId="0F6EFD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b/>
                      <w:bCs/>
                      <w:color w:val="auto"/>
                      <w:sz w:val="21"/>
                      <w:szCs w:val="24"/>
                      <w:highlight w:val="none"/>
                      <w:vertAlign w:val="baseline"/>
                      <w:lang w:val="en-US" w:eastAsia="zh-CN"/>
                    </w:rPr>
                  </w:pPr>
                  <w:r>
                    <w:rPr>
                      <w:rFonts w:hint="eastAsia"/>
                      <w:b/>
                      <w:bCs/>
                      <w:color w:val="auto"/>
                      <w:sz w:val="21"/>
                      <w:szCs w:val="24"/>
                      <w:highlight w:val="none"/>
                      <w:vertAlign w:val="baseline"/>
                      <w:lang w:val="en-US" w:eastAsia="zh-CN"/>
                    </w:rPr>
                    <w:t>Y</w:t>
                  </w:r>
                </w:p>
              </w:tc>
              <w:tc>
                <w:tcPr>
                  <w:tcW w:w="423" w:type="pct"/>
                  <w:noWrap w:val="0"/>
                  <w:vAlign w:val="center"/>
                </w:tcPr>
                <w:p w14:paraId="668BC4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b/>
                      <w:bCs/>
                      <w:color w:val="auto"/>
                      <w:sz w:val="21"/>
                      <w:szCs w:val="24"/>
                      <w:highlight w:val="none"/>
                      <w:vertAlign w:val="baseline"/>
                      <w:lang w:val="en-US" w:eastAsia="zh-CN"/>
                    </w:rPr>
                  </w:pPr>
                  <w:r>
                    <w:rPr>
                      <w:rFonts w:hint="eastAsia"/>
                      <w:b/>
                      <w:bCs/>
                      <w:color w:val="auto"/>
                      <w:sz w:val="21"/>
                      <w:szCs w:val="24"/>
                      <w:highlight w:val="none"/>
                      <w:vertAlign w:val="baseline"/>
                      <w:lang w:val="en-US" w:eastAsia="zh-CN"/>
                    </w:rPr>
                    <w:t>Z</w:t>
                  </w:r>
                </w:p>
              </w:tc>
              <w:tc>
                <w:tcPr>
                  <w:tcW w:w="659" w:type="pct"/>
                  <w:vMerge w:val="continue"/>
                  <w:noWrap w:val="0"/>
                  <w:vAlign w:val="center"/>
                </w:tcPr>
                <w:p w14:paraId="6F102D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521" w:type="pct"/>
                  <w:vMerge w:val="continue"/>
                  <w:noWrap w:val="0"/>
                  <w:vAlign w:val="center"/>
                </w:tcPr>
                <w:p w14:paraId="0F015F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333001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r>
            <w:tr w14:paraId="1E0B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1E7801F1">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eastAsia="宋体" w:cs="Times New Roman"/>
                      <w:color w:val="auto"/>
                      <w:kern w:val="2"/>
                      <w:sz w:val="21"/>
                      <w:szCs w:val="21"/>
                      <w:highlight w:val="none"/>
                      <w:lang w:val="en-US" w:eastAsia="zh-CN" w:bidi="zh-CN"/>
                    </w:rPr>
                    <w:t>1</w:t>
                  </w:r>
                </w:p>
              </w:tc>
              <w:tc>
                <w:tcPr>
                  <w:tcW w:w="1364" w:type="pct"/>
                  <w:noWrap w:val="0"/>
                  <w:vAlign w:val="center"/>
                </w:tcPr>
                <w:p w14:paraId="4B8C14B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i w:val="0"/>
                      <w:iCs w:val="0"/>
                      <w:color w:val="auto"/>
                      <w:kern w:val="0"/>
                      <w:sz w:val="21"/>
                      <w:szCs w:val="21"/>
                      <w:highlight w:val="none"/>
                      <w:u w:val="none"/>
                      <w:lang w:val="en-US" w:eastAsia="zh-CN" w:bidi="ar"/>
                    </w:rPr>
                    <w:t>T</w:t>
                  </w:r>
                  <w:r>
                    <w:rPr>
                      <w:rFonts w:hint="default" w:ascii="Times New Roman" w:hAnsi="Times New Roman" w:eastAsia="宋体" w:cs="Times New Roman"/>
                      <w:i w:val="0"/>
                      <w:iCs w:val="0"/>
                      <w:color w:val="auto"/>
                      <w:kern w:val="0"/>
                      <w:sz w:val="21"/>
                      <w:szCs w:val="21"/>
                      <w:highlight w:val="none"/>
                      <w:u w:val="none"/>
                      <w:lang w:val="en-US" w:eastAsia="zh-CN" w:bidi="ar"/>
                    </w:rPr>
                    <w:t>A001风机</w:t>
                  </w:r>
                </w:p>
              </w:tc>
              <w:tc>
                <w:tcPr>
                  <w:tcW w:w="348" w:type="pct"/>
                  <w:noWrap w:val="0"/>
                  <w:vAlign w:val="center"/>
                </w:tcPr>
                <w:p w14:paraId="1B05315D">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1C6E605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448" w:type="pct"/>
                  <w:noWrap w:val="0"/>
                  <w:vAlign w:val="center"/>
                </w:tcPr>
                <w:p w14:paraId="12D685E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105</w:t>
                  </w:r>
                </w:p>
              </w:tc>
              <w:tc>
                <w:tcPr>
                  <w:tcW w:w="423" w:type="pct"/>
                  <w:noWrap w:val="0"/>
                  <w:vAlign w:val="center"/>
                </w:tcPr>
                <w:p w14:paraId="69DB464B">
                  <w:pPr>
                    <w:keepNext w:val="0"/>
                    <w:keepLines w:val="0"/>
                    <w:widowControl/>
                    <w:suppressLineNumbers w:val="0"/>
                    <w:jc w:val="center"/>
                    <w:textAlignment w:val="center"/>
                    <w:rPr>
                      <w:color w:val="auto"/>
                      <w:sz w:val="24"/>
                      <w:szCs w:val="32"/>
                      <w:highlight w:val="none"/>
                      <w:vertAlign w:val="baseli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36FF211D">
                  <w:pPr>
                    <w:keepNext w:val="0"/>
                    <w:keepLines w:val="0"/>
                    <w:widowControl/>
                    <w:suppressLineNumbers w:val="0"/>
                    <w:jc w:val="center"/>
                    <w:textAlignment w:val="center"/>
                    <w:rPr>
                      <w:rFonts w:hint="default" w:eastAsia="宋体"/>
                      <w:color w:val="auto"/>
                      <w:sz w:val="21"/>
                      <w:szCs w:val="24"/>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restart"/>
                  <w:noWrap w:val="0"/>
                  <w:vAlign w:val="center"/>
                </w:tcPr>
                <w:p w14:paraId="429CF5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sz w:val="21"/>
                      <w:szCs w:val="24"/>
                      <w:highlight w:val="none"/>
                      <w:vertAlign w:val="baseline"/>
                      <w:lang w:val="en-US" w:eastAsia="zh-CN"/>
                    </w:rPr>
                  </w:pPr>
                  <w:r>
                    <w:rPr>
                      <w:rFonts w:hint="eastAsia"/>
                      <w:color w:val="auto"/>
                      <w:sz w:val="21"/>
                      <w:szCs w:val="24"/>
                      <w:highlight w:val="none"/>
                      <w:vertAlign w:val="baseline"/>
                      <w:lang w:val="en-US" w:eastAsia="zh-CN"/>
                    </w:rPr>
                    <w:t>减振机座</w:t>
                  </w:r>
                </w:p>
              </w:tc>
              <w:tc>
                <w:tcPr>
                  <w:tcW w:w="456" w:type="pct"/>
                  <w:vMerge w:val="restart"/>
                  <w:noWrap w:val="0"/>
                  <w:vAlign w:val="center"/>
                </w:tcPr>
                <w:p w14:paraId="11ED2D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4"/>
                      <w:highlight w:val="none"/>
                      <w:vertAlign w:val="baseline"/>
                      <w:lang w:val="en-US"/>
                    </w:rPr>
                  </w:pPr>
                  <w:r>
                    <w:rPr>
                      <w:rFonts w:hint="eastAsia"/>
                      <w:color w:val="auto"/>
                      <w:sz w:val="21"/>
                      <w:szCs w:val="24"/>
                      <w:highlight w:val="none"/>
                      <w:vertAlign w:val="baseline"/>
                      <w:lang w:val="en-US" w:eastAsia="zh-CN"/>
                    </w:rPr>
                    <w:t>昼夜间</w:t>
                  </w:r>
                </w:p>
              </w:tc>
            </w:tr>
            <w:tr w14:paraId="45417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08904BB0">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color w:val="auto"/>
                      <w:kern w:val="2"/>
                      <w:sz w:val="21"/>
                      <w:szCs w:val="21"/>
                      <w:highlight w:val="none"/>
                      <w:lang w:val="en-US" w:eastAsia="zh-CN" w:bidi="zh-CN"/>
                    </w:rPr>
                    <w:t>2</w:t>
                  </w:r>
                </w:p>
              </w:tc>
              <w:tc>
                <w:tcPr>
                  <w:tcW w:w="1364" w:type="pct"/>
                  <w:noWrap w:val="0"/>
                  <w:vAlign w:val="center"/>
                </w:tcPr>
                <w:p w14:paraId="50E1854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i w:val="0"/>
                      <w:iCs w:val="0"/>
                      <w:color w:val="auto"/>
                      <w:kern w:val="0"/>
                      <w:sz w:val="21"/>
                      <w:szCs w:val="21"/>
                      <w:highlight w:val="none"/>
                      <w:u w:val="none"/>
                      <w:lang w:val="en-US" w:eastAsia="zh-CN" w:bidi="ar"/>
                    </w:rPr>
                    <w:t>T</w:t>
                  </w:r>
                  <w:r>
                    <w:rPr>
                      <w:rFonts w:hint="default" w:ascii="Times New Roman" w:hAnsi="Times New Roman" w:eastAsia="宋体" w:cs="Times New Roman"/>
                      <w:i w:val="0"/>
                      <w:iCs w:val="0"/>
                      <w:color w:val="auto"/>
                      <w:kern w:val="0"/>
                      <w:sz w:val="21"/>
                      <w:szCs w:val="21"/>
                      <w:highlight w:val="none"/>
                      <w:u w:val="none"/>
                      <w:lang w:val="en-US" w:eastAsia="zh-CN" w:bidi="ar"/>
                    </w:rPr>
                    <w:t>A00</w:t>
                  </w:r>
                  <w:r>
                    <w:rPr>
                      <w:rFonts w:hint="eastAsia" w:ascii="Times New Roman" w:hAnsi="Times New Roman" w:eastAsia="宋体" w:cs="Times New Roman"/>
                      <w:i w:val="0"/>
                      <w:iCs w:val="0"/>
                      <w:color w:val="auto"/>
                      <w:kern w:val="0"/>
                      <w:sz w:val="21"/>
                      <w:szCs w:val="21"/>
                      <w:highlight w:val="none"/>
                      <w:u w:val="none"/>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风机</w:t>
                  </w:r>
                </w:p>
              </w:tc>
              <w:tc>
                <w:tcPr>
                  <w:tcW w:w="348" w:type="pct"/>
                  <w:noWrap w:val="0"/>
                  <w:vAlign w:val="center"/>
                </w:tcPr>
                <w:p w14:paraId="4E7C4067">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175BEDC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448" w:type="pct"/>
                  <w:noWrap w:val="0"/>
                  <w:vAlign w:val="center"/>
                </w:tcPr>
                <w:p w14:paraId="650D185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100</w:t>
                  </w:r>
                </w:p>
              </w:tc>
              <w:tc>
                <w:tcPr>
                  <w:tcW w:w="423" w:type="pct"/>
                  <w:noWrap w:val="0"/>
                  <w:vAlign w:val="center"/>
                </w:tcPr>
                <w:p w14:paraId="5F052BFB">
                  <w:pPr>
                    <w:keepNext w:val="0"/>
                    <w:keepLines w:val="0"/>
                    <w:widowControl/>
                    <w:suppressLineNumbers w:val="0"/>
                    <w:jc w:val="center"/>
                    <w:textAlignment w:val="center"/>
                    <w:rPr>
                      <w:rFonts w:hint="default"/>
                      <w:color w:val="auto"/>
                      <w:sz w:val="24"/>
                      <w:szCs w:val="32"/>
                      <w:highlight w:val="none"/>
                      <w:vertAlign w:val="baseli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5BAB416E">
                  <w:pPr>
                    <w:keepNext w:val="0"/>
                    <w:keepLines w:val="0"/>
                    <w:widowControl/>
                    <w:suppressLineNumbers w:val="0"/>
                    <w:jc w:val="center"/>
                    <w:textAlignment w:val="center"/>
                    <w:rPr>
                      <w:rFonts w:hint="default" w:eastAsia="宋体"/>
                      <w:color w:val="auto"/>
                      <w:sz w:val="21"/>
                      <w:szCs w:val="24"/>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continue"/>
                  <w:noWrap w:val="0"/>
                  <w:vAlign w:val="center"/>
                </w:tcPr>
                <w:p w14:paraId="779A9A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04600D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r>
            <w:tr w14:paraId="3BC1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6" w:type="pct"/>
                  <w:noWrap w:val="0"/>
                  <w:vAlign w:val="center"/>
                </w:tcPr>
                <w:p w14:paraId="5A215AEE">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color w:val="auto"/>
                      <w:kern w:val="2"/>
                      <w:sz w:val="21"/>
                      <w:szCs w:val="21"/>
                      <w:highlight w:val="none"/>
                      <w:lang w:val="en-US" w:eastAsia="zh-CN" w:bidi="zh-CN"/>
                    </w:rPr>
                    <w:t>3</w:t>
                  </w:r>
                </w:p>
              </w:tc>
              <w:tc>
                <w:tcPr>
                  <w:tcW w:w="1364" w:type="pct"/>
                  <w:noWrap w:val="0"/>
                  <w:vAlign w:val="center"/>
                </w:tcPr>
                <w:p w14:paraId="55897AB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T</w:t>
                  </w:r>
                  <w:r>
                    <w:rPr>
                      <w:rFonts w:hint="default" w:ascii="Times New Roman" w:hAnsi="Times New Roman" w:eastAsia="宋体" w:cs="Times New Roman"/>
                      <w:i w:val="0"/>
                      <w:iCs w:val="0"/>
                      <w:color w:val="auto"/>
                      <w:kern w:val="0"/>
                      <w:sz w:val="21"/>
                      <w:szCs w:val="21"/>
                      <w:highlight w:val="none"/>
                      <w:u w:val="none"/>
                      <w:lang w:val="en-US" w:eastAsia="zh-CN" w:bidi="ar"/>
                    </w:rPr>
                    <w:t>A00</w:t>
                  </w:r>
                  <w:r>
                    <w:rPr>
                      <w:rFonts w:hint="eastAsia" w:ascii="Times New Roman" w:hAnsi="Times New Roman" w:eastAsia="宋体" w:cs="Times New Roman"/>
                      <w:i w:val="0"/>
                      <w:iCs w:val="0"/>
                      <w:color w:val="auto"/>
                      <w:kern w:val="0"/>
                      <w:sz w:val="21"/>
                      <w:szCs w:val="21"/>
                      <w:highlight w:val="none"/>
                      <w:u w:val="none"/>
                      <w:lang w:val="en-US" w:eastAsia="zh-CN" w:bidi="ar"/>
                    </w:rPr>
                    <w:t>3</w:t>
                  </w:r>
                  <w:r>
                    <w:rPr>
                      <w:rFonts w:hint="default" w:ascii="Times New Roman" w:hAnsi="Times New Roman" w:eastAsia="宋体" w:cs="Times New Roman"/>
                      <w:i w:val="0"/>
                      <w:iCs w:val="0"/>
                      <w:color w:val="auto"/>
                      <w:kern w:val="0"/>
                      <w:sz w:val="21"/>
                      <w:szCs w:val="21"/>
                      <w:highlight w:val="none"/>
                      <w:u w:val="none"/>
                      <w:lang w:val="en-US" w:eastAsia="zh-CN" w:bidi="ar"/>
                    </w:rPr>
                    <w:t>风机</w:t>
                  </w:r>
                </w:p>
              </w:tc>
              <w:tc>
                <w:tcPr>
                  <w:tcW w:w="348" w:type="pct"/>
                  <w:noWrap w:val="0"/>
                  <w:vAlign w:val="center"/>
                </w:tcPr>
                <w:p w14:paraId="34DD7B8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0C83BD8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448" w:type="pct"/>
                  <w:noWrap w:val="0"/>
                  <w:vAlign w:val="center"/>
                </w:tcPr>
                <w:p w14:paraId="0B8DAB5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38</w:t>
                  </w:r>
                </w:p>
              </w:tc>
              <w:tc>
                <w:tcPr>
                  <w:tcW w:w="423" w:type="pct"/>
                  <w:noWrap w:val="0"/>
                  <w:vAlign w:val="center"/>
                </w:tcPr>
                <w:p w14:paraId="78729587">
                  <w:pPr>
                    <w:keepNext w:val="0"/>
                    <w:keepLines w:val="0"/>
                    <w:widowControl/>
                    <w:suppressLineNumbers w:val="0"/>
                    <w:jc w:val="center"/>
                    <w:textAlignment w:val="center"/>
                    <w:rPr>
                      <w:rFonts w:hint="default" w:ascii="Times New Roman" w:eastAsia="宋体"/>
                      <w:color w:val="auto"/>
                      <w:sz w:val="21"/>
                      <w:szCs w:val="28"/>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2D439816">
                  <w:pPr>
                    <w:keepNext w:val="0"/>
                    <w:keepLines w:val="0"/>
                    <w:widowControl/>
                    <w:suppressLineNumbers w:val="0"/>
                    <w:jc w:val="center"/>
                    <w:textAlignment w:val="center"/>
                    <w:rPr>
                      <w:rFonts w:hint="default"/>
                      <w:color w:val="auto"/>
                      <w:sz w:val="21"/>
                      <w:szCs w:val="24"/>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continue"/>
                  <w:noWrap w:val="0"/>
                  <w:vAlign w:val="center"/>
                </w:tcPr>
                <w:p w14:paraId="65CE75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5A103A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4"/>
                      <w:highlight w:val="none"/>
                      <w:vertAlign w:val="baseline"/>
                      <w:lang w:val="en-US" w:eastAsia="zh-CN"/>
                    </w:rPr>
                  </w:pPr>
                </w:p>
              </w:tc>
            </w:tr>
            <w:tr w14:paraId="78241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671239E3">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color w:val="auto"/>
                      <w:kern w:val="2"/>
                      <w:sz w:val="21"/>
                      <w:szCs w:val="21"/>
                      <w:highlight w:val="none"/>
                      <w:lang w:val="en-US" w:eastAsia="zh-CN" w:bidi="zh-CN"/>
                    </w:rPr>
                    <w:t>4</w:t>
                  </w:r>
                </w:p>
              </w:tc>
              <w:tc>
                <w:tcPr>
                  <w:tcW w:w="1364" w:type="pct"/>
                  <w:noWrap w:val="0"/>
                  <w:vAlign w:val="center"/>
                </w:tcPr>
                <w:p w14:paraId="3A92913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i w:val="0"/>
                      <w:iCs w:val="0"/>
                      <w:color w:val="auto"/>
                      <w:kern w:val="0"/>
                      <w:sz w:val="21"/>
                      <w:szCs w:val="21"/>
                      <w:highlight w:val="none"/>
                      <w:u w:val="none"/>
                      <w:lang w:val="en-US" w:eastAsia="zh-CN" w:bidi="ar"/>
                    </w:rPr>
                    <w:t>T</w:t>
                  </w:r>
                  <w:r>
                    <w:rPr>
                      <w:rFonts w:hint="default" w:ascii="Times New Roman" w:hAnsi="Times New Roman" w:eastAsia="宋体" w:cs="Times New Roman"/>
                      <w:i w:val="0"/>
                      <w:iCs w:val="0"/>
                      <w:color w:val="auto"/>
                      <w:kern w:val="0"/>
                      <w:sz w:val="21"/>
                      <w:szCs w:val="21"/>
                      <w:highlight w:val="none"/>
                      <w:u w:val="none"/>
                      <w:lang w:val="en-US" w:eastAsia="zh-CN" w:bidi="ar"/>
                    </w:rPr>
                    <w:t>A00</w:t>
                  </w:r>
                  <w:r>
                    <w:rPr>
                      <w:rFonts w:hint="eastAsia" w:ascii="Times New Roman" w:hAnsi="Times New Roman" w:eastAsia="宋体" w:cs="Times New Roman"/>
                      <w:i w:val="0"/>
                      <w:iCs w:val="0"/>
                      <w:color w:val="auto"/>
                      <w:kern w:val="0"/>
                      <w:sz w:val="21"/>
                      <w:szCs w:val="21"/>
                      <w:highlight w:val="none"/>
                      <w:u w:val="none"/>
                      <w:lang w:val="en-US" w:eastAsia="zh-CN" w:bidi="ar"/>
                    </w:rPr>
                    <w:t>4</w:t>
                  </w:r>
                  <w:r>
                    <w:rPr>
                      <w:rFonts w:hint="default" w:ascii="Times New Roman" w:hAnsi="Times New Roman" w:eastAsia="宋体" w:cs="Times New Roman"/>
                      <w:i w:val="0"/>
                      <w:iCs w:val="0"/>
                      <w:color w:val="auto"/>
                      <w:kern w:val="0"/>
                      <w:sz w:val="21"/>
                      <w:szCs w:val="21"/>
                      <w:highlight w:val="none"/>
                      <w:u w:val="none"/>
                      <w:lang w:val="en-US" w:eastAsia="zh-CN" w:bidi="ar"/>
                    </w:rPr>
                    <w:t>风机</w:t>
                  </w:r>
                </w:p>
              </w:tc>
              <w:tc>
                <w:tcPr>
                  <w:tcW w:w="348" w:type="pct"/>
                  <w:noWrap w:val="0"/>
                  <w:vAlign w:val="center"/>
                </w:tcPr>
                <w:p w14:paraId="4220F32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67B230F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448" w:type="pct"/>
                  <w:noWrap w:val="0"/>
                  <w:vAlign w:val="center"/>
                </w:tcPr>
                <w:p w14:paraId="72724C3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43</w:t>
                  </w:r>
                </w:p>
              </w:tc>
              <w:tc>
                <w:tcPr>
                  <w:tcW w:w="423" w:type="pct"/>
                  <w:noWrap w:val="0"/>
                  <w:vAlign w:val="center"/>
                </w:tcPr>
                <w:p w14:paraId="32AF3038">
                  <w:pPr>
                    <w:keepNext w:val="0"/>
                    <w:keepLines w:val="0"/>
                    <w:widowControl/>
                    <w:suppressLineNumbers w:val="0"/>
                    <w:jc w:val="center"/>
                    <w:textAlignment w:val="center"/>
                    <w:rPr>
                      <w:rFonts w:hint="default" w:ascii="Times New Roman" w:eastAsia="宋体"/>
                      <w:color w:val="auto"/>
                      <w:sz w:val="21"/>
                      <w:szCs w:val="28"/>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520E8EF9">
                  <w:pPr>
                    <w:keepNext w:val="0"/>
                    <w:keepLines w:val="0"/>
                    <w:widowControl/>
                    <w:suppressLineNumbers w:val="0"/>
                    <w:jc w:val="center"/>
                    <w:textAlignment w:val="center"/>
                    <w:rPr>
                      <w:rFonts w:hint="default"/>
                      <w:color w:val="auto"/>
                      <w:sz w:val="21"/>
                      <w:szCs w:val="24"/>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continue"/>
                  <w:noWrap w:val="0"/>
                  <w:vAlign w:val="center"/>
                </w:tcPr>
                <w:p w14:paraId="7C62A8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7A9E4A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4"/>
                      <w:highlight w:val="none"/>
                      <w:vertAlign w:val="baseline"/>
                      <w:lang w:val="en-US" w:eastAsia="zh-CN"/>
                    </w:rPr>
                  </w:pPr>
                </w:p>
              </w:tc>
            </w:tr>
            <w:tr w14:paraId="5C3A2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40662585">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color w:val="auto"/>
                      <w:kern w:val="2"/>
                      <w:sz w:val="21"/>
                      <w:szCs w:val="21"/>
                      <w:highlight w:val="none"/>
                      <w:lang w:val="en-US" w:eastAsia="zh-CN" w:bidi="zh-CN"/>
                    </w:rPr>
                    <w:t>5</w:t>
                  </w:r>
                </w:p>
              </w:tc>
              <w:tc>
                <w:tcPr>
                  <w:tcW w:w="1364" w:type="pct"/>
                  <w:noWrap w:val="0"/>
                  <w:vAlign w:val="center"/>
                </w:tcPr>
                <w:p w14:paraId="343E499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i w:val="0"/>
                      <w:iCs w:val="0"/>
                      <w:color w:val="auto"/>
                      <w:kern w:val="0"/>
                      <w:sz w:val="21"/>
                      <w:szCs w:val="21"/>
                      <w:highlight w:val="none"/>
                      <w:u w:val="none"/>
                      <w:lang w:val="en-US" w:eastAsia="zh-CN" w:bidi="ar"/>
                    </w:rPr>
                    <w:t>T</w:t>
                  </w:r>
                  <w:r>
                    <w:rPr>
                      <w:rFonts w:hint="default" w:ascii="Times New Roman" w:hAnsi="Times New Roman" w:eastAsia="宋体" w:cs="Times New Roman"/>
                      <w:i w:val="0"/>
                      <w:iCs w:val="0"/>
                      <w:color w:val="auto"/>
                      <w:kern w:val="0"/>
                      <w:sz w:val="21"/>
                      <w:szCs w:val="21"/>
                      <w:highlight w:val="none"/>
                      <w:u w:val="none"/>
                      <w:lang w:val="en-US" w:eastAsia="zh-CN" w:bidi="ar"/>
                    </w:rPr>
                    <w:t>A00</w:t>
                  </w:r>
                  <w:r>
                    <w:rPr>
                      <w:rFonts w:hint="eastAsia" w:ascii="Times New Roman" w:hAnsi="Times New Roman" w:eastAsia="宋体" w:cs="Times New Roman"/>
                      <w:i w:val="0"/>
                      <w:iCs w:val="0"/>
                      <w:color w:val="auto"/>
                      <w:kern w:val="0"/>
                      <w:sz w:val="21"/>
                      <w:szCs w:val="21"/>
                      <w:highlight w:val="none"/>
                      <w:u w:val="none"/>
                      <w:lang w:val="en-US" w:eastAsia="zh-CN" w:bidi="ar"/>
                    </w:rPr>
                    <w:t>5</w:t>
                  </w:r>
                  <w:r>
                    <w:rPr>
                      <w:rFonts w:hint="default" w:ascii="Times New Roman" w:hAnsi="Times New Roman" w:eastAsia="宋体" w:cs="Times New Roman"/>
                      <w:i w:val="0"/>
                      <w:iCs w:val="0"/>
                      <w:color w:val="auto"/>
                      <w:kern w:val="0"/>
                      <w:sz w:val="21"/>
                      <w:szCs w:val="21"/>
                      <w:highlight w:val="none"/>
                      <w:u w:val="none"/>
                      <w:lang w:val="en-US" w:eastAsia="zh-CN" w:bidi="ar"/>
                    </w:rPr>
                    <w:t>风机</w:t>
                  </w:r>
                </w:p>
              </w:tc>
              <w:tc>
                <w:tcPr>
                  <w:tcW w:w="348" w:type="pct"/>
                  <w:noWrap w:val="0"/>
                  <w:vAlign w:val="center"/>
                </w:tcPr>
                <w:p w14:paraId="1B8929F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1E6210C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32</w:t>
                  </w:r>
                </w:p>
              </w:tc>
              <w:tc>
                <w:tcPr>
                  <w:tcW w:w="448" w:type="pct"/>
                  <w:noWrap w:val="0"/>
                  <w:vAlign w:val="center"/>
                </w:tcPr>
                <w:p w14:paraId="31DD67C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35</w:t>
                  </w:r>
                </w:p>
              </w:tc>
              <w:tc>
                <w:tcPr>
                  <w:tcW w:w="423" w:type="pct"/>
                  <w:noWrap w:val="0"/>
                  <w:vAlign w:val="center"/>
                </w:tcPr>
                <w:p w14:paraId="22143A84">
                  <w:pPr>
                    <w:keepNext w:val="0"/>
                    <w:keepLines w:val="0"/>
                    <w:widowControl/>
                    <w:suppressLineNumbers w:val="0"/>
                    <w:jc w:val="center"/>
                    <w:textAlignment w:val="center"/>
                    <w:rPr>
                      <w:rFonts w:hint="default" w:ascii="Times New Roman" w:eastAsia="宋体"/>
                      <w:color w:val="auto"/>
                      <w:sz w:val="21"/>
                      <w:szCs w:val="28"/>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08C6787A">
                  <w:pPr>
                    <w:keepNext w:val="0"/>
                    <w:keepLines w:val="0"/>
                    <w:widowControl/>
                    <w:suppressLineNumbers w:val="0"/>
                    <w:jc w:val="center"/>
                    <w:textAlignment w:val="center"/>
                    <w:rPr>
                      <w:rFonts w:hint="default"/>
                      <w:color w:val="auto"/>
                      <w:sz w:val="21"/>
                      <w:szCs w:val="24"/>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continue"/>
                  <w:noWrap w:val="0"/>
                  <w:vAlign w:val="center"/>
                </w:tcPr>
                <w:p w14:paraId="185DA3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7EAE4E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4"/>
                      <w:highlight w:val="none"/>
                      <w:vertAlign w:val="baseline"/>
                      <w:lang w:val="en-US" w:eastAsia="zh-CN"/>
                    </w:rPr>
                  </w:pPr>
                </w:p>
              </w:tc>
            </w:tr>
            <w:tr w14:paraId="52D9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6" w:type="pct"/>
                  <w:noWrap w:val="0"/>
                  <w:vAlign w:val="center"/>
                </w:tcPr>
                <w:p w14:paraId="4469FF5B">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color w:val="auto"/>
                      <w:kern w:val="2"/>
                      <w:sz w:val="21"/>
                      <w:szCs w:val="21"/>
                      <w:highlight w:val="none"/>
                      <w:lang w:val="en-US" w:eastAsia="zh-CN" w:bidi="zh-CN"/>
                    </w:rPr>
                    <w:t>6</w:t>
                  </w:r>
                </w:p>
              </w:tc>
              <w:tc>
                <w:tcPr>
                  <w:tcW w:w="1364" w:type="pct"/>
                  <w:noWrap w:val="0"/>
                  <w:vAlign w:val="center"/>
                </w:tcPr>
                <w:p w14:paraId="3D530FA5">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T</w:t>
                  </w:r>
                  <w:r>
                    <w:rPr>
                      <w:rFonts w:hint="default" w:ascii="Times New Roman" w:hAnsi="Times New Roman" w:eastAsia="宋体" w:cs="Times New Roman"/>
                      <w:i w:val="0"/>
                      <w:iCs w:val="0"/>
                      <w:color w:val="auto"/>
                      <w:kern w:val="0"/>
                      <w:sz w:val="21"/>
                      <w:szCs w:val="21"/>
                      <w:highlight w:val="none"/>
                      <w:u w:val="none"/>
                      <w:lang w:val="en-US" w:eastAsia="zh-CN" w:bidi="ar"/>
                    </w:rPr>
                    <w:t>A00</w:t>
                  </w:r>
                  <w:r>
                    <w:rPr>
                      <w:rFonts w:hint="eastAsia" w:ascii="Times New Roman" w:hAnsi="Times New Roman" w:eastAsia="宋体" w:cs="Times New Roman"/>
                      <w:i w:val="0"/>
                      <w:iCs w:val="0"/>
                      <w:color w:val="auto"/>
                      <w:kern w:val="0"/>
                      <w:sz w:val="21"/>
                      <w:szCs w:val="21"/>
                      <w:highlight w:val="none"/>
                      <w:u w:val="none"/>
                      <w:lang w:val="en-US" w:eastAsia="zh-CN" w:bidi="ar"/>
                    </w:rPr>
                    <w:t>6</w:t>
                  </w:r>
                  <w:r>
                    <w:rPr>
                      <w:rFonts w:hint="default" w:ascii="Times New Roman" w:hAnsi="Times New Roman" w:eastAsia="宋体" w:cs="Times New Roman"/>
                      <w:i w:val="0"/>
                      <w:iCs w:val="0"/>
                      <w:color w:val="auto"/>
                      <w:kern w:val="0"/>
                      <w:sz w:val="21"/>
                      <w:szCs w:val="21"/>
                      <w:highlight w:val="none"/>
                      <w:u w:val="none"/>
                      <w:lang w:val="en-US" w:eastAsia="zh-CN" w:bidi="ar"/>
                    </w:rPr>
                    <w:t>风机</w:t>
                  </w:r>
                </w:p>
              </w:tc>
              <w:tc>
                <w:tcPr>
                  <w:tcW w:w="348" w:type="pct"/>
                  <w:noWrap w:val="0"/>
                  <w:vAlign w:val="center"/>
                </w:tcPr>
                <w:p w14:paraId="6525484B">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21203843">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32</w:t>
                  </w:r>
                </w:p>
              </w:tc>
              <w:tc>
                <w:tcPr>
                  <w:tcW w:w="448" w:type="pct"/>
                  <w:noWrap w:val="0"/>
                  <w:vAlign w:val="center"/>
                </w:tcPr>
                <w:p w14:paraId="2374DC92">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40</w:t>
                  </w:r>
                </w:p>
              </w:tc>
              <w:tc>
                <w:tcPr>
                  <w:tcW w:w="423" w:type="pct"/>
                  <w:noWrap w:val="0"/>
                  <w:vAlign w:val="center"/>
                </w:tcPr>
                <w:p w14:paraId="6C4F1E40">
                  <w:pPr>
                    <w:keepNext w:val="0"/>
                    <w:keepLines w:val="0"/>
                    <w:widowControl/>
                    <w:suppressLineNumbers w:val="0"/>
                    <w:jc w:val="center"/>
                    <w:textAlignment w:val="center"/>
                    <w:rPr>
                      <w:rFonts w:hint="eastAsia" w:ascii="Times New Roman" w:eastAsia="宋体"/>
                      <w:color w:val="auto"/>
                      <w:sz w:val="21"/>
                      <w:szCs w:val="28"/>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60C70F2A">
                  <w:pPr>
                    <w:keepNext w:val="0"/>
                    <w:keepLines w:val="0"/>
                    <w:widowControl/>
                    <w:suppressLineNumbers w:val="0"/>
                    <w:jc w:val="center"/>
                    <w:textAlignment w:val="center"/>
                    <w:rPr>
                      <w:rFonts w:hint="eastAsia"/>
                      <w:color w:val="auto"/>
                      <w:sz w:val="21"/>
                      <w:szCs w:val="24"/>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continue"/>
                  <w:noWrap w:val="0"/>
                  <w:vAlign w:val="center"/>
                </w:tcPr>
                <w:p w14:paraId="38836F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29121B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4"/>
                      <w:highlight w:val="none"/>
                      <w:vertAlign w:val="baseline"/>
                      <w:lang w:val="en-US" w:eastAsia="zh-CN"/>
                    </w:rPr>
                  </w:pPr>
                </w:p>
              </w:tc>
            </w:tr>
            <w:tr w14:paraId="1972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7D23A338">
                  <w:pPr>
                    <w:pStyle w:val="102"/>
                    <w:keepNext w:val="0"/>
                    <w:keepLines w:val="0"/>
                    <w:pageBreakBefore w:val="0"/>
                    <w:widowControl w:val="0"/>
                    <w:kinsoku/>
                    <w:wordWrap/>
                    <w:overflowPunct/>
                    <w:topLinePunct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zh-CN"/>
                    </w:rPr>
                  </w:pPr>
                  <w:r>
                    <w:rPr>
                      <w:rFonts w:hint="eastAsia" w:ascii="Times New Roman" w:hAnsi="Times New Roman" w:eastAsia="宋体" w:cs="Times New Roman"/>
                      <w:color w:val="auto"/>
                      <w:kern w:val="2"/>
                      <w:sz w:val="21"/>
                      <w:szCs w:val="21"/>
                      <w:highlight w:val="none"/>
                      <w:lang w:val="en-US" w:eastAsia="zh-CN" w:bidi="zh-CN"/>
                    </w:rPr>
                    <w:t>7</w:t>
                  </w:r>
                </w:p>
              </w:tc>
              <w:tc>
                <w:tcPr>
                  <w:tcW w:w="1364" w:type="pct"/>
                  <w:noWrap w:val="0"/>
                  <w:vAlign w:val="center"/>
                </w:tcPr>
                <w:p w14:paraId="439ED16F">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冷却塔</w:t>
                  </w:r>
                </w:p>
              </w:tc>
              <w:tc>
                <w:tcPr>
                  <w:tcW w:w="348" w:type="pct"/>
                  <w:noWrap w:val="0"/>
                  <w:vAlign w:val="center"/>
                </w:tcPr>
                <w:p w14:paraId="60CC5ED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71" w:type="pct"/>
                  <w:noWrap w:val="0"/>
                  <w:vAlign w:val="center"/>
                </w:tcPr>
                <w:p w14:paraId="1CF949D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32</w:t>
                  </w:r>
                </w:p>
              </w:tc>
              <w:tc>
                <w:tcPr>
                  <w:tcW w:w="448" w:type="pct"/>
                  <w:noWrap w:val="0"/>
                  <w:vAlign w:val="center"/>
                </w:tcPr>
                <w:p w14:paraId="34B87B6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4</w:t>
                  </w:r>
                  <w:r>
                    <w:rPr>
                      <w:rFonts w:hint="eastAsia" w:ascii="Times New Roman" w:hAnsi="Times New Roman" w:eastAsia="宋体" w:cs="Times New Roman"/>
                      <w:i w:val="0"/>
                      <w:iCs w:val="0"/>
                      <w:color w:val="auto"/>
                      <w:kern w:val="0"/>
                      <w:sz w:val="21"/>
                      <w:szCs w:val="21"/>
                      <w:highlight w:val="none"/>
                      <w:u w:val="none"/>
                      <w:lang w:val="en-US" w:eastAsia="zh-CN" w:bidi="ar"/>
                    </w:rPr>
                    <w:t>3</w:t>
                  </w:r>
                </w:p>
              </w:tc>
              <w:tc>
                <w:tcPr>
                  <w:tcW w:w="423" w:type="pct"/>
                  <w:noWrap w:val="0"/>
                  <w:vAlign w:val="center"/>
                </w:tcPr>
                <w:p w14:paraId="280C7B9B">
                  <w:pPr>
                    <w:keepNext w:val="0"/>
                    <w:keepLines w:val="0"/>
                    <w:widowControl/>
                    <w:suppressLineNumbers w:val="0"/>
                    <w:jc w:val="center"/>
                    <w:textAlignment w:val="center"/>
                    <w:rPr>
                      <w:rFonts w:hint="default" w:ascii="Times New Roman" w:eastAsia="宋体"/>
                      <w:color w:val="auto"/>
                      <w:kern w:val="2"/>
                      <w:sz w:val="21"/>
                      <w:szCs w:val="28"/>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9" w:type="pct"/>
                  <w:noWrap w:val="0"/>
                  <w:vAlign w:val="center"/>
                </w:tcPr>
                <w:p w14:paraId="690F81EE">
                  <w:pPr>
                    <w:keepNext w:val="0"/>
                    <w:keepLines w:val="0"/>
                    <w:widowControl/>
                    <w:suppressLineNumbers w:val="0"/>
                    <w:jc w:val="center"/>
                    <w:textAlignment w:val="center"/>
                    <w:rPr>
                      <w:rFonts w:hint="default"/>
                      <w:color w:val="auto"/>
                      <w:kern w:val="2"/>
                      <w:sz w:val="21"/>
                      <w:szCs w:val="24"/>
                      <w:highlight w:val="none"/>
                      <w:vertAlign w:val="baseli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521" w:type="pct"/>
                  <w:vMerge w:val="continue"/>
                  <w:noWrap w:val="0"/>
                  <w:vAlign w:val="center"/>
                </w:tcPr>
                <w:p w14:paraId="694C25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4"/>
                      <w:highlight w:val="none"/>
                      <w:vertAlign w:val="baseline"/>
                    </w:rPr>
                  </w:pPr>
                </w:p>
              </w:tc>
              <w:tc>
                <w:tcPr>
                  <w:tcW w:w="456" w:type="pct"/>
                  <w:vMerge w:val="continue"/>
                  <w:noWrap w:val="0"/>
                  <w:vAlign w:val="center"/>
                </w:tcPr>
                <w:p w14:paraId="6AE965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olor w:val="auto"/>
                      <w:sz w:val="21"/>
                      <w:szCs w:val="24"/>
                      <w:highlight w:val="none"/>
                      <w:vertAlign w:val="baseline"/>
                      <w:lang w:val="en-US" w:eastAsia="zh-CN"/>
                    </w:rPr>
                  </w:pPr>
                </w:p>
              </w:tc>
            </w:tr>
          </w:tbl>
          <w:p w14:paraId="5E3E82A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b/>
                <w:bCs/>
                <w:color w:val="auto"/>
                <w:sz w:val="18"/>
                <w:szCs w:val="18"/>
                <w:highlight w:val="none"/>
                <w:lang w:val="en-US" w:eastAsia="zh-CN"/>
              </w:rPr>
              <w:t>注：</w:t>
            </w:r>
            <w:r>
              <w:rPr>
                <w:rFonts w:hint="default" w:ascii="Times New Roman" w:hAnsi="Times New Roman" w:eastAsia="宋体" w:cs="Times New Roman"/>
                <w:color w:val="auto"/>
                <w:sz w:val="18"/>
                <w:szCs w:val="18"/>
                <w:highlight w:val="none"/>
                <w:lang w:val="en-US" w:eastAsia="zh-CN"/>
              </w:rPr>
              <w:t>上表中的X、Y轴坐标值系以</w:t>
            </w:r>
            <w:r>
              <w:rPr>
                <w:rFonts w:hint="eastAsia" w:cs="Times New Roman"/>
                <w:color w:val="auto"/>
                <w:sz w:val="18"/>
                <w:szCs w:val="18"/>
                <w:highlight w:val="none"/>
                <w:lang w:val="en-US" w:eastAsia="zh-CN"/>
              </w:rPr>
              <w:t>厂区东</w:t>
            </w:r>
            <w:r>
              <w:rPr>
                <w:rFonts w:hint="eastAsia" w:ascii="Times New Roman" w:hAnsi="Times New Roman" w:eastAsia="宋体" w:cs="Times New Roman"/>
                <w:color w:val="auto"/>
                <w:sz w:val="18"/>
                <w:szCs w:val="18"/>
                <w:highlight w:val="none"/>
                <w:lang w:val="en-US" w:eastAsia="zh-CN"/>
              </w:rPr>
              <w:t>南角</w:t>
            </w:r>
            <w:r>
              <w:rPr>
                <w:rFonts w:hint="default" w:ascii="Times New Roman" w:hAnsi="Times New Roman" w:eastAsia="宋体" w:cs="Times New Roman"/>
                <w:color w:val="auto"/>
                <w:sz w:val="18"/>
                <w:szCs w:val="18"/>
                <w:highlight w:val="none"/>
                <w:lang w:val="en-US" w:eastAsia="zh-CN"/>
              </w:rPr>
              <w:t>：东经117.91561316，北纬30.67699248″为坐标原点（0，0），自西向东为X轴，自南向北为Y轴的定位值。</w:t>
            </w:r>
          </w:p>
          <w:p w14:paraId="7BD81CD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18"/>
                <w:szCs w:val="18"/>
                <w:highlight w:val="none"/>
                <w:lang w:val="en-US" w:eastAsia="zh-CN"/>
              </w:rPr>
            </w:pPr>
          </w:p>
          <w:p w14:paraId="3D969326">
            <w:pPr>
              <w:keepNext w:val="0"/>
              <w:keepLines w:val="0"/>
              <w:widowControl/>
              <w:suppressLineNumbers w:val="0"/>
              <w:spacing w:before="0" w:beforeAutospacing="0" w:after="0" w:afterAutospacing="0" w:line="360" w:lineRule="auto"/>
              <w:ind w:left="0" w:right="0" w:firstLine="480"/>
              <w:textAlignment w:val="baseline"/>
              <w:rPr>
                <w:rFonts w:hint="default"/>
                <w:color w:val="auto"/>
                <w:highlight w:val="none"/>
              </w:rPr>
            </w:pPr>
            <w:r>
              <w:rPr>
                <w:rFonts w:hint="default"/>
                <w:bCs/>
                <w:color w:val="auto"/>
                <w:sz w:val="24"/>
                <w:highlight w:val="none"/>
              </w:rPr>
              <w:t>本评价采用《环境影响评价技术导则</w:t>
            </w:r>
            <w:r>
              <w:rPr>
                <w:rFonts w:hint="eastAsia"/>
                <w:bCs/>
                <w:color w:val="auto"/>
                <w:sz w:val="24"/>
                <w:highlight w:val="none"/>
                <w:lang w:val="en-US" w:eastAsia="zh-CN"/>
              </w:rPr>
              <w:t xml:space="preserve"> </w:t>
            </w:r>
            <w:r>
              <w:rPr>
                <w:rFonts w:hint="default"/>
                <w:bCs/>
                <w:color w:val="auto"/>
                <w:sz w:val="24"/>
                <w:highlight w:val="none"/>
              </w:rPr>
              <w:t>声环境》</w:t>
            </w:r>
            <w:r>
              <w:rPr>
                <w:rFonts w:hint="eastAsia"/>
                <w:bCs/>
                <w:color w:val="auto"/>
                <w:sz w:val="24"/>
                <w:highlight w:val="none"/>
                <w:lang w:eastAsia="zh-CN"/>
              </w:rPr>
              <w:t>（</w:t>
            </w:r>
            <w:r>
              <w:rPr>
                <w:rFonts w:hint="default"/>
                <w:bCs/>
                <w:color w:val="auto"/>
                <w:sz w:val="24"/>
                <w:highlight w:val="none"/>
              </w:rPr>
              <w:t>HJ 2.4</w:t>
            </w:r>
            <w:r>
              <w:rPr>
                <w:rFonts w:hint="eastAsia"/>
                <w:bCs/>
                <w:color w:val="auto"/>
                <w:sz w:val="24"/>
                <w:highlight w:val="none"/>
                <w:lang w:val="en-US" w:eastAsia="zh-CN"/>
              </w:rPr>
              <w:t>-</w:t>
            </w:r>
            <w:r>
              <w:rPr>
                <w:rFonts w:hint="default"/>
                <w:bCs/>
                <w:color w:val="auto"/>
                <w:sz w:val="24"/>
                <w:highlight w:val="none"/>
              </w:rPr>
              <w:t>20</w:t>
            </w:r>
            <w:r>
              <w:rPr>
                <w:rFonts w:hint="eastAsia"/>
                <w:bCs/>
                <w:color w:val="auto"/>
                <w:sz w:val="24"/>
                <w:highlight w:val="none"/>
                <w:lang w:val="en-US" w:eastAsia="zh-CN"/>
              </w:rPr>
              <w:t>21</w:t>
            </w:r>
            <w:r>
              <w:rPr>
                <w:rFonts w:hint="eastAsia"/>
                <w:bCs/>
                <w:color w:val="auto"/>
                <w:sz w:val="24"/>
                <w:highlight w:val="none"/>
                <w:lang w:eastAsia="zh-CN"/>
              </w:rPr>
              <w:t>）</w:t>
            </w:r>
            <w:r>
              <w:rPr>
                <w:rFonts w:hint="default"/>
                <w:bCs/>
                <w:color w:val="auto"/>
                <w:sz w:val="24"/>
                <w:highlight w:val="none"/>
              </w:rPr>
              <w:t>中推荐的工业噪声计算模式进行预测。</w:t>
            </w:r>
          </w:p>
          <w:p w14:paraId="5E9602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预测模式包括噪声衰减模式和噪声合成模式。噪声衰减模式采用点声源模式进行预测，具体模式如下：</w:t>
            </w:r>
          </w:p>
          <w:p w14:paraId="52E70F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color w:val="auto"/>
                <w:sz w:val="24"/>
                <w:szCs w:val="32"/>
                <w:highlight w:val="none"/>
              </w:rPr>
            </w:pPr>
            <w:r>
              <w:rPr>
                <w:color w:val="auto"/>
                <w:sz w:val="24"/>
                <w:szCs w:val="32"/>
                <w:highlight w:val="none"/>
              </w:rPr>
              <w:drawing>
                <wp:inline distT="0" distB="0" distL="114300" distR="114300">
                  <wp:extent cx="2100580" cy="230505"/>
                  <wp:effectExtent l="0" t="0" r="0" b="0"/>
                  <wp:docPr id="49"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8"/>
                          <pic:cNvPicPr>
                            <a:picLocks noChangeAspect="1"/>
                          </pic:cNvPicPr>
                        </pic:nvPicPr>
                        <pic:blipFill>
                          <a:blip r:embed="rId32"/>
                          <a:stretch>
                            <a:fillRect/>
                          </a:stretch>
                        </pic:blipFill>
                        <pic:spPr>
                          <a:xfrm>
                            <a:off x="0" y="0"/>
                            <a:ext cx="2100580" cy="230505"/>
                          </a:xfrm>
                          <a:prstGeom prst="rect">
                            <a:avLst/>
                          </a:prstGeom>
                          <a:noFill/>
                          <a:ln>
                            <a:noFill/>
                          </a:ln>
                        </pic:spPr>
                      </pic:pic>
                    </a:graphicData>
                  </a:graphic>
                </wp:inline>
              </w:drawing>
            </w:r>
          </w:p>
          <w:p w14:paraId="04E168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式中：L</w:t>
            </w:r>
            <w:r>
              <w:rPr>
                <w:color w:val="auto"/>
                <w:sz w:val="24"/>
                <w:szCs w:val="32"/>
                <w:highlight w:val="none"/>
                <w:vertAlign w:val="subscript"/>
              </w:rPr>
              <w:t>A</w:t>
            </w:r>
            <w:r>
              <w:rPr>
                <w:rFonts w:hint="eastAsia"/>
                <w:color w:val="auto"/>
                <w:sz w:val="24"/>
                <w:szCs w:val="32"/>
                <w:highlight w:val="none"/>
                <w:lang w:eastAsia="zh-CN"/>
              </w:rPr>
              <w:t>（</w:t>
            </w:r>
            <w:r>
              <w:rPr>
                <w:color w:val="auto"/>
                <w:sz w:val="24"/>
                <w:szCs w:val="32"/>
                <w:highlight w:val="none"/>
              </w:rPr>
              <w:t>r</w:t>
            </w:r>
            <w:r>
              <w:rPr>
                <w:rFonts w:hint="eastAsia"/>
                <w:color w:val="auto"/>
                <w:sz w:val="24"/>
                <w:szCs w:val="32"/>
                <w:highlight w:val="none"/>
                <w:lang w:eastAsia="zh-CN"/>
              </w:rPr>
              <w:t>）</w:t>
            </w:r>
            <w:r>
              <w:rPr>
                <w:color w:val="auto"/>
                <w:sz w:val="24"/>
                <w:szCs w:val="32"/>
                <w:highlight w:val="none"/>
              </w:rPr>
              <w:t>——点声源在预测点产生的A声级，dB</w:t>
            </w:r>
            <w:r>
              <w:rPr>
                <w:rFonts w:hint="eastAsia"/>
                <w:color w:val="auto"/>
                <w:sz w:val="24"/>
                <w:szCs w:val="32"/>
                <w:highlight w:val="none"/>
                <w:lang w:eastAsia="zh-CN"/>
              </w:rPr>
              <w:t>（</w:t>
            </w:r>
            <w:r>
              <w:rPr>
                <w:color w:val="auto"/>
                <w:sz w:val="24"/>
                <w:szCs w:val="32"/>
                <w:highlight w:val="none"/>
              </w:rPr>
              <w:t>A</w:t>
            </w:r>
            <w:r>
              <w:rPr>
                <w:rFonts w:hint="eastAsia"/>
                <w:color w:val="auto"/>
                <w:sz w:val="24"/>
                <w:szCs w:val="32"/>
                <w:highlight w:val="none"/>
                <w:lang w:eastAsia="zh-CN"/>
              </w:rPr>
              <w:t>）</w:t>
            </w:r>
            <w:r>
              <w:rPr>
                <w:color w:val="auto"/>
                <w:sz w:val="24"/>
                <w:szCs w:val="32"/>
                <w:highlight w:val="none"/>
              </w:rPr>
              <w:t>；</w:t>
            </w:r>
          </w:p>
          <w:p w14:paraId="030D9B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LA（r0）——参考位置r</w:t>
            </w:r>
            <w:r>
              <w:rPr>
                <w:color w:val="auto"/>
                <w:sz w:val="24"/>
                <w:szCs w:val="32"/>
                <w:highlight w:val="none"/>
                <w:vertAlign w:val="subscript"/>
              </w:rPr>
              <w:t>o</w:t>
            </w:r>
            <w:r>
              <w:rPr>
                <w:color w:val="auto"/>
                <w:sz w:val="24"/>
                <w:szCs w:val="32"/>
                <w:highlight w:val="none"/>
              </w:rPr>
              <w:t>处的A声级，dB</w:t>
            </w:r>
            <w:r>
              <w:rPr>
                <w:rFonts w:hint="eastAsia"/>
                <w:color w:val="auto"/>
                <w:sz w:val="24"/>
                <w:szCs w:val="32"/>
                <w:highlight w:val="none"/>
                <w:lang w:eastAsia="zh-CN"/>
              </w:rPr>
              <w:t>（</w:t>
            </w:r>
            <w:r>
              <w:rPr>
                <w:color w:val="auto"/>
                <w:sz w:val="24"/>
                <w:szCs w:val="32"/>
                <w:highlight w:val="none"/>
              </w:rPr>
              <w:t>A</w:t>
            </w:r>
            <w:r>
              <w:rPr>
                <w:rFonts w:hint="eastAsia"/>
                <w:color w:val="auto"/>
                <w:sz w:val="24"/>
                <w:szCs w:val="32"/>
                <w:highlight w:val="none"/>
                <w:lang w:eastAsia="zh-CN"/>
              </w:rPr>
              <w:t>）</w:t>
            </w:r>
            <w:r>
              <w:rPr>
                <w:color w:val="auto"/>
                <w:sz w:val="24"/>
                <w:szCs w:val="32"/>
                <w:highlight w:val="none"/>
              </w:rPr>
              <w:t>；</w:t>
            </w:r>
          </w:p>
          <w:p w14:paraId="18F367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r——预测点距声源的距离，dB</w:t>
            </w:r>
            <w:r>
              <w:rPr>
                <w:rFonts w:hint="eastAsia"/>
                <w:color w:val="auto"/>
                <w:sz w:val="24"/>
                <w:szCs w:val="32"/>
                <w:highlight w:val="none"/>
                <w:lang w:eastAsia="zh-CN"/>
              </w:rPr>
              <w:t>（</w:t>
            </w:r>
            <w:r>
              <w:rPr>
                <w:color w:val="auto"/>
                <w:sz w:val="24"/>
                <w:szCs w:val="32"/>
                <w:highlight w:val="none"/>
              </w:rPr>
              <w:t>A</w:t>
            </w:r>
            <w:r>
              <w:rPr>
                <w:rFonts w:hint="eastAsia"/>
                <w:color w:val="auto"/>
                <w:sz w:val="24"/>
                <w:szCs w:val="32"/>
                <w:highlight w:val="none"/>
                <w:lang w:eastAsia="zh-CN"/>
              </w:rPr>
              <w:t>）</w:t>
            </w:r>
            <w:r>
              <w:rPr>
                <w:color w:val="auto"/>
                <w:sz w:val="24"/>
                <w:szCs w:val="32"/>
                <w:highlight w:val="none"/>
              </w:rPr>
              <w:t>；</w:t>
            </w:r>
          </w:p>
          <w:p w14:paraId="44BBC0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r</w:t>
            </w:r>
            <w:r>
              <w:rPr>
                <w:color w:val="auto"/>
                <w:sz w:val="24"/>
                <w:szCs w:val="32"/>
                <w:highlight w:val="none"/>
                <w:vertAlign w:val="subscript"/>
              </w:rPr>
              <w:t>o</w:t>
            </w:r>
            <w:r>
              <w:rPr>
                <w:color w:val="auto"/>
                <w:sz w:val="24"/>
                <w:szCs w:val="32"/>
                <w:highlight w:val="none"/>
              </w:rPr>
              <w:t>——参考基准点距声源的距离，1.0m；</w:t>
            </w:r>
          </w:p>
          <w:p w14:paraId="1AE511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rFonts w:hint="eastAsia"/>
                <w:color w:val="auto"/>
                <w:sz w:val="24"/>
                <w:szCs w:val="32"/>
                <w:highlight w:val="none"/>
              </w:rPr>
              <w:t>ΔL</w:t>
            </w:r>
            <w:r>
              <w:rPr>
                <w:color w:val="auto"/>
                <w:sz w:val="24"/>
                <w:szCs w:val="32"/>
                <w:highlight w:val="none"/>
              </w:rPr>
              <w:t>——各种因素引起的衰减量（包括声屏障、遮挡物、空气吸收、地面效应引起的衰减量）。</w:t>
            </w:r>
          </w:p>
          <w:p w14:paraId="1E8505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噪声由室内传播到室外时，建筑物墙面相当于一个面声源。面声源衰减规律如下：当预测点和面声源中心距离r处于以下条件时，可按下述方法近似计算：r&lt;a/π时，几乎不衰减（Adiv≈0）；当a/π&lt;r&lt;b/π，距离加倍衰减3dB左右，类似线声源衰减特性（Adiv≈10lg</w:t>
            </w:r>
            <w:r>
              <w:rPr>
                <w:rFonts w:hint="eastAsia"/>
                <w:color w:val="auto"/>
                <w:sz w:val="24"/>
                <w:szCs w:val="32"/>
                <w:highlight w:val="none"/>
                <w:lang w:eastAsia="zh-CN"/>
              </w:rPr>
              <w:t>（</w:t>
            </w:r>
            <w:r>
              <w:rPr>
                <w:color w:val="auto"/>
                <w:sz w:val="24"/>
                <w:szCs w:val="32"/>
                <w:highlight w:val="none"/>
              </w:rPr>
              <w:t>r/r</w:t>
            </w:r>
            <w:r>
              <w:rPr>
                <w:color w:val="auto"/>
                <w:sz w:val="24"/>
                <w:szCs w:val="32"/>
                <w:highlight w:val="none"/>
                <w:vertAlign w:val="subscript"/>
              </w:rPr>
              <w:t>0</w:t>
            </w:r>
            <w:r>
              <w:rPr>
                <w:rFonts w:hint="eastAsia"/>
                <w:color w:val="auto"/>
                <w:sz w:val="24"/>
                <w:szCs w:val="32"/>
                <w:highlight w:val="none"/>
                <w:vertAlign w:val="subscript"/>
                <w:lang w:eastAsia="zh-CN"/>
              </w:rPr>
              <w:t>）</w:t>
            </w:r>
            <w:r>
              <w:rPr>
                <w:color w:val="auto"/>
                <w:sz w:val="24"/>
                <w:szCs w:val="32"/>
                <w:highlight w:val="none"/>
              </w:rPr>
              <w:t>）；当r&gt;b/π时，距离加倍衰减趋近于6dB，类似点声源衰减特性（Adiv≈20lg</w:t>
            </w:r>
            <w:r>
              <w:rPr>
                <w:rFonts w:hint="eastAsia"/>
                <w:color w:val="auto"/>
                <w:sz w:val="24"/>
                <w:szCs w:val="32"/>
                <w:highlight w:val="none"/>
                <w:lang w:eastAsia="zh-CN"/>
              </w:rPr>
              <w:t>（</w:t>
            </w:r>
            <w:r>
              <w:rPr>
                <w:color w:val="auto"/>
                <w:sz w:val="24"/>
                <w:szCs w:val="32"/>
                <w:highlight w:val="none"/>
              </w:rPr>
              <w:t>r/r</w:t>
            </w:r>
            <w:r>
              <w:rPr>
                <w:color w:val="auto"/>
                <w:sz w:val="24"/>
                <w:szCs w:val="32"/>
                <w:highlight w:val="none"/>
                <w:vertAlign w:val="subscript"/>
              </w:rPr>
              <w:t>0</w:t>
            </w:r>
            <w:r>
              <w:rPr>
                <w:rFonts w:hint="eastAsia"/>
                <w:color w:val="auto"/>
                <w:sz w:val="24"/>
                <w:szCs w:val="32"/>
                <w:highlight w:val="none"/>
                <w:lang w:eastAsia="zh-CN"/>
              </w:rPr>
              <w:t>）</w:t>
            </w:r>
            <w:r>
              <w:rPr>
                <w:color w:val="auto"/>
                <w:sz w:val="24"/>
                <w:szCs w:val="32"/>
                <w:highlight w:val="none"/>
              </w:rPr>
              <w:t>）。其中面声源的b&gt;a。图中虚线为实际衰减量。</w:t>
            </w:r>
          </w:p>
          <w:p w14:paraId="36275D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p>
          <w:p w14:paraId="61F438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FF0000"/>
                <w:sz w:val="24"/>
                <w:szCs w:val="32"/>
                <w:highlight w:val="none"/>
              </w:rPr>
            </w:pPr>
          </w:p>
          <w:p w14:paraId="4BA32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FF0000"/>
                <w:sz w:val="24"/>
                <w:szCs w:val="32"/>
                <w:highlight w:val="none"/>
              </w:rPr>
            </w:pPr>
          </w:p>
          <w:p w14:paraId="0CC49C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FF0000"/>
                <w:sz w:val="24"/>
                <w:szCs w:val="32"/>
                <w:highlight w:val="none"/>
              </w:rPr>
            </w:pPr>
          </w:p>
          <w:p w14:paraId="41AAE6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FF0000"/>
                <w:sz w:val="24"/>
                <w:szCs w:val="32"/>
                <w:highlight w:val="none"/>
                <w:lang w:val="en-US" w:eastAsia="zh-CN"/>
              </w:rPr>
            </w:pPr>
          </w:p>
          <w:p w14:paraId="78B547F9">
            <w:pPr>
              <w:ind w:firstLine="420"/>
              <w:jc w:val="center"/>
              <w:rPr>
                <w:color w:val="FF0000"/>
                <w:sz w:val="24"/>
                <w:szCs w:val="32"/>
                <w:highlight w:val="none"/>
              </w:rPr>
            </w:pPr>
            <w:r>
              <w:rPr>
                <w:color w:val="FF0000"/>
                <w:sz w:val="24"/>
                <w:szCs w:val="32"/>
                <w:highlight w:val="none"/>
              </w:rPr>
              <w:drawing>
                <wp:inline distT="0" distB="0" distL="114300" distR="114300">
                  <wp:extent cx="3060065" cy="2264410"/>
                  <wp:effectExtent l="0" t="0" r="0" b="0"/>
                  <wp:docPr id="50"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9"/>
                          <pic:cNvPicPr>
                            <a:picLocks noChangeAspect="1"/>
                          </pic:cNvPicPr>
                        </pic:nvPicPr>
                        <pic:blipFill>
                          <a:blip r:embed="rId33"/>
                          <a:stretch>
                            <a:fillRect/>
                          </a:stretch>
                        </pic:blipFill>
                        <pic:spPr>
                          <a:xfrm>
                            <a:off x="0" y="0"/>
                            <a:ext cx="3060065" cy="2264410"/>
                          </a:xfrm>
                          <a:prstGeom prst="rect">
                            <a:avLst/>
                          </a:prstGeom>
                          <a:noFill/>
                          <a:ln>
                            <a:noFill/>
                          </a:ln>
                        </pic:spPr>
                      </pic:pic>
                    </a:graphicData>
                  </a:graphic>
                </wp:inline>
              </w:drawing>
            </w:r>
          </w:p>
          <w:p w14:paraId="247A757C">
            <w:pPr>
              <w:pStyle w:val="125"/>
              <w:spacing w:after="120"/>
              <w:rPr>
                <w:color w:val="auto"/>
                <w:sz w:val="24"/>
                <w:szCs w:val="28"/>
                <w:highlight w:val="none"/>
              </w:rPr>
            </w:pPr>
            <w:r>
              <w:rPr>
                <w:color w:val="auto"/>
                <w:sz w:val="24"/>
                <w:szCs w:val="28"/>
                <w:highlight w:val="none"/>
              </w:rPr>
              <w:t>图</w:t>
            </w:r>
            <w:r>
              <w:rPr>
                <w:rFonts w:hint="eastAsia"/>
                <w:color w:val="auto"/>
                <w:sz w:val="24"/>
                <w:szCs w:val="28"/>
                <w:highlight w:val="none"/>
              </w:rPr>
              <w:t>4</w:t>
            </w:r>
            <w:r>
              <w:rPr>
                <w:color w:val="auto"/>
                <w:sz w:val="24"/>
                <w:szCs w:val="28"/>
                <w:highlight w:val="none"/>
              </w:rPr>
              <w:t>-</w:t>
            </w:r>
            <w:r>
              <w:rPr>
                <w:rFonts w:hint="eastAsia"/>
                <w:color w:val="auto"/>
                <w:sz w:val="24"/>
                <w:szCs w:val="28"/>
                <w:highlight w:val="none"/>
                <w:lang w:val="en-US" w:eastAsia="zh-CN"/>
              </w:rPr>
              <w:t>1</w:t>
            </w:r>
            <w:r>
              <w:rPr>
                <w:color w:val="auto"/>
                <w:sz w:val="24"/>
                <w:szCs w:val="28"/>
                <w:highlight w:val="none"/>
              </w:rPr>
              <w:t xml:space="preserve"> </w:t>
            </w:r>
            <w:r>
              <w:rPr>
                <w:rFonts w:hint="eastAsia"/>
                <w:color w:val="auto"/>
                <w:sz w:val="24"/>
                <w:szCs w:val="28"/>
                <w:highlight w:val="none"/>
                <w:lang w:val="en-US" w:eastAsia="zh-CN"/>
              </w:rPr>
              <w:t xml:space="preserve"> </w:t>
            </w:r>
            <w:r>
              <w:rPr>
                <w:color w:val="auto"/>
                <w:sz w:val="24"/>
                <w:szCs w:val="28"/>
                <w:highlight w:val="none"/>
              </w:rPr>
              <w:t>长方形面声源中心轴线上的衰减特性</w:t>
            </w:r>
          </w:p>
          <w:p w14:paraId="2A05F0B8">
            <w:pPr>
              <w:ind w:firstLine="420"/>
              <w:rPr>
                <w:color w:val="auto"/>
                <w:sz w:val="24"/>
                <w:szCs w:val="32"/>
                <w:highlight w:val="none"/>
              </w:rPr>
            </w:pPr>
            <w:r>
              <w:rPr>
                <w:rFonts w:hint="eastAsia"/>
                <w:color w:val="auto"/>
                <w:sz w:val="24"/>
                <w:szCs w:val="32"/>
                <w:highlight w:val="none"/>
              </w:rPr>
              <w:t>①</w:t>
            </w:r>
            <w:r>
              <w:rPr>
                <w:color w:val="auto"/>
                <w:sz w:val="24"/>
                <w:szCs w:val="32"/>
                <w:highlight w:val="none"/>
              </w:rPr>
              <w:t>当r&lt;a/π时</w:t>
            </w:r>
          </w:p>
          <w:p w14:paraId="30B0342C">
            <w:pPr>
              <w:ind w:firstLine="420"/>
              <w:rPr>
                <w:color w:val="auto"/>
                <w:sz w:val="24"/>
                <w:szCs w:val="32"/>
                <w:highlight w:val="none"/>
              </w:rPr>
            </w:pPr>
            <w:r>
              <w:rPr>
                <w:color w:val="auto"/>
                <w:sz w:val="24"/>
                <w:szCs w:val="32"/>
                <w:highlight w:val="none"/>
              </w:rPr>
              <w:t>声压级几乎不衰减，r处的声压级按下式计算：</w:t>
            </w:r>
          </w:p>
          <w:p w14:paraId="0894E1DE">
            <w:pPr>
              <w:ind w:firstLine="420"/>
              <w:jc w:val="center"/>
              <w:rPr>
                <w:rFonts w:hint="eastAsia" w:eastAsia="宋体"/>
                <w:color w:val="auto"/>
                <w:sz w:val="24"/>
                <w:szCs w:val="32"/>
                <w:highlight w:val="none"/>
                <w:lang w:eastAsia="zh-CN"/>
              </w:rPr>
            </w:pPr>
            <w:r>
              <w:rPr>
                <w:color w:val="auto"/>
                <w:sz w:val="24"/>
                <w:szCs w:val="32"/>
                <w:highlight w:val="none"/>
              </w:rPr>
              <w:t>LA</w:t>
            </w:r>
            <w:r>
              <w:rPr>
                <w:rFonts w:hint="eastAsia"/>
                <w:color w:val="auto"/>
                <w:sz w:val="24"/>
                <w:szCs w:val="32"/>
                <w:highlight w:val="none"/>
                <w:lang w:eastAsia="zh-CN"/>
              </w:rPr>
              <w:t>（</w:t>
            </w:r>
            <w:r>
              <w:rPr>
                <w:color w:val="auto"/>
                <w:sz w:val="24"/>
                <w:szCs w:val="32"/>
                <w:highlight w:val="none"/>
              </w:rPr>
              <w:t>r</w:t>
            </w:r>
            <w:r>
              <w:rPr>
                <w:rFonts w:hint="eastAsia"/>
                <w:color w:val="auto"/>
                <w:sz w:val="24"/>
                <w:szCs w:val="32"/>
                <w:highlight w:val="none"/>
                <w:lang w:eastAsia="zh-CN"/>
              </w:rPr>
              <w:t>）</w:t>
            </w:r>
            <w:r>
              <w:rPr>
                <w:color w:val="auto"/>
                <w:sz w:val="24"/>
                <w:szCs w:val="32"/>
                <w:highlight w:val="none"/>
              </w:rPr>
              <w:t xml:space="preserve"> = LA</w:t>
            </w:r>
            <w:r>
              <w:rPr>
                <w:rFonts w:hint="eastAsia"/>
                <w:color w:val="auto"/>
                <w:sz w:val="24"/>
                <w:szCs w:val="32"/>
                <w:highlight w:val="none"/>
                <w:lang w:eastAsia="zh-CN"/>
              </w:rPr>
              <w:t>（</w:t>
            </w:r>
            <w:r>
              <w:rPr>
                <w:color w:val="auto"/>
                <w:sz w:val="24"/>
                <w:szCs w:val="32"/>
                <w:highlight w:val="none"/>
              </w:rPr>
              <w:t>r</w:t>
            </w:r>
            <w:r>
              <w:rPr>
                <w:color w:val="auto"/>
                <w:sz w:val="24"/>
                <w:szCs w:val="32"/>
                <w:highlight w:val="none"/>
                <w:vertAlign w:val="subscript"/>
              </w:rPr>
              <w:t>0</w:t>
            </w:r>
            <w:r>
              <w:rPr>
                <w:rFonts w:hint="eastAsia"/>
                <w:color w:val="auto"/>
                <w:sz w:val="24"/>
                <w:szCs w:val="32"/>
                <w:highlight w:val="none"/>
                <w:lang w:eastAsia="zh-CN"/>
              </w:rPr>
              <w:t>）</w:t>
            </w:r>
          </w:p>
          <w:p w14:paraId="10F635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rFonts w:hint="eastAsia"/>
                <w:color w:val="auto"/>
                <w:sz w:val="24"/>
                <w:szCs w:val="32"/>
                <w:highlight w:val="none"/>
              </w:rPr>
              <w:t>②</w:t>
            </w:r>
            <w:r>
              <w:rPr>
                <w:color w:val="auto"/>
                <w:sz w:val="24"/>
                <w:szCs w:val="32"/>
                <w:highlight w:val="none"/>
              </w:rPr>
              <w:t>当a/π&lt;r&lt;b/π时</w:t>
            </w:r>
          </w:p>
          <w:p w14:paraId="71CDC1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声压级随着距离加倍衰减3dB左右，类似线声源衰减特性，r处的声压级按下式计算：</w:t>
            </w:r>
          </w:p>
          <w:p w14:paraId="4BB908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eastAsia="宋体"/>
                <w:color w:val="auto"/>
                <w:sz w:val="24"/>
                <w:szCs w:val="32"/>
                <w:highlight w:val="none"/>
                <w:lang w:val="fr-FR" w:eastAsia="zh-CN"/>
              </w:rPr>
            </w:pPr>
            <w:r>
              <w:rPr>
                <w:color w:val="auto"/>
                <w:sz w:val="24"/>
                <w:szCs w:val="32"/>
                <w:highlight w:val="none"/>
                <w:lang w:val="fr-FR"/>
              </w:rPr>
              <w:t>LA</w:t>
            </w:r>
            <w:r>
              <w:rPr>
                <w:rFonts w:hint="eastAsia"/>
                <w:color w:val="auto"/>
                <w:sz w:val="24"/>
                <w:szCs w:val="32"/>
                <w:highlight w:val="none"/>
                <w:lang w:val="fr-FR" w:eastAsia="zh-CN"/>
              </w:rPr>
              <w:t>（</w:t>
            </w:r>
            <w:r>
              <w:rPr>
                <w:color w:val="auto"/>
                <w:sz w:val="24"/>
                <w:szCs w:val="32"/>
                <w:highlight w:val="none"/>
                <w:lang w:val="fr-FR"/>
              </w:rPr>
              <w:t>r</w:t>
            </w:r>
            <w:r>
              <w:rPr>
                <w:rFonts w:hint="eastAsia"/>
                <w:color w:val="auto"/>
                <w:sz w:val="24"/>
                <w:szCs w:val="32"/>
                <w:highlight w:val="none"/>
                <w:lang w:val="fr-FR" w:eastAsia="zh-CN"/>
              </w:rPr>
              <w:t>）</w:t>
            </w:r>
            <w:r>
              <w:rPr>
                <w:color w:val="auto"/>
                <w:sz w:val="24"/>
                <w:szCs w:val="32"/>
                <w:highlight w:val="none"/>
                <w:lang w:val="fr-FR"/>
              </w:rPr>
              <w:t xml:space="preserve"> = LA1</w:t>
            </w:r>
            <w:r>
              <w:rPr>
                <w:rFonts w:hint="eastAsia"/>
                <w:color w:val="auto"/>
                <w:sz w:val="24"/>
                <w:szCs w:val="32"/>
                <w:highlight w:val="none"/>
                <w:lang w:val="fr-FR" w:eastAsia="zh-CN"/>
              </w:rPr>
              <w:t>(</w:t>
            </w:r>
            <w:r>
              <w:rPr>
                <w:color w:val="auto"/>
                <w:sz w:val="24"/>
                <w:szCs w:val="32"/>
                <w:highlight w:val="none"/>
                <w:lang w:val="fr-FR"/>
              </w:rPr>
              <w:t>r</w:t>
            </w:r>
            <w:r>
              <w:rPr>
                <w:color w:val="auto"/>
                <w:sz w:val="24"/>
                <w:szCs w:val="32"/>
                <w:highlight w:val="none"/>
                <w:vertAlign w:val="subscript"/>
                <w:lang w:val="fr-FR"/>
              </w:rPr>
              <w:t>0</w:t>
            </w:r>
            <w:r>
              <w:rPr>
                <w:rFonts w:hint="eastAsia"/>
                <w:color w:val="auto"/>
                <w:sz w:val="24"/>
                <w:szCs w:val="32"/>
                <w:highlight w:val="none"/>
                <w:vertAlign w:val="subscript"/>
                <w:lang w:val="fr-FR" w:eastAsia="zh-CN"/>
              </w:rPr>
              <w:t>)</w:t>
            </w:r>
            <w:r>
              <w:rPr>
                <w:color w:val="auto"/>
                <w:sz w:val="24"/>
                <w:szCs w:val="32"/>
                <w:highlight w:val="none"/>
                <w:lang w:val="fr-FR"/>
              </w:rPr>
              <w:t xml:space="preserve">-10lg </w:t>
            </w:r>
            <w:r>
              <w:rPr>
                <w:rFonts w:hint="eastAsia"/>
                <w:color w:val="auto"/>
                <w:sz w:val="24"/>
                <w:szCs w:val="32"/>
                <w:highlight w:val="none"/>
                <w:lang w:val="fr-FR" w:eastAsia="zh-CN"/>
              </w:rPr>
              <w:t>（</w:t>
            </w:r>
            <w:r>
              <w:rPr>
                <w:color w:val="auto"/>
                <w:sz w:val="24"/>
                <w:szCs w:val="32"/>
                <w:highlight w:val="none"/>
                <w:lang w:val="fr-FR"/>
              </w:rPr>
              <w:t>r/r</w:t>
            </w:r>
            <w:r>
              <w:rPr>
                <w:color w:val="auto"/>
                <w:sz w:val="24"/>
                <w:szCs w:val="32"/>
                <w:highlight w:val="none"/>
                <w:vertAlign w:val="subscript"/>
                <w:lang w:val="fr-FR"/>
              </w:rPr>
              <w:t>0</w:t>
            </w:r>
            <w:r>
              <w:rPr>
                <w:rFonts w:hint="eastAsia"/>
                <w:color w:val="auto"/>
                <w:sz w:val="24"/>
                <w:szCs w:val="32"/>
                <w:highlight w:val="none"/>
                <w:lang w:val="fr-FR" w:eastAsia="zh-CN"/>
              </w:rPr>
              <w:t>）</w:t>
            </w:r>
          </w:p>
          <w:p w14:paraId="4FF770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rFonts w:hint="eastAsia"/>
                <w:color w:val="auto"/>
                <w:sz w:val="24"/>
                <w:szCs w:val="32"/>
                <w:highlight w:val="none"/>
              </w:rPr>
              <w:t>③</w:t>
            </w:r>
            <w:r>
              <w:rPr>
                <w:color w:val="auto"/>
                <w:sz w:val="24"/>
                <w:szCs w:val="32"/>
                <w:highlight w:val="none"/>
              </w:rPr>
              <w:t>当r&gt;b/π时</w:t>
            </w:r>
          </w:p>
          <w:p w14:paraId="4366D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声压级随着距离加倍衰减趋近于6dB，类似点声源衰减特性，r处的声压级按下式计算：</w:t>
            </w:r>
          </w:p>
          <w:p w14:paraId="16A818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eastAsia="宋体"/>
                <w:color w:val="auto"/>
                <w:sz w:val="24"/>
                <w:szCs w:val="32"/>
                <w:highlight w:val="none"/>
                <w:lang w:val="fr-FR" w:eastAsia="zh-CN"/>
              </w:rPr>
            </w:pPr>
            <w:r>
              <w:rPr>
                <w:color w:val="auto"/>
                <w:sz w:val="24"/>
                <w:szCs w:val="32"/>
                <w:highlight w:val="none"/>
                <w:lang w:val="fr-FR"/>
              </w:rPr>
              <w:t>LA</w:t>
            </w:r>
            <w:r>
              <w:rPr>
                <w:rFonts w:hint="eastAsia"/>
                <w:color w:val="auto"/>
                <w:sz w:val="24"/>
                <w:szCs w:val="32"/>
                <w:highlight w:val="none"/>
                <w:lang w:val="fr-FR" w:eastAsia="zh-CN"/>
              </w:rPr>
              <w:t>（</w:t>
            </w:r>
            <w:r>
              <w:rPr>
                <w:color w:val="auto"/>
                <w:sz w:val="24"/>
                <w:szCs w:val="32"/>
                <w:highlight w:val="none"/>
                <w:lang w:val="fr-FR"/>
              </w:rPr>
              <w:t>r</w:t>
            </w:r>
            <w:r>
              <w:rPr>
                <w:rFonts w:hint="eastAsia"/>
                <w:color w:val="auto"/>
                <w:sz w:val="24"/>
                <w:szCs w:val="32"/>
                <w:highlight w:val="none"/>
                <w:lang w:val="fr-FR" w:eastAsia="zh-CN"/>
              </w:rPr>
              <w:t>）</w:t>
            </w:r>
            <w:r>
              <w:rPr>
                <w:color w:val="auto"/>
                <w:sz w:val="24"/>
                <w:szCs w:val="32"/>
                <w:highlight w:val="none"/>
                <w:lang w:val="fr-FR"/>
              </w:rPr>
              <w:t>=LA1</w:t>
            </w:r>
            <w:r>
              <w:rPr>
                <w:rFonts w:hint="eastAsia"/>
                <w:color w:val="auto"/>
                <w:sz w:val="24"/>
                <w:szCs w:val="32"/>
                <w:highlight w:val="none"/>
                <w:lang w:val="fr-FR" w:eastAsia="zh-CN"/>
              </w:rPr>
              <w:t>(</w:t>
            </w:r>
            <w:r>
              <w:rPr>
                <w:color w:val="auto"/>
                <w:sz w:val="24"/>
                <w:szCs w:val="32"/>
                <w:highlight w:val="none"/>
                <w:lang w:val="fr-FR"/>
              </w:rPr>
              <w:t>r</w:t>
            </w:r>
            <w:r>
              <w:rPr>
                <w:color w:val="auto"/>
                <w:sz w:val="24"/>
                <w:szCs w:val="32"/>
                <w:highlight w:val="none"/>
                <w:vertAlign w:val="subscript"/>
                <w:lang w:val="fr-FR"/>
              </w:rPr>
              <w:t>0</w:t>
            </w:r>
            <w:r>
              <w:rPr>
                <w:rFonts w:hint="eastAsia"/>
                <w:color w:val="auto"/>
                <w:sz w:val="24"/>
                <w:szCs w:val="32"/>
                <w:highlight w:val="none"/>
                <w:vertAlign w:val="subscript"/>
                <w:lang w:val="fr-FR" w:eastAsia="zh-CN"/>
              </w:rPr>
              <w:t>)</w:t>
            </w:r>
            <w:r>
              <w:rPr>
                <w:color w:val="auto"/>
                <w:sz w:val="24"/>
                <w:szCs w:val="32"/>
                <w:highlight w:val="none"/>
                <w:lang w:val="fr-FR"/>
              </w:rPr>
              <w:t>-20l</w:t>
            </w:r>
            <w:r>
              <w:rPr>
                <w:rFonts w:hint="eastAsia"/>
                <w:color w:val="auto"/>
                <w:sz w:val="24"/>
                <w:szCs w:val="32"/>
                <w:highlight w:val="none"/>
                <w:lang w:val="fr-FR" w:eastAsia="zh-CN"/>
              </w:rPr>
              <w:t>(</w:t>
            </w:r>
            <w:r>
              <w:rPr>
                <w:color w:val="auto"/>
                <w:sz w:val="24"/>
                <w:szCs w:val="32"/>
                <w:highlight w:val="none"/>
                <w:lang w:val="fr-FR"/>
              </w:rPr>
              <w:t>r/r</w:t>
            </w:r>
            <w:r>
              <w:rPr>
                <w:color w:val="auto"/>
                <w:sz w:val="24"/>
                <w:szCs w:val="32"/>
                <w:highlight w:val="none"/>
                <w:vertAlign w:val="subscript"/>
                <w:lang w:val="fr-FR"/>
              </w:rPr>
              <w:t>0</w:t>
            </w:r>
            <w:r>
              <w:rPr>
                <w:rFonts w:hint="eastAsia"/>
                <w:color w:val="auto"/>
                <w:sz w:val="24"/>
                <w:szCs w:val="32"/>
                <w:highlight w:val="none"/>
                <w:vertAlign w:val="subscript"/>
                <w:lang w:val="fr-FR" w:eastAsia="zh-CN"/>
              </w:rPr>
              <w:t>)</w:t>
            </w:r>
          </w:p>
          <w:p w14:paraId="558A18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color w:val="auto"/>
                <w:sz w:val="24"/>
                <w:szCs w:val="32"/>
                <w:highlight w:val="none"/>
                <w:lang w:val="fr-FR"/>
              </w:rPr>
            </w:pPr>
            <w:r>
              <w:rPr>
                <w:color w:val="auto"/>
                <w:sz w:val="24"/>
                <w:szCs w:val="32"/>
                <w:highlight w:val="none"/>
                <w:lang w:val="fr-FR"/>
              </w:rPr>
              <w:t>r</w:t>
            </w:r>
            <w:r>
              <w:rPr>
                <w:color w:val="auto"/>
                <w:sz w:val="24"/>
                <w:szCs w:val="32"/>
                <w:highlight w:val="none"/>
                <w:vertAlign w:val="subscript"/>
                <w:lang w:val="fr-FR"/>
              </w:rPr>
              <w:t>0</w:t>
            </w:r>
            <w:r>
              <w:rPr>
                <w:color w:val="auto"/>
                <w:sz w:val="24"/>
                <w:szCs w:val="32"/>
                <w:highlight w:val="none"/>
                <w:lang w:val="fr-FR"/>
              </w:rPr>
              <w:t>= b/π</w:t>
            </w:r>
          </w:p>
          <w:p w14:paraId="330813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eastAsia="宋体"/>
                <w:color w:val="auto"/>
                <w:sz w:val="24"/>
                <w:szCs w:val="32"/>
                <w:highlight w:val="none"/>
                <w:lang w:val="fr-FR" w:eastAsia="zh-CN"/>
              </w:rPr>
            </w:pPr>
            <w:r>
              <w:rPr>
                <w:color w:val="auto"/>
                <w:sz w:val="24"/>
                <w:szCs w:val="32"/>
                <w:highlight w:val="none"/>
                <w:lang w:val="fr-FR"/>
              </w:rPr>
              <w:t>LA1</w:t>
            </w:r>
            <w:r>
              <w:rPr>
                <w:rFonts w:hint="eastAsia"/>
                <w:color w:val="auto"/>
                <w:sz w:val="24"/>
                <w:szCs w:val="32"/>
                <w:highlight w:val="none"/>
                <w:lang w:val="fr-FR" w:eastAsia="zh-CN"/>
              </w:rPr>
              <w:t>（</w:t>
            </w:r>
            <w:r>
              <w:rPr>
                <w:color w:val="auto"/>
                <w:sz w:val="24"/>
                <w:szCs w:val="32"/>
                <w:highlight w:val="none"/>
                <w:lang w:val="fr-FR"/>
              </w:rPr>
              <w:t>r</w:t>
            </w:r>
            <w:r>
              <w:rPr>
                <w:color w:val="auto"/>
                <w:sz w:val="24"/>
                <w:szCs w:val="32"/>
                <w:highlight w:val="none"/>
                <w:vertAlign w:val="subscript"/>
                <w:lang w:val="fr-FR"/>
              </w:rPr>
              <w:t>0</w:t>
            </w:r>
            <w:r>
              <w:rPr>
                <w:rFonts w:hint="eastAsia"/>
                <w:color w:val="auto"/>
                <w:sz w:val="24"/>
                <w:szCs w:val="32"/>
                <w:highlight w:val="none"/>
                <w:lang w:val="fr-FR" w:eastAsia="zh-CN"/>
              </w:rPr>
              <w:t>）</w:t>
            </w:r>
            <w:r>
              <w:rPr>
                <w:color w:val="auto"/>
                <w:sz w:val="24"/>
                <w:szCs w:val="32"/>
                <w:highlight w:val="none"/>
                <w:lang w:val="fr-FR"/>
              </w:rPr>
              <w:t>=LA</w:t>
            </w:r>
            <w:r>
              <w:rPr>
                <w:rFonts w:hint="eastAsia"/>
                <w:color w:val="auto"/>
                <w:sz w:val="24"/>
                <w:szCs w:val="32"/>
                <w:highlight w:val="none"/>
                <w:lang w:val="fr-FR" w:eastAsia="zh-CN"/>
              </w:rPr>
              <w:t>（</w:t>
            </w:r>
            <w:r>
              <w:rPr>
                <w:color w:val="auto"/>
                <w:sz w:val="24"/>
                <w:szCs w:val="32"/>
                <w:highlight w:val="none"/>
                <w:lang w:val="fr-FR"/>
              </w:rPr>
              <w:t>r</w:t>
            </w:r>
            <w:r>
              <w:rPr>
                <w:color w:val="auto"/>
                <w:sz w:val="24"/>
                <w:szCs w:val="32"/>
                <w:highlight w:val="none"/>
                <w:vertAlign w:val="subscript"/>
                <w:lang w:val="fr-FR"/>
              </w:rPr>
              <w:t>0</w:t>
            </w:r>
            <w:r>
              <w:rPr>
                <w:rFonts w:hint="eastAsia"/>
                <w:color w:val="auto"/>
                <w:sz w:val="24"/>
                <w:szCs w:val="32"/>
                <w:highlight w:val="none"/>
                <w:lang w:val="fr-FR" w:eastAsia="zh-CN"/>
              </w:rPr>
              <w:t>）</w:t>
            </w:r>
            <w:r>
              <w:rPr>
                <w:color w:val="auto"/>
                <w:sz w:val="24"/>
                <w:szCs w:val="32"/>
                <w:highlight w:val="none"/>
                <w:lang w:val="fr-FR"/>
              </w:rPr>
              <w:t xml:space="preserve">-10lg </w:t>
            </w:r>
            <w:r>
              <w:rPr>
                <w:rFonts w:hint="eastAsia"/>
                <w:color w:val="auto"/>
                <w:sz w:val="24"/>
                <w:szCs w:val="32"/>
                <w:highlight w:val="none"/>
                <w:lang w:val="fr-FR" w:eastAsia="zh-CN"/>
              </w:rPr>
              <w:t>（</w:t>
            </w:r>
            <w:r>
              <w:rPr>
                <w:color w:val="auto"/>
                <w:sz w:val="24"/>
                <w:szCs w:val="32"/>
                <w:highlight w:val="none"/>
                <w:lang w:val="fr-FR"/>
              </w:rPr>
              <w:t>b/a</w:t>
            </w:r>
            <w:r>
              <w:rPr>
                <w:rFonts w:hint="eastAsia"/>
                <w:color w:val="auto"/>
                <w:sz w:val="24"/>
                <w:szCs w:val="32"/>
                <w:highlight w:val="none"/>
                <w:lang w:val="fr-FR" w:eastAsia="zh-CN"/>
              </w:rPr>
              <w:t>）</w:t>
            </w:r>
          </w:p>
          <w:p w14:paraId="0CFE3AB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（2）预测点的等效声级贡献值</w:t>
            </w:r>
          </w:p>
          <w:p w14:paraId="568C79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第i个室外声源在预测点产生的A声级为LAi，在T时间内该声源工作时间为ti；第j个等效室外声源在预测点产生的 A声级为LAj，本项目各声源对预测点产生的贡献值（Leqg）为：</w:t>
            </w:r>
          </w:p>
          <w:p w14:paraId="2FA129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color w:val="auto"/>
                <w:sz w:val="24"/>
                <w:szCs w:val="32"/>
                <w:highlight w:val="none"/>
              </w:rPr>
            </w:pPr>
            <w:r>
              <w:rPr>
                <w:color w:val="auto"/>
                <w:sz w:val="24"/>
                <w:szCs w:val="32"/>
                <w:highlight w:val="none"/>
              </w:rPr>
              <w:drawing>
                <wp:inline distT="0" distB="0" distL="114300" distR="114300">
                  <wp:extent cx="2416175" cy="471805"/>
                  <wp:effectExtent l="0" t="0" r="0" b="0"/>
                  <wp:docPr id="51"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0"/>
                          <pic:cNvPicPr>
                            <a:picLocks noChangeAspect="1"/>
                          </pic:cNvPicPr>
                        </pic:nvPicPr>
                        <pic:blipFill>
                          <a:blip r:embed="rId34"/>
                          <a:stretch>
                            <a:fillRect/>
                          </a:stretch>
                        </pic:blipFill>
                        <pic:spPr>
                          <a:xfrm>
                            <a:off x="0" y="0"/>
                            <a:ext cx="2416175" cy="471805"/>
                          </a:xfrm>
                          <a:prstGeom prst="rect">
                            <a:avLst/>
                          </a:prstGeom>
                          <a:noFill/>
                          <a:ln>
                            <a:noFill/>
                          </a:ln>
                        </pic:spPr>
                      </pic:pic>
                    </a:graphicData>
                  </a:graphic>
                </wp:inline>
              </w:drawing>
            </w:r>
          </w:p>
          <w:p w14:paraId="2CC37D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式中：</w:t>
            </w:r>
          </w:p>
          <w:p w14:paraId="2803E9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Leqg——建设项目声源在预测点的等效声级贡献值，dB</w:t>
            </w:r>
            <w:r>
              <w:rPr>
                <w:rFonts w:hint="eastAsia"/>
                <w:color w:val="auto"/>
                <w:sz w:val="24"/>
                <w:szCs w:val="32"/>
                <w:highlight w:val="none"/>
                <w:lang w:eastAsia="zh-CN"/>
              </w:rPr>
              <w:t>（</w:t>
            </w:r>
            <w:r>
              <w:rPr>
                <w:color w:val="auto"/>
                <w:sz w:val="24"/>
                <w:szCs w:val="32"/>
                <w:highlight w:val="none"/>
              </w:rPr>
              <w:t>A</w:t>
            </w:r>
            <w:r>
              <w:rPr>
                <w:rFonts w:hint="eastAsia"/>
                <w:color w:val="auto"/>
                <w:sz w:val="24"/>
                <w:szCs w:val="32"/>
                <w:highlight w:val="none"/>
                <w:lang w:eastAsia="zh-CN"/>
              </w:rPr>
              <w:t>）</w:t>
            </w:r>
            <w:r>
              <w:rPr>
                <w:color w:val="auto"/>
                <w:sz w:val="24"/>
                <w:szCs w:val="32"/>
                <w:highlight w:val="none"/>
              </w:rPr>
              <w:t>；</w:t>
            </w:r>
          </w:p>
          <w:p w14:paraId="624D5D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drawing>
                <wp:inline distT="0" distB="0" distL="114300" distR="114300">
                  <wp:extent cx="323215" cy="200025"/>
                  <wp:effectExtent l="0" t="0" r="0" b="0"/>
                  <wp:docPr id="52"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1"/>
                          <pic:cNvPicPr>
                            <a:picLocks noChangeAspect="1"/>
                          </pic:cNvPicPr>
                        </pic:nvPicPr>
                        <pic:blipFill>
                          <a:blip r:embed="rId35"/>
                          <a:stretch>
                            <a:fillRect/>
                          </a:stretch>
                        </pic:blipFill>
                        <pic:spPr>
                          <a:xfrm>
                            <a:off x="0" y="0"/>
                            <a:ext cx="323215" cy="200025"/>
                          </a:xfrm>
                          <a:prstGeom prst="rect">
                            <a:avLst/>
                          </a:prstGeom>
                          <a:noFill/>
                          <a:ln>
                            <a:noFill/>
                          </a:ln>
                        </pic:spPr>
                      </pic:pic>
                    </a:graphicData>
                  </a:graphic>
                </wp:inline>
              </w:drawing>
            </w:r>
            <w:r>
              <w:rPr>
                <w:color w:val="auto"/>
                <w:sz w:val="24"/>
                <w:szCs w:val="32"/>
                <w:highlight w:val="none"/>
              </w:rPr>
              <w:t>——i声源在预测点产生的A声级，dB</w:t>
            </w:r>
            <w:r>
              <w:rPr>
                <w:rFonts w:hint="eastAsia"/>
                <w:color w:val="auto"/>
                <w:sz w:val="24"/>
                <w:szCs w:val="32"/>
                <w:highlight w:val="none"/>
                <w:lang w:eastAsia="zh-CN"/>
              </w:rPr>
              <w:t>（</w:t>
            </w:r>
            <w:r>
              <w:rPr>
                <w:color w:val="auto"/>
                <w:sz w:val="24"/>
                <w:szCs w:val="32"/>
                <w:highlight w:val="none"/>
              </w:rPr>
              <w:t>A</w:t>
            </w:r>
            <w:r>
              <w:rPr>
                <w:rFonts w:hint="eastAsia"/>
                <w:color w:val="auto"/>
                <w:sz w:val="24"/>
                <w:szCs w:val="32"/>
                <w:highlight w:val="none"/>
                <w:lang w:eastAsia="zh-CN"/>
              </w:rPr>
              <w:t>）</w:t>
            </w:r>
            <w:r>
              <w:rPr>
                <w:color w:val="auto"/>
                <w:sz w:val="24"/>
                <w:szCs w:val="32"/>
                <w:highlight w:val="none"/>
              </w:rPr>
              <w:t>；</w:t>
            </w:r>
          </w:p>
          <w:p w14:paraId="653476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drawing>
                <wp:inline distT="0" distB="0" distL="114300" distR="114300">
                  <wp:extent cx="161925" cy="200025"/>
                  <wp:effectExtent l="0" t="0" r="0" b="0"/>
                  <wp:docPr id="53"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72"/>
                          <pic:cNvPicPr>
                            <a:picLocks noChangeAspect="1"/>
                          </pic:cNvPicPr>
                        </pic:nvPicPr>
                        <pic:blipFill>
                          <a:blip r:embed="rId36"/>
                          <a:stretch>
                            <a:fillRect/>
                          </a:stretch>
                        </pic:blipFill>
                        <pic:spPr>
                          <a:xfrm>
                            <a:off x="0" y="0"/>
                            <a:ext cx="161925" cy="200025"/>
                          </a:xfrm>
                          <a:prstGeom prst="rect">
                            <a:avLst/>
                          </a:prstGeom>
                          <a:noFill/>
                          <a:ln>
                            <a:noFill/>
                          </a:ln>
                        </pic:spPr>
                      </pic:pic>
                    </a:graphicData>
                  </a:graphic>
                </wp:inline>
              </w:drawing>
            </w:r>
            <w:r>
              <w:rPr>
                <w:color w:val="auto"/>
                <w:sz w:val="24"/>
                <w:szCs w:val="32"/>
                <w:highlight w:val="none"/>
              </w:rPr>
              <w:t>——i声源在T时间段内的运行时间，S；</w:t>
            </w:r>
          </w:p>
          <w:p w14:paraId="0A638D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tj ——在T时间内j声源工作时间，s；</w:t>
            </w:r>
          </w:p>
          <w:p w14:paraId="7C24A0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ti ——在T时间内i声源工作时间，s；</w:t>
            </w:r>
          </w:p>
          <w:p w14:paraId="326C7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T ——用于计算等效声级的时间，s；</w:t>
            </w:r>
          </w:p>
          <w:p w14:paraId="4D3A86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N ——室外声源个数；</w:t>
            </w:r>
          </w:p>
          <w:p w14:paraId="079C7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M ——等效室外声源个数。</w:t>
            </w:r>
          </w:p>
          <w:p w14:paraId="39AFB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color w:val="auto"/>
                <w:sz w:val="24"/>
                <w:szCs w:val="32"/>
                <w:highlight w:val="none"/>
              </w:rPr>
              <w:t>对于同一个构筑物内的点声源，本次通过声级叠加的方式计算得出综合噪声源强LA（r0），再通过上述等效面声源公式</w:t>
            </w:r>
            <w:r>
              <w:rPr>
                <w:color w:val="auto"/>
                <w:sz w:val="24"/>
                <w:szCs w:val="32"/>
                <w:highlight w:val="none"/>
                <w:lang w:val="fr-FR"/>
              </w:rPr>
              <w:t>LA1</w:t>
            </w:r>
            <w:r>
              <w:rPr>
                <w:rFonts w:hint="eastAsia"/>
                <w:color w:val="auto"/>
                <w:sz w:val="24"/>
                <w:szCs w:val="32"/>
                <w:highlight w:val="none"/>
                <w:lang w:val="fr-FR" w:eastAsia="zh-CN"/>
              </w:rPr>
              <w:t>（</w:t>
            </w:r>
            <w:r>
              <w:rPr>
                <w:color w:val="auto"/>
                <w:sz w:val="24"/>
                <w:szCs w:val="32"/>
                <w:highlight w:val="none"/>
                <w:lang w:val="fr-FR"/>
              </w:rPr>
              <w:t>r0</w:t>
            </w:r>
            <w:r>
              <w:rPr>
                <w:rFonts w:hint="eastAsia"/>
                <w:color w:val="auto"/>
                <w:sz w:val="24"/>
                <w:szCs w:val="32"/>
                <w:highlight w:val="none"/>
                <w:lang w:val="fr-FR" w:eastAsia="zh-CN"/>
              </w:rPr>
              <w:t>）</w:t>
            </w:r>
            <w:r>
              <w:rPr>
                <w:color w:val="auto"/>
                <w:sz w:val="24"/>
                <w:szCs w:val="32"/>
                <w:highlight w:val="none"/>
                <w:lang w:val="fr-FR"/>
              </w:rPr>
              <w:t xml:space="preserve"> = LA</w:t>
            </w:r>
            <w:r>
              <w:rPr>
                <w:rFonts w:hint="eastAsia"/>
                <w:color w:val="auto"/>
                <w:sz w:val="24"/>
                <w:szCs w:val="32"/>
                <w:highlight w:val="none"/>
                <w:lang w:val="fr-FR" w:eastAsia="zh-CN"/>
              </w:rPr>
              <w:t>（</w:t>
            </w:r>
            <w:r>
              <w:rPr>
                <w:color w:val="auto"/>
                <w:sz w:val="24"/>
                <w:szCs w:val="32"/>
                <w:highlight w:val="none"/>
                <w:lang w:val="fr-FR"/>
              </w:rPr>
              <w:t>r0</w:t>
            </w:r>
            <w:r>
              <w:rPr>
                <w:rFonts w:hint="eastAsia"/>
                <w:color w:val="auto"/>
                <w:sz w:val="24"/>
                <w:szCs w:val="32"/>
                <w:highlight w:val="none"/>
                <w:lang w:val="fr-FR" w:eastAsia="zh-CN"/>
              </w:rPr>
              <w:t>）</w:t>
            </w:r>
            <w:r>
              <w:rPr>
                <w:color w:val="auto"/>
                <w:sz w:val="24"/>
                <w:szCs w:val="32"/>
                <w:highlight w:val="none"/>
                <w:lang w:val="fr-FR"/>
              </w:rPr>
              <w:t xml:space="preserve"> - 10lg </w:t>
            </w:r>
            <w:r>
              <w:rPr>
                <w:rFonts w:hint="eastAsia"/>
                <w:color w:val="auto"/>
                <w:sz w:val="24"/>
                <w:szCs w:val="32"/>
                <w:highlight w:val="none"/>
                <w:lang w:val="fr-FR" w:eastAsia="zh-CN"/>
              </w:rPr>
              <w:t>（</w:t>
            </w:r>
            <w:r>
              <w:rPr>
                <w:color w:val="auto"/>
                <w:sz w:val="24"/>
                <w:szCs w:val="32"/>
                <w:highlight w:val="none"/>
                <w:lang w:val="fr-FR"/>
              </w:rPr>
              <w:t>b/a</w:t>
            </w:r>
            <w:r>
              <w:rPr>
                <w:rFonts w:hint="eastAsia"/>
                <w:color w:val="auto"/>
                <w:sz w:val="24"/>
                <w:szCs w:val="32"/>
                <w:highlight w:val="none"/>
                <w:lang w:val="fr-FR" w:eastAsia="zh-CN"/>
              </w:rPr>
              <w:t>）</w:t>
            </w:r>
            <w:r>
              <w:rPr>
                <w:color w:val="auto"/>
                <w:sz w:val="24"/>
                <w:szCs w:val="32"/>
                <w:highlight w:val="none"/>
                <w:lang w:val="fr-FR"/>
              </w:rPr>
              <w:t>计算得出LA1</w:t>
            </w:r>
            <w:r>
              <w:rPr>
                <w:rFonts w:hint="eastAsia"/>
                <w:color w:val="auto"/>
                <w:sz w:val="24"/>
                <w:szCs w:val="32"/>
                <w:highlight w:val="none"/>
                <w:lang w:val="fr-FR" w:eastAsia="zh-CN"/>
              </w:rPr>
              <w:t>（</w:t>
            </w:r>
            <w:r>
              <w:rPr>
                <w:color w:val="auto"/>
                <w:sz w:val="24"/>
                <w:szCs w:val="32"/>
                <w:highlight w:val="none"/>
                <w:lang w:val="fr-FR"/>
              </w:rPr>
              <w:t>r0</w:t>
            </w:r>
            <w:r>
              <w:rPr>
                <w:rFonts w:hint="eastAsia"/>
                <w:color w:val="auto"/>
                <w:sz w:val="24"/>
                <w:szCs w:val="32"/>
                <w:highlight w:val="none"/>
                <w:lang w:val="fr-FR" w:eastAsia="zh-CN"/>
              </w:rPr>
              <w:t>）</w:t>
            </w:r>
            <w:r>
              <w:rPr>
                <w:color w:val="auto"/>
                <w:sz w:val="24"/>
                <w:szCs w:val="32"/>
                <w:highlight w:val="none"/>
                <w:lang w:val="fr-FR"/>
              </w:rPr>
              <w:t>，将其等效成面声源，再运用LA</w:t>
            </w:r>
            <w:r>
              <w:rPr>
                <w:rFonts w:hint="eastAsia"/>
                <w:color w:val="auto"/>
                <w:sz w:val="24"/>
                <w:szCs w:val="32"/>
                <w:highlight w:val="none"/>
                <w:lang w:val="fr-FR" w:eastAsia="zh-CN"/>
              </w:rPr>
              <w:t>（</w:t>
            </w:r>
            <w:r>
              <w:rPr>
                <w:color w:val="auto"/>
                <w:sz w:val="24"/>
                <w:szCs w:val="32"/>
                <w:highlight w:val="none"/>
                <w:lang w:val="fr-FR"/>
              </w:rPr>
              <w:t>r</w:t>
            </w:r>
            <w:r>
              <w:rPr>
                <w:rFonts w:hint="eastAsia"/>
                <w:color w:val="auto"/>
                <w:sz w:val="24"/>
                <w:szCs w:val="32"/>
                <w:highlight w:val="none"/>
                <w:lang w:val="fr-FR" w:eastAsia="zh-CN"/>
              </w:rPr>
              <w:t>）</w:t>
            </w:r>
            <w:r>
              <w:rPr>
                <w:color w:val="auto"/>
                <w:sz w:val="24"/>
                <w:szCs w:val="32"/>
                <w:highlight w:val="none"/>
                <w:lang w:val="fr-FR"/>
              </w:rPr>
              <w:t xml:space="preserve"> = LA1</w:t>
            </w:r>
            <w:r>
              <w:rPr>
                <w:rFonts w:hint="eastAsia"/>
                <w:color w:val="auto"/>
                <w:sz w:val="24"/>
                <w:szCs w:val="32"/>
                <w:highlight w:val="none"/>
                <w:lang w:val="fr-FR" w:eastAsia="zh-CN"/>
              </w:rPr>
              <w:t>（</w:t>
            </w:r>
            <w:r>
              <w:rPr>
                <w:color w:val="auto"/>
                <w:sz w:val="24"/>
                <w:szCs w:val="32"/>
                <w:highlight w:val="none"/>
                <w:lang w:val="fr-FR"/>
              </w:rPr>
              <w:t>r0</w:t>
            </w:r>
            <w:r>
              <w:rPr>
                <w:rFonts w:hint="eastAsia"/>
                <w:color w:val="auto"/>
                <w:sz w:val="24"/>
                <w:szCs w:val="32"/>
                <w:highlight w:val="none"/>
                <w:lang w:val="fr-FR" w:eastAsia="zh-CN"/>
              </w:rPr>
              <w:t>）</w:t>
            </w:r>
            <w:r>
              <w:rPr>
                <w:color w:val="auto"/>
                <w:sz w:val="24"/>
                <w:szCs w:val="32"/>
                <w:highlight w:val="none"/>
                <w:lang w:val="fr-FR"/>
              </w:rPr>
              <w:t xml:space="preserve"> - 20lg </w:t>
            </w:r>
            <w:r>
              <w:rPr>
                <w:rFonts w:hint="eastAsia"/>
                <w:color w:val="auto"/>
                <w:sz w:val="24"/>
                <w:szCs w:val="32"/>
                <w:highlight w:val="none"/>
                <w:lang w:val="fr-FR" w:eastAsia="zh-CN"/>
              </w:rPr>
              <w:t>（</w:t>
            </w:r>
            <w:r>
              <w:rPr>
                <w:color w:val="auto"/>
                <w:sz w:val="24"/>
                <w:szCs w:val="32"/>
                <w:highlight w:val="none"/>
                <w:lang w:val="fr-FR"/>
              </w:rPr>
              <w:t>r/r0</w:t>
            </w:r>
            <w:r>
              <w:rPr>
                <w:rFonts w:hint="eastAsia"/>
                <w:color w:val="auto"/>
                <w:sz w:val="24"/>
                <w:szCs w:val="32"/>
                <w:highlight w:val="none"/>
                <w:lang w:val="fr-FR" w:eastAsia="zh-CN"/>
              </w:rPr>
              <w:t>）</w:t>
            </w:r>
            <w:r>
              <w:rPr>
                <w:color w:val="auto"/>
                <w:sz w:val="24"/>
                <w:szCs w:val="32"/>
                <w:highlight w:val="none"/>
                <w:lang w:val="fr-FR"/>
              </w:rPr>
              <w:t>计算得出单个声源对厂界的影响贡献值</w:t>
            </w:r>
            <w:r>
              <w:rPr>
                <w:color w:val="auto"/>
                <w:sz w:val="24"/>
                <w:szCs w:val="32"/>
                <w:highlight w:val="none"/>
              </w:rPr>
              <w:t>LA</w:t>
            </w:r>
            <w:r>
              <w:rPr>
                <w:rFonts w:hint="eastAsia"/>
                <w:color w:val="auto"/>
                <w:sz w:val="24"/>
                <w:szCs w:val="32"/>
                <w:highlight w:val="none"/>
                <w:lang w:eastAsia="zh-CN"/>
              </w:rPr>
              <w:t>（</w:t>
            </w:r>
            <w:r>
              <w:rPr>
                <w:color w:val="auto"/>
                <w:sz w:val="24"/>
                <w:szCs w:val="32"/>
                <w:highlight w:val="none"/>
              </w:rPr>
              <w:t>r</w:t>
            </w:r>
            <w:r>
              <w:rPr>
                <w:rFonts w:hint="eastAsia"/>
                <w:color w:val="auto"/>
                <w:sz w:val="24"/>
                <w:szCs w:val="32"/>
                <w:highlight w:val="none"/>
                <w:lang w:eastAsia="zh-CN"/>
              </w:rPr>
              <w:t>）</w:t>
            </w:r>
            <w:r>
              <w:rPr>
                <w:color w:val="auto"/>
                <w:sz w:val="24"/>
                <w:szCs w:val="32"/>
                <w:highlight w:val="none"/>
              </w:rPr>
              <w:t>，计算出各噪声源的LA</w:t>
            </w:r>
            <w:r>
              <w:rPr>
                <w:rFonts w:hint="eastAsia"/>
                <w:color w:val="auto"/>
                <w:sz w:val="24"/>
                <w:szCs w:val="32"/>
                <w:highlight w:val="none"/>
                <w:lang w:eastAsia="zh-CN"/>
              </w:rPr>
              <w:t>（</w:t>
            </w:r>
            <w:r>
              <w:rPr>
                <w:color w:val="auto"/>
                <w:sz w:val="24"/>
                <w:szCs w:val="32"/>
                <w:highlight w:val="none"/>
              </w:rPr>
              <w:t>r</w:t>
            </w:r>
            <w:r>
              <w:rPr>
                <w:rFonts w:hint="eastAsia"/>
                <w:color w:val="auto"/>
                <w:sz w:val="24"/>
                <w:szCs w:val="32"/>
                <w:highlight w:val="none"/>
                <w:lang w:eastAsia="zh-CN"/>
              </w:rPr>
              <w:t>）</w:t>
            </w:r>
            <w:r>
              <w:rPr>
                <w:color w:val="auto"/>
                <w:sz w:val="24"/>
                <w:szCs w:val="32"/>
                <w:highlight w:val="none"/>
              </w:rPr>
              <w:t>后再综合计算项目各噪声源对各厂界的噪声影响贡献值。</w:t>
            </w:r>
          </w:p>
          <w:p w14:paraId="1BFFE67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2" w:firstLineChars="200"/>
              <w:jc w:val="left"/>
              <w:textAlignment w:val="auto"/>
              <w:rPr>
                <w:rFonts w:hint="eastAsia" w:hAnsi="宋体" w:cs="Times New Roman"/>
                <w:b/>
                <w:bCs w:val="0"/>
                <w:color w:val="auto"/>
                <w:kern w:val="0"/>
                <w:sz w:val="24"/>
                <w:szCs w:val="24"/>
                <w:highlight w:val="none"/>
                <w:lang w:eastAsia="zh-CN"/>
              </w:rPr>
            </w:pPr>
            <w:r>
              <w:rPr>
                <w:rFonts w:hint="eastAsia" w:hAnsi="宋体" w:cs="Times New Roman"/>
                <w:b/>
                <w:bCs w:val="0"/>
                <w:color w:val="auto"/>
                <w:kern w:val="0"/>
                <w:sz w:val="24"/>
                <w:szCs w:val="24"/>
                <w:highlight w:val="none"/>
                <w:lang w:eastAsia="zh-CN"/>
              </w:rPr>
              <w:t>（</w:t>
            </w:r>
            <w:r>
              <w:rPr>
                <w:rFonts w:hint="eastAsia" w:hAnsi="宋体" w:cs="Times New Roman"/>
                <w:b/>
                <w:bCs w:val="0"/>
                <w:color w:val="auto"/>
                <w:kern w:val="0"/>
                <w:sz w:val="24"/>
                <w:szCs w:val="24"/>
                <w:highlight w:val="none"/>
                <w:lang w:val="en-US" w:eastAsia="zh-CN"/>
              </w:rPr>
              <w:t>3</w:t>
            </w:r>
            <w:r>
              <w:rPr>
                <w:rFonts w:hint="eastAsia" w:hAnsi="宋体" w:cs="Times New Roman"/>
                <w:b/>
                <w:bCs w:val="0"/>
                <w:color w:val="auto"/>
                <w:kern w:val="0"/>
                <w:sz w:val="24"/>
                <w:szCs w:val="24"/>
                <w:highlight w:val="none"/>
                <w:lang w:eastAsia="zh-CN"/>
              </w:rPr>
              <w:t>）预测结果</w:t>
            </w:r>
          </w:p>
          <w:p w14:paraId="170242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eastAsia="宋体"/>
                <w:color w:val="auto"/>
                <w:highlight w:val="none"/>
                <w:lang w:val="en-US" w:eastAsia="zh-CN"/>
              </w:rPr>
            </w:pPr>
            <w:r>
              <w:rPr>
                <w:rFonts w:hint="default" w:ascii="Times New Roman" w:hAnsi="Times New Roman"/>
                <w:color w:val="auto"/>
                <w:sz w:val="24"/>
                <w:highlight w:val="none"/>
              </w:rPr>
              <w:t>经预测分析，</w:t>
            </w:r>
            <w:r>
              <w:rPr>
                <w:rFonts w:hint="eastAsia"/>
                <w:color w:val="auto"/>
                <w:sz w:val="24"/>
                <w:highlight w:val="none"/>
                <w:lang w:eastAsia="zh-CN"/>
              </w:rPr>
              <w:t>厂界噪声预测结果见</w:t>
            </w:r>
            <w:r>
              <w:rPr>
                <w:rFonts w:hint="eastAsia"/>
                <w:color w:val="auto"/>
                <w:sz w:val="24"/>
                <w:highlight w:val="none"/>
                <w:lang w:val="en-US" w:eastAsia="zh-CN"/>
              </w:rPr>
              <w:t>下表。</w:t>
            </w:r>
          </w:p>
          <w:p w14:paraId="2482030E">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w:t>
            </w:r>
            <w:r>
              <w:rPr>
                <w:rFonts w:hint="eastAsia" w:ascii="Times New Roman" w:hAnsi="Times New Roman" w:eastAsia="宋体" w:cs="Times New Roman"/>
                <w:b/>
                <w:bCs/>
                <w:color w:val="auto"/>
                <w:kern w:val="2"/>
                <w:sz w:val="24"/>
                <w:szCs w:val="24"/>
                <w:lang w:val="en-US" w:eastAsia="zh-CN"/>
              </w:rPr>
              <w:t>4-14  厂界</w:t>
            </w:r>
            <w:r>
              <w:rPr>
                <w:rFonts w:hint="default" w:ascii="Times New Roman" w:hAnsi="Times New Roman" w:eastAsia="宋体" w:cs="Times New Roman"/>
                <w:b/>
                <w:bCs/>
                <w:color w:val="auto"/>
                <w:kern w:val="2"/>
                <w:sz w:val="24"/>
                <w:szCs w:val="24"/>
                <w:lang w:val="en-US" w:eastAsia="zh-CN"/>
              </w:rPr>
              <w:t>噪声影响预测结果 单位：dB</w:t>
            </w:r>
            <w:r>
              <w:rPr>
                <w:rFonts w:hint="eastAsia" w:ascii="Times New Roman" w:hAnsi="Times New Roman" w:eastAsia="宋体" w:cs="Times New Roman"/>
                <w:b/>
                <w:bCs/>
                <w:color w:val="auto"/>
                <w:kern w:val="2"/>
                <w:sz w:val="24"/>
                <w:szCs w:val="24"/>
                <w:lang w:val="en-US" w:eastAsia="zh-CN"/>
              </w:rPr>
              <w:t>（</w:t>
            </w:r>
            <w:r>
              <w:rPr>
                <w:rFonts w:hint="default" w:ascii="Times New Roman" w:hAnsi="Times New Roman" w:eastAsia="宋体" w:cs="Times New Roman"/>
                <w:b/>
                <w:bCs/>
                <w:color w:val="auto"/>
                <w:kern w:val="2"/>
                <w:sz w:val="24"/>
                <w:szCs w:val="24"/>
                <w:lang w:val="en-US" w:eastAsia="zh-CN"/>
              </w:rPr>
              <w:t>A</w:t>
            </w:r>
            <w:r>
              <w:rPr>
                <w:rFonts w:hint="eastAsia" w:ascii="Times New Roman" w:hAnsi="Times New Roman" w:eastAsia="宋体" w:cs="Times New Roman"/>
                <w:b/>
                <w:bCs/>
                <w:color w:val="auto"/>
                <w:kern w:val="2"/>
                <w:sz w:val="24"/>
                <w:szCs w:val="24"/>
                <w:lang w:val="en-US" w:eastAsia="zh-CN"/>
              </w:rPr>
              <w:t>）</w:t>
            </w:r>
          </w:p>
          <w:tbl>
            <w:tblPr>
              <w:tblStyle w:val="3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5"/>
              <w:gridCol w:w="1305"/>
              <w:gridCol w:w="2993"/>
              <w:gridCol w:w="2599"/>
            </w:tblGrid>
            <w:tr w14:paraId="7A6CF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trPr>
              <w:tc>
                <w:tcPr>
                  <w:tcW w:w="790" w:type="pct"/>
                  <w:vMerge w:val="restart"/>
                  <w:tcBorders>
                    <w:tl2br w:val="nil"/>
                    <w:tr2bl w:val="nil"/>
                  </w:tcBorders>
                  <w:noWrap w:val="0"/>
                  <w:vAlign w:val="center"/>
                </w:tcPr>
                <w:p w14:paraId="2D09617B">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18"/>
                      <w:highlight w:val="none"/>
                    </w:rPr>
                  </w:pPr>
                  <w:r>
                    <w:rPr>
                      <w:rFonts w:hint="default" w:ascii="Times New Roman" w:hAnsi="宋体" w:eastAsia="宋体" w:cs="Times New Roman"/>
                      <w:b/>
                      <w:bCs/>
                      <w:color w:val="auto"/>
                      <w:kern w:val="0"/>
                      <w:sz w:val="21"/>
                      <w:szCs w:val="18"/>
                      <w:highlight w:val="none"/>
                    </w:rPr>
                    <w:t>预测点</w:t>
                  </w:r>
                </w:p>
              </w:tc>
              <w:tc>
                <w:tcPr>
                  <w:tcW w:w="796" w:type="pct"/>
                  <w:vMerge w:val="restart"/>
                  <w:tcBorders>
                    <w:tl2br w:val="nil"/>
                    <w:tr2bl w:val="nil"/>
                  </w:tcBorders>
                  <w:noWrap w:val="0"/>
                  <w:vAlign w:val="center"/>
                </w:tcPr>
                <w:p w14:paraId="1710703F">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18"/>
                      <w:highlight w:val="none"/>
                    </w:rPr>
                  </w:pPr>
                  <w:r>
                    <w:rPr>
                      <w:rFonts w:hint="default" w:ascii="Times New Roman" w:hAnsi="宋体" w:eastAsia="宋体" w:cs="Times New Roman"/>
                      <w:b/>
                      <w:bCs/>
                      <w:color w:val="auto"/>
                      <w:kern w:val="0"/>
                      <w:sz w:val="21"/>
                      <w:szCs w:val="18"/>
                      <w:highlight w:val="none"/>
                    </w:rPr>
                    <w:t>预测点位</w:t>
                  </w:r>
                </w:p>
              </w:tc>
              <w:tc>
                <w:tcPr>
                  <w:tcW w:w="3413" w:type="pct"/>
                  <w:gridSpan w:val="2"/>
                  <w:tcBorders>
                    <w:tl2br w:val="nil"/>
                    <w:tr2bl w:val="nil"/>
                  </w:tcBorders>
                  <w:noWrap w:val="0"/>
                  <w:vAlign w:val="center"/>
                </w:tcPr>
                <w:p w14:paraId="3D7D29A8">
                  <w:pPr>
                    <w:keepNext w:val="0"/>
                    <w:keepLines w:val="0"/>
                    <w:suppressLineNumbers w:val="0"/>
                    <w:spacing w:before="0" w:beforeAutospacing="0" w:after="0" w:afterAutospacing="0"/>
                    <w:ind w:left="0" w:right="0"/>
                    <w:jc w:val="center"/>
                    <w:rPr>
                      <w:rFonts w:hint="eastAsia" w:ascii="Times New Roman" w:hAnsi="宋体" w:eastAsia="宋体" w:cs="Times New Roman"/>
                      <w:b/>
                      <w:bCs/>
                      <w:color w:val="auto"/>
                      <w:kern w:val="0"/>
                      <w:sz w:val="21"/>
                      <w:szCs w:val="18"/>
                      <w:highlight w:val="none"/>
                      <w:lang w:val="en-US" w:eastAsia="zh-CN"/>
                    </w:rPr>
                  </w:pPr>
                  <w:r>
                    <w:rPr>
                      <w:rFonts w:hint="default" w:ascii="Times New Roman" w:hAnsi="宋体" w:eastAsia="宋体" w:cs="Times New Roman"/>
                      <w:b/>
                      <w:bCs/>
                      <w:color w:val="auto"/>
                      <w:kern w:val="0"/>
                      <w:sz w:val="21"/>
                      <w:szCs w:val="18"/>
                      <w:highlight w:val="none"/>
                    </w:rPr>
                    <w:t>噪声贡献</w:t>
                  </w:r>
                  <w:r>
                    <w:rPr>
                      <w:rFonts w:hint="eastAsia" w:ascii="Times New Roman" w:hAnsi="宋体" w:eastAsia="宋体" w:cs="Times New Roman"/>
                      <w:b/>
                      <w:bCs/>
                      <w:color w:val="auto"/>
                      <w:kern w:val="0"/>
                      <w:sz w:val="21"/>
                      <w:szCs w:val="18"/>
                      <w:highlight w:val="none"/>
                      <w:lang w:val="en-US" w:eastAsia="zh-CN"/>
                    </w:rPr>
                    <w:t>值</w:t>
                  </w:r>
                </w:p>
              </w:tc>
            </w:tr>
            <w:tr w14:paraId="1521B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0" w:type="pct"/>
                  <w:vMerge w:val="continue"/>
                  <w:tcBorders>
                    <w:tl2br w:val="nil"/>
                    <w:tr2bl w:val="nil"/>
                  </w:tcBorders>
                  <w:noWrap w:val="0"/>
                  <w:vAlign w:val="center"/>
                </w:tcPr>
                <w:p w14:paraId="2BAF579D">
                  <w:pPr>
                    <w:keepNext w:val="0"/>
                    <w:keepLines w:val="0"/>
                    <w:suppressLineNumbers w:val="0"/>
                    <w:spacing w:before="0" w:beforeAutospacing="0" w:after="0" w:afterAutospacing="0"/>
                    <w:ind w:left="0" w:right="0"/>
                    <w:jc w:val="center"/>
                    <w:rPr>
                      <w:rFonts w:hint="default" w:ascii="Times New Roman" w:hAnsi="宋体" w:eastAsia="宋体" w:cs="Times New Roman"/>
                      <w:b/>
                      <w:bCs/>
                      <w:color w:val="auto"/>
                      <w:kern w:val="0"/>
                      <w:sz w:val="21"/>
                      <w:szCs w:val="18"/>
                      <w:highlight w:val="none"/>
                    </w:rPr>
                  </w:pPr>
                </w:p>
              </w:tc>
              <w:tc>
                <w:tcPr>
                  <w:tcW w:w="796" w:type="pct"/>
                  <w:vMerge w:val="continue"/>
                  <w:tcBorders>
                    <w:tl2br w:val="nil"/>
                    <w:tr2bl w:val="nil"/>
                  </w:tcBorders>
                  <w:noWrap w:val="0"/>
                  <w:vAlign w:val="center"/>
                </w:tcPr>
                <w:p w14:paraId="76DAB512">
                  <w:pPr>
                    <w:keepNext w:val="0"/>
                    <w:keepLines w:val="0"/>
                    <w:suppressLineNumbers w:val="0"/>
                    <w:spacing w:before="0" w:beforeAutospacing="0" w:after="0" w:afterAutospacing="0"/>
                    <w:ind w:left="0" w:right="0"/>
                    <w:jc w:val="center"/>
                    <w:rPr>
                      <w:rFonts w:hint="default" w:ascii="Times New Roman" w:hAnsi="宋体" w:eastAsia="宋体" w:cs="Times New Roman"/>
                      <w:b/>
                      <w:bCs/>
                      <w:color w:val="auto"/>
                      <w:kern w:val="0"/>
                      <w:sz w:val="21"/>
                      <w:szCs w:val="18"/>
                      <w:highlight w:val="none"/>
                    </w:rPr>
                  </w:pPr>
                </w:p>
              </w:tc>
              <w:tc>
                <w:tcPr>
                  <w:tcW w:w="1826" w:type="pct"/>
                  <w:tcBorders>
                    <w:tl2br w:val="nil"/>
                    <w:tr2bl w:val="nil"/>
                  </w:tcBorders>
                  <w:noWrap w:val="0"/>
                  <w:vAlign w:val="center"/>
                </w:tcPr>
                <w:p w14:paraId="671CCAEF">
                  <w:pPr>
                    <w:keepNext w:val="0"/>
                    <w:keepLines w:val="0"/>
                    <w:suppressLineNumbers w:val="0"/>
                    <w:spacing w:before="0" w:beforeAutospacing="0" w:after="0" w:afterAutospacing="0"/>
                    <w:ind w:left="0" w:leftChars="0" w:right="0" w:rightChars="0"/>
                    <w:jc w:val="center"/>
                    <w:rPr>
                      <w:rFonts w:hint="default" w:ascii="Times New Roman" w:hAnsi="宋体" w:eastAsia="宋体" w:cs="Times New Roman"/>
                      <w:b/>
                      <w:bCs/>
                      <w:color w:val="auto"/>
                      <w:kern w:val="0"/>
                      <w:sz w:val="21"/>
                      <w:szCs w:val="18"/>
                      <w:highlight w:val="none"/>
                    </w:rPr>
                  </w:pPr>
                  <w:r>
                    <w:rPr>
                      <w:rFonts w:hint="eastAsia" w:ascii="Times New Roman" w:hAnsi="宋体" w:eastAsia="宋体" w:cs="Times New Roman"/>
                      <w:b/>
                      <w:bCs/>
                      <w:color w:val="auto"/>
                      <w:kern w:val="0"/>
                      <w:sz w:val="21"/>
                      <w:szCs w:val="18"/>
                      <w:highlight w:val="none"/>
                      <w:lang w:val="en-US" w:eastAsia="zh-CN"/>
                    </w:rPr>
                    <w:t>昼间</w:t>
                  </w:r>
                </w:p>
              </w:tc>
              <w:tc>
                <w:tcPr>
                  <w:tcW w:w="1586" w:type="pct"/>
                  <w:tcBorders>
                    <w:tl2br w:val="nil"/>
                    <w:tr2bl w:val="nil"/>
                  </w:tcBorders>
                  <w:noWrap w:val="0"/>
                  <w:vAlign w:val="center"/>
                </w:tcPr>
                <w:p w14:paraId="2CE0D9AB">
                  <w:pPr>
                    <w:keepNext w:val="0"/>
                    <w:keepLines w:val="0"/>
                    <w:suppressLineNumbers w:val="0"/>
                    <w:spacing w:before="0" w:beforeAutospacing="0" w:after="0" w:afterAutospacing="0"/>
                    <w:ind w:left="0" w:leftChars="0" w:right="0" w:rightChars="0"/>
                    <w:jc w:val="center"/>
                    <w:rPr>
                      <w:rFonts w:hint="eastAsia" w:ascii="Times New Roman" w:hAnsi="宋体" w:eastAsia="宋体" w:cs="Times New Roman"/>
                      <w:b/>
                      <w:bCs/>
                      <w:color w:val="auto"/>
                      <w:kern w:val="0"/>
                      <w:sz w:val="21"/>
                      <w:szCs w:val="18"/>
                      <w:highlight w:val="none"/>
                      <w:lang w:val="en-US" w:eastAsia="zh-CN"/>
                    </w:rPr>
                  </w:pPr>
                  <w:r>
                    <w:rPr>
                      <w:rFonts w:hint="eastAsia" w:ascii="Times New Roman" w:hAnsi="宋体" w:eastAsia="宋体" w:cs="Times New Roman"/>
                      <w:b/>
                      <w:bCs/>
                      <w:color w:val="auto"/>
                      <w:kern w:val="0"/>
                      <w:sz w:val="21"/>
                      <w:szCs w:val="18"/>
                      <w:highlight w:val="none"/>
                      <w:lang w:val="en-US" w:eastAsia="zh-CN"/>
                    </w:rPr>
                    <w:t>夜间</w:t>
                  </w:r>
                </w:p>
              </w:tc>
            </w:tr>
            <w:tr w14:paraId="3FE5D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0" w:type="pct"/>
                  <w:tcBorders>
                    <w:tl2br w:val="nil"/>
                    <w:tr2bl w:val="nil"/>
                  </w:tcBorders>
                  <w:noWrap w:val="0"/>
                  <w:vAlign w:val="center"/>
                </w:tcPr>
                <w:p w14:paraId="54238AE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Times New Roman" w:eastAsia="宋体" w:cs="Times New Roman"/>
                      <w:color w:val="auto"/>
                      <w:kern w:val="0"/>
                      <w:sz w:val="21"/>
                      <w:szCs w:val="18"/>
                      <w:highlight w:val="none"/>
                    </w:rPr>
                    <w:t>1#</w:t>
                  </w:r>
                </w:p>
              </w:tc>
              <w:tc>
                <w:tcPr>
                  <w:tcW w:w="796" w:type="pct"/>
                  <w:tcBorders>
                    <w:tl2br w:val="nil"/>
                    <w:tr2bl w:val="nil"/>
                  </w:tcBorders>
                  <w:noWrap w:val="0"/>
                  <w:vAlign w:val="center"/>
                </w:tcPr>
                <w:p w14:paraId="1394EF6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宋体" w:eastAsia="宋体" w:cs="Times New Roman"/>
                      <w:color w:val="auto"/>
                      <w:kern w:val="0"/>
                      <w:sz w:val="21"/>
                      <w:szCs w:val="18"/>
                      <w:highlight w:val="none"/>
                    </w:rPr>
                    <w:t>东厂界</w:t>
                  </w:r>
                </w:p>
              </w:tc>
              <w:tc>
                <w:tcPr>
                  <w:tcW w:w="1826" w:type="pct"/>
                  <w:tcBorders>
                    <w:tl2br w:val="nil"/>
                    <w:tr2bl w:val="nil"/>
                  </w:tcBorders>
                  <w:noWrap w:val="0"/>
                  <w:vAlign w:val="center"/>
                </w:tcPr>
                <w:p w14:paraId="69323A1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18"/>
                      <w:highlight w:val="none"/>
                      <w:lang w:val="en-US" w:eastAsia="zh-CN"/>
                    </w:rPr>
                  </w:pPr>
                  <w:r>
                    <w:rPr>
                      <w:rFonts w:hint="eastAsia" w:ascii="Times New Roman" w:hAnsi="Times New Roman" w:eastAsia="宋体" w:cs="Times New Roman"/>
                      <w:color w:val="auto"/>
                      <w:kern w:val="0"/>
                      <w:sz w:val="21"/>
                      <w:szCs w:val="18"/>
                      <w:highlight w:val="none"/>
                      <w:lang w:val="en-US" w:eastAsia="zh-CN"/>
                    </w:rPr>
                    <w:t>48.2</w:t>
                  </w:r>
                </w:p>
              </w:tc>
              <w:tc>
                <w:tcPr>
                  <w:tcW w:w="2599" w:type="dxa"/>
                  <w:tcBorders>
                    <w:tl2br w:val="nil"/>
                    <w:tr2bl w:val="nil"/>
                  </w:tcBorders>
                  <w:noWrap w:val="0"/>
                  <w:vAlign w:val="center"/>
                </w:tcPr>
                <w:p w14:paraId="2FA6016B">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1"/>
                      <w:szCs w:val="18"/>
                      <w:highlight w:val="none"/>
                      <w:lang w:val="en-US" w:eastAsia="zh-CN" w:bidi="ar-SA"/>
                    </w:rPr>
                  </w:pPr>
                  <w:r>
                    <w:rPr>
                      <w:rFonts w:hint="eastAsia" w:ascii="Times New Roman" w:hAnsi="Times New Roman" w:eastAsia="宋体" w:cs="Times New Roman"/>
                      <w:color w:val="auto"/>
                      <w:kern w:val="0"/>
                      <w:sz w:val="21"/>
                      <w:szCs w:val="18"/>
                      <w:highlight w:val="none"/>
                      <w:lang w:val="en-US" w:eastAsia="zh-CN"/>
                    </w:rPr>
                    <w:t>48.2</w:t>
                  </w:r>
                </w:p>
              </w:tc>
            </w:tr>
            <w:tr w14:paraId="0E4A1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0" w:type="pct"/>
                  <w:tcBorders>
                    <w:tl2br w:val="nil"/>
                    <w:tr2bl w:val="nil"/>
                  </w:tcBorders>
                  <w:noWrap w:val="0"/>
                  <w:vAlign w:val="center"/>
                </w:tcPr>
                <w:p w14:paraId="73B4542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Times New Roman" w:eastAsia="宋体" w:cs="Times New Roman"/>
                      <w:color w:val="auto"/>
                      <w:kern w:val="0"/>
                      <w:sz w:val="21"/>
                      <w:szCs w:val="18"/>
                      <w:highlight w:val="none"/>
                    </w:rPr>
                    <w:t>2#</w:t>
                  </w:r>
                </w:p>
              </w:tc>
              <w:tc>
                <w:tcPr>
                  <w:tcW w:w="796" w:type="pct"/>
                  <w:tcBorders>
                    <w:tl2br w:val="nil"/>
                    <w:tr2bl w:val="nil"/>
                  </w:tcBorders>
                  <w:noWrap w:val="0"/>
                  <w:vAlign w:val="center"/>
                </w:tcPr>
                <w:p w14:paraId="4CB6CE1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宋体" w:eastAsia="宋体" w:cs="Times New Roman"/>
                      <w:color w:val="auto"/>
                      <w:kern w:val="0"/>
                      <w:sz w:val="21"/>
                      <w:szCs w:val="18"/>
                      <w:highlight w:val="none"/>
                    </w:rPr>
                    <w:t>南厂界</w:t>
                  </w:r>
                </w:p>
              </w:tc>
              <w:tc>
                <w:tcPr>
                  <w:tcW w:w="1826" w:type="pct"/>
                  <w:tcBorders>
                    <w:tl2br w:val="nil"/>
                    <w:tr2bl w:val="nil"/>
                  </w:tcBorders>
                  <w:noWrap w:val="0"/>
                  <w:vAlign w:val="center"/>
                </w:tcPr>
                <w:p w14:paraId="562610A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18"/>
                      <w:highlight w:val="none"/>
                      <w:lang w:val="en-US" w:eastAsia="zh-CN"/>
                    </w:rPr>
                  </w:pPr>
                  <w:r>
                    <w:rPr>
                      <w:rFonts w:hint="eastAsia" w:ascii="Times New Roman" w:hAnsi="Times New Roman" w:eastAsia="宋体" w:cs="Times New Roman"/>
                      <w:color w:val="auto"/>
                      <w:kern w:val="0"/>
                      <w:sz w:val="21"/>
                      <w:szCs w:val="18"/>
                      <w:highlight w:val="none"/>
                      <w:lang w:val="en-US" w:eastAsia="zh-CN"/>
                    </w:rPr>
                    <w:t>52.1</w:t>
                  </w:r>
                </w:p>
              </w:tc>
              <w:tc>
                <w:tcPr>
                  <w:tcW w:w="2599" w:type="dxa"/>
                  <w:tcBorders>
                    <w:tl2br w:val="nil"/>
                    <w:tr2bl w:val="nil"/>
                  </w:tcBorders>
                  <w:noWrap w:val="0"/>
                  <w:vAlign w:val="center"/>
                </w:tcPr>
                <w:p w14:paraId="053473BA">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1"/>
                      <w:szCs w:val="18"/>
                      <w:highlight w:val="none"/>
                      <w:lang w:val="en-US" w:eastAsia="zh-CN" w:bidi="ar-SA"/>
                    </w:rPr>
                  </w:pPr>
                  <w:r>
                    <w:rPr>
                      <w:rFonts w:hint="eastAsia" w:ascii="Times New Roman" w:hAnsi="Times New Roman" w:eastAsia="宋体" w:cs="Times New Roman"/>
                      <w:color w:val="auto"/>
                      <w:kern w:val="0"/>
                      <w:sz w:val="21"/>
                      <w:szCs w:val="18"/>
                      <w:highlight w:val="none"/>
                      <w:lang w:val="en-US" w:eastAsia="zh-CN"/>
                    </w:rPr>
                    <w:t>52.1</w:t>
                  </w:r>
                </w:p>
              </w:tc>
            </w:tr>
            <w:tr w14:paraId="7D28A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0" w:type="pct"/>
                  <w:tcBorders>
                    <w:tl2br w:val="nil"/>
                    <w:tr2bl w:val="nil"/>
                  </w:tcBorders>
                  <w:noWrap w:val="0"/>
                  <w:vAlign w:val="center"/>
                </w:tcPr>
                <w:p w14:paraId="1ED3272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Times New Roman" w:eastAsia="宋体" w:cs="Times New Roman"/>
                      <w:color w:val="auto"/>
                      <w:kern w:val="0"/>
                      <w:sz w:val="21"/>
                      <w:szCs w:val="18"/>
                      <w:highlight w:val="none"/>
                    </w:rPr>
                    <w:t>3#</w:t>
                  </w:r>
                </w:p>
              </w:tc>
              <w:tc>
                <w:tcPr>
                  <w:tcW w:w="796" w:type="pct"/>
                  <w:tcBorders>
                    <w:tl2br w:val="nil"/>
                    <w:tr2bl w:val="nil"/>
                  </w:tcBorders>
                  <w:noWrap w:val="0"/>
                  <w:vAlign w:val="center"/>
                </w:tcPr>
                <w:p w14:paraId="6ECE973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宋体" w:eastAsia="宋体" w:cs="Times New Roman"/>
                      <w:color w:val="auto"/>
                      <w:kern w:val="0"/>
                      <w:sz w:val="21"/>
                      <w:szCs w:val="18"/>
                      <w:highlight w:val="none"/>
                    </w:rPr>
                    <w:t>西厂界</w:t>
                  </w:r>
                </w:p>
              </w:tc>
              <w:tc>
                <w:tcPr>
                  <w:tcW w:w="1826" w:type="pct"/>
                  <w:tcBorders>
                    <w:tl2br w:val="nil"/>
                    <w:tr2bl w:val="nil"/>
                  </w:tcBorders>
                  <w:noWrap w:val="0"/>
                  <w:vAlign w:val="center"/>
                </w:tcPr>
                <w:p w14:paraId="16D19AD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18"/>
                      <w:highlight w:val="none"/>
                      <w:lang w:val="en-US" w:eastAsia="zh-CN"/>
                    </w:rPr>
                  </w:pPr>
                  <w:r>
                    <w:rPr>
                      <w:rFonts w:hint="eastAsia" w:ascii="Times New Roman" w:hAnsi="Times New Roman" w:eastAsia="宋体" w:cs="Times New Roman"/>
                      <w:color w:val="auto"/>
                      <w:kern w:val="0"/>
                      <w:sz w:val="21"/>
                      <w:szCs w:val="18"/>
                      <w:highlight w:val="none"/>
                      <w:lang w:val="en-US" w:eastAsia="zh-CN"/>
                    </w:rPr>
                    <w:t>53.1</w:t>
                  </w:r>
                </w:p>
              </w:tc>
              <w:tc>
                <w:tcPr>
                  <w:tcW w:w="2599" w:type="dxa"/>
                  <w:tcBorders>
                    <w:tl2br w:val="nil"/>
                    <w:tr2bl w:val="nil"/>
                  </w:tcBorders>
                  <w:noWrap w:val="0"/>
                  <w:vAlign w:val="center"/>
                </w:tcPr>
                <w:p w14:paraId="70AAD34C">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1"/>
                      <w:szCs w:val="18"/>
                      <w:highlight w:val="none"/>
                      <w:lang w:val="en-US" w:eastAsia="zh-CN" w:bidi="ar-SA"/>
                    </w:rPr>
                  </w:pPr>
                  <w:r>
                    <w:rPr>
                      <w:rFonts w:hint="eastAsia" w:ascii="Times New Roman" w:hAnsi="Times New Roman" w:eastAsia="宋体" w:cs="Times New Roman"/>
                      <w:color w:val="auto"/>
                      <w:kern w:val="0"/>
                      <w:sz w:val="21"/>
                      <w:szCs w:val="18"/>
                      <w:highlight w:val="none"/>
                      <w:lang w:val="en-US" w:eastAsia="zh-CN"/>
                    </w:rPr>
                    <w:t>53.1</w:t>
                  </w:r>
                </w:p>
              </w:tc>
            </w:tr>
            <w:tr w14:paraId="7D54A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0" w:type="pct"/>
                  <w:tcBorders>
                    <w:tl2br w:val="nil"/>
                    <w:tr2bl w:val="nil"/>
                  </w:tcBorders>
                  <w:noWrap w:val="0"/>
                  <w:vAlign w:val="center"/>
                </w:tcPr>
                <w:p w14:paraId="7DAF536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Times New Roman" w:eastAsia="宋体" w:cs="Times New Roman"/>
                      <w:color w:val="auto"/>
                      <w:kern w:val="0"/>
                      <w:sz w:val="21"/>
                      <w:szCs w:val="18"/>
                      <w:highlight w:val="none"/>
                    </w:rPr>
                    <w:t>4#</w:t>
                  </w:r>
                </w:p>
              </w:tc>
              <w:tc>
                <w:tcPr>
                  <w:tcW w:w="796" w:type="pct"/>
                  <w:tcBorders>
                    <w:tl2br w:val="nil"/>
                    <w:tr2bl w:val="nil"/>
                  </w:tcBorders>
                  <w:noWrap w:val="0"/>
                  <w:vAlign w:val="center"/>
                </w:tcPr>
                <w:p w14:paraId="3EB199B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18"/>
                      <w:highlight w:val="none"/>
                    </w:rPr>
                  </w:pPr>
                  <w:r>
                    <w:rPr>
                      <w:rFonts w:hint="default" w:ascii="Times New Roman" w:hAnsi="宋体" w:eastAsia="宋体" w:cs="Times New Roman"/>
                      <w:color w:val="auto"/>
                      <w:kern w:val="0"/>
                      <w:sz w:val="21"/>
                      <w:szCs w:val="18"/>
                      <w:highlight w:val="none"/>
                    </w:rPr>
                    <w:t>北厂界</w:t>
                  </w:r>
                </w:p>
              </w:tc>
              <w:tc>
                <w:tcPr>
                  <w:tcW w:w="1826" w:type="pct"/>
                  <w:tcBorders>
                    <w:tl2br w:val="nil"/>
                    <w:tr2bl w:val="nil"/>
                  </w:tcBorders>
                  <w:noWrap w:val="0"/>
                  <w:vAlign w:val="center"/>
                </w:tcPr>
                <w:p w14:paraId="07C5937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18"/>
                      <w:highlight w:val="none"/>
                      <w:lang w:val="en-US" w:eastAsia="zh-CN"/>
                    </w:rPr>
                  </w:pPr>
                  <w:r>
                    <w:rPr>
                      <w:rFonts w:hint="eastAsia" w:ascii="Times New Roman" w:hAnsi="Times New Roman" w:eastAsia="宋体" w:cs="Times New Roman"/>
                      <w:color w:val="auto"/>
                      <w:kern w:val="0"/>
                      <w:sz w:val="21"/>
                      <w:szCs w:val="18"/>
                      <w:highlight w:val="none"/>
                      <w:lang w:val="en-US" w:eastAsia="zh-CN"/>
                    </w:rPr>
                    <w:t>47.3</w:t>
                  </w:r>
                </w:p>
              </w:tc>
              <w:tc>
                <w:tcPr>
                  <w:tcW w:w="2599" w:type="dxa"/>
                  <w:tcBorders>
                    <w:tl2br w:val="nil"/>
                    <w:tr2bl w:val="nil"/>
                  </w:tcBorders>
                  <w:noWrap w:val="0"/>
                  <w:vAlign w:val="center"/>
                </w:tcPr>
                <w:p w14:paraId="01FBC06A">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1"/>
                      <w:szCs w:val="18"/>
                      <w:highlight w:val="none"/>
                      <w:lang w:val="en-US" w:eastAsia="zh-CN" w:bidi="ar-SA"/>
                    </w:rPr>
                  </w:pPr>
                  <w:r>
                    <w:rPr>
                      <w:rFonts w:hint="eastAsia" w:ascii="Times New Roman" w:hAnsi="Times New Roman" w:eastAsia="宋体" w:cs="Times New Roman"/>
                      <w:color w:val="auto"/>
                      <w:kern w:val="0"/>
                      <w:sz w:val="21"/>
                      <w:szCs w:val="18"/>
                      <w:highlight w:val="none"/>
                      <w:lang w:val="en-US" w:eastAsia="zh-CN"/>
                    </w:rPr>
                    <w:t>47.3</w:t>
                  </w:r>
                </w:p>
              </w:tc>
            </w:tr>
          </w:tbl>
          <w:p w14:paraId="02E18BE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18"/>
                <w:szCs w:val="18"/>
                <w:highlight w:val="none"/>
                <w:lang w:val="en-US" w:eastAsia="zh-CN"/>
              </w:rPr>
            </w:pPr>
          </w:p>
          <w:p w14:paraId="10BA31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项</w:t>
            </w:r>
            <w:r>
              <w:rPr>
                <w:rFonts w:hint="default" w:ascii="Times New Roman" w:hAnsi="宋体" w:eastAsia="宋体" w:cs="Times New Roman"/>
                <w:color w:val="auto"/>
                <w:kern w:val="0"/>
                <w:sz w:val="24"/>
                <w:szCs w:val="24"/>
                <w:highlight w:val="none"/>
              </w:rPr>
              <w:t>目营运后，企业按照环评做好降噪减振措施后，各厂界</w:t>
            </w:r>
            <w:r>
              <w:rPr>
                <w:rFonts w:hint="eastAsia" w:ascii="Times New Roman" w:hAnsi="宋体" w:eastAsia="宋体" w:cs="Times New Roman"/>
                <w:color w:val="auto"/>
                <w:kern w:val="0"/>
                <w:sz w:val="24"/>
                <w:szCs w:val="24"/>
                <w:highlight w:val="none"/>
                <w:lang w:val="en-US" w:eastAsia="zh-CN"/>
              </w:rPr>
              <w:t>噪声预测值</w:t>
            </w:r>
            <w:r>
              <w:rPr>
                <w:rFonts w:hint="default" w:ascii="Times New Roman" w:hAnsi="宋体" w:eastAsia="宋体" w:cs="Times New Roman"/>
                <w:color w:val="auto"/>
                <w:kern w:val="0"/>
                <w:sz w:val="24"/>
                <w:szCs w:val="24"/>
                <w:highlight w:val="none"/>
              </w:rPr>
              <w:t>均能满足《工业企业厂界环境噪声排放标准》</w:t>
            </w:r>
            <w:r>
              <w:rPr>
                <w:rFonts w:hint="eastAsia" w:ascii="Times New Roman" w:hAnsi="宋体"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GB</w:t>
            </w:r>
            <w:r>
              <w:rPr>
                <w:rFonts w:hint="eastAsia"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12348-2008</w:t>
            </w:r>
            <w:r>
              <w:rPr>
                <w:rFonts w:hint="eastAsia" w:ascii="Times New Roman" w:hAnsi="宋体" w:eastAsia="宋体" w:cs="Times New Roman"/>
                <w:color w:val="auto"/>
                <w:kern w:val="0"/>
                <w:sz w:val="24"/>
                <w:szCs w:val="24"/>
                <w:highlight w:val="none"/>
                <w:lang w:eastAsia="zh-CN"/>
              </w:rPr>
              <w:t>）</w:t>
            </w:r>
            <w:r>
              <w:rPr>
                <w:rFonts w:hint="default" w:ascii="Times New Roman" w:hAnsi="宋体" w:eastAsia="宋体" w:cs="Times New Roman"/>
                <w:color w:val="auto"/>
                <w:kern w:val="0"/>
                <w:sz w:val="24"/>
                <w:szCs w:val="24"/>
                <w:highlight w:val="none"/>
              </w:rPr>
              <w:t>的</w:t>
            </w:r>
            <w:r>
              <w:rPr>
                <w:rFonts w:hint="eastAsia" w:hAnsi="宋体" w:cs="Times New Roman"/>
                <w:color w:val="auto"/>
                <w:kern w:val="0"/>
                <w:sz w:val="24"/>
                <w:szCs w:val="24"/>
                <w:highlight w:val="none"/>
                <w:lang w:val="en-US" w:eastAsia="zh-CN"/>
              </w:rPr>
              <w:t>3</w:t>
            </w:r>
            <w:r>
              <w:rPr>
                <w:rFonts w:hint="eastAsia" w:ascii="Times New Roman" w:hAnsi="Times New Roman" w:eastAsia="宋体" w:cs="Times New Roman"/>
                <w:color w:val="auto"/>
                <w:kern w:val="0"/>
                <w:sz w:val="24"/>
                <w:szCs w:val="24"/>
                <w:highlight w:val="none"/>
                <w:lang w:val="en-US" w:eastAsia="zh-CN"/>
              </w:rPr>
              <w:t>类</w:t>
            </w:r>
            <w:r>
              <w:rPr>
                <w:rFonts w:hint="default" w:ascii="Times New Roman" w:hAnsi="宋体" w:eastAsia="宋体" w:cs="Times New Roman"/>
                <w:color w:val="auto"/>
                <w:kern w:val="0"/>
                <w:sz w:val="24"/>
                <w:szCs w:val="24"/>
                <w:highlight w:val="none"/>
              </w:rPr>
              <w:t>标准，对外环境影响较小。</w:t>
            </w:r>
          </w:p>
          <w:p w14:paraId="2332BB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（4）噪声监测计划</w:t>
            </w:r>
          </w:p>
          <w:p w14:paraId="24ADF2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根据</w:t>
            </w:r>
            <w:r>
              <w:rPr>
                <w:rFonts w:hint="eastAsia"/>
                <w:color w:val="auto"/>
                <w:sz w:val="24"/>
                <w:szCs w:val="32"/>
                <w:highlight w:val="none"/>
                <w:lang w:eastAsia="zh-CN"/>
              </w:rPr>
              <w:t>《排污许可证申请与核发技术规范 工业噪声》（HJ1301—2023）</w:t>
            </w:r>
            <w:r>
              <w:rPr>
                <w:color w:val="auto"/>
                <w:sz w:val="24"/>
                <w:szCs w:val="32"/>
                <w:highlight w:val="none"/>
              </w:rPr>
              <w:t>中的相关要求，本项目监测计划按以下标准执行。</w:t>
            </w:r>
          </w:p>
          <w:p w14:paraId="64FBAC5D">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 xml:space="preserve">表4-15  </w:t>
            </w:r>
            <w:r>
              <w:rPr>
                <w:rFonts w:hint="default" w:ascii="Times New Roman" w:hAnsi="Times New Roman" w:eastAsia="宋体" w:cs="Times New Roman"/>
                <w:b/>
                <w:bCs/>
                <w:color w:val="auto"/>
                <w:kern w:val="2"/>
                <w:sz w:val="24"/>
                <w:szCs w:val="24"/>
                <w:lang w:val="en-US" w:eastAsia="zh-CN"/>
              </w:rPr>
              <w:t>监测项目及</w:t>
            </w:r>
            <w:r>
              <w:rPr>
                <w:rFonts w:hint="eastAsia" w:ascii="Times New Roman" w:hAnsi="Times New Roman" w:eastAsia="宋体" w:cs="Times New Roman"/>
                <w:b/>
                <w:bCs/>
                <w:color w:val="auto"/>
                <w:kern w:val="2"/>
                <w:sz w:val="24"/>
                <w:szCs w:val="24"/>
                <w:lang w:val="en-US" w:eastAsia="zh-CN"/>
              </w:rPr>
              <w:t>监测</w:t>
            </w:r>
            <w:r>
              <w:rPr>
                <w:rFonts w:hint="default" w:ascii="Times New Roman" w:hAnsi="Times New Roman" w:eastAsia="宋体" w:cs="Times New Roman"/>
                <w:b/>
                <w:bCs/>
                <w:color w:val="auto"/>
                <w:kern w:val="2"/>
                <w:sz w:val="24"/>
                <w:szCs w:val="24"/>
                <w:lang w:val="en-US" w:eastAsia="zh-CN"/>
              </w:rPr>
              <w:t>频次</w:t>
            </w:r>
          </w:p>
          <w:tbl>
            <w:tblPr>
              <w:tblStyle w:val="36"/>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83"/>
              <w:gridCol w:w="1240"/>
              <w:gridCol w:w="1835"/>
              <w:gridCol w:w="2162"/>
              <w:gridCol w:w="1975"/>
            </w:tblGrid>
            <w:tr w14:paraId="31CFE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 w:hRule="atLeast"/>
                <w:jc w:val="center"/>
              </w:trPr>
              <w:tc>
                <w:tcPr>
                  <w:tcW w:w="600" w:type="pct"/>
                  <w:noWrap w:val="0"/>
                  <w:vAlign w:val="center"/>
                </w:tcPr>
                <w:p w14:paraId="4A000090">
                  <w:pPr>
                    <w:pStyle w:val="116"/>
                    <w:tabs>
                      <w:tab w:val="left" w:pos="0"/>
                    </w:tabs>
                    <w:spacing w:line="240" w:lineRule="auto"/>
                    <w:rPr>
                      <w:b/>
                      <w:color w:val="auto"/>
                      <w:sz w:val="21"/>
                      <w:szCs w:val="21"/>
                      <w:highlight w:val="none"/>
                      <w:lang w:val="en-GB"/>
                    </w:rPr>
                  </w:pPr>
                  <w:r>
                    <w:rPr>
                      <w:b/>
                      <w:color w:val="auto"/>
                      <w:sz w:val="21"/>
                      <w:szCs w:val="21"/>
                      <w:highlight w:val="none"/>
                      <w:lang w:val="en-GB"/>
                    </w:rPr>
                    <w:t>监测期</w:t>
                  </w:r>
                </w:p>
              </w:tc>
              <w:tc>
                <w:tcPr>
                  <w:tcW w:w="756" w:type="pct"/>
                  <w:noWrap w:val="0"/>
                  <w:vAlign w:val="center"/>
                </w:tcPr>
                <w:p w14:paraId="41446A18">
                  <w:pPr>
                    <w:pStyle w:val="116"/>
                    <w:tabs>
                      <w:tab w:val="left" w:pos="0"/>
                    </w:tabs>
                    <w:spacing w:line="240" w:lineRule="auto"/>
                    <w:rPr>
                      <w:b/>
                      <w:color w:val="auto"/>
                      <w:sz w:val="21"/>
                      <w:szCs w:val="21"/>
                      <w:highlight w:val="none"/>
                      <w:lang w:val="en-GB"/>
                    </w:rPr>
                  </w:pPr>
                  <w:r>
                    <w:rPr>
                      <w:b/>
                      <w:color w:val="auto"/>
                      <w:sz w:val="21"/>
                      <w:szCs w:val="21"/>
                      <w:highlight w:val="none"/>
                      <w:lang w:val="en-GB"/>
                    </w:rPr>
                    <w:t>环境要素</w:t>
                  </w:r>
                </w:p>
              </w:tc>
              <w:tc>
                <w:tcPr>
                  <w:tcW w:w="1119" w:type="pct"/>
                  <w:noWrap w:val="0"/>
                  <w:vAlign w:val="center"/>
                </w:tcPr>
                <w:p w14:paraId="49D77969">
                  <w:pPr>
                    <w:pStyle w:val="116"/>
                    <w:tabs>
                      <w:tab w:val="left" w:pos="0"/>
                    </w:tabs>
                    <w:spacing w:line="240" w:lineRule="auto"/>
                    <w:rPr>
                      <w:b/>
                      <w:color w:val="auto"/>
                      <w:sz w:val="21"/>
                      <w:szCs w:val="21"/>
                      <w:highlight w:val="none"/>
                      <w:lang w:val="en-GB"/>
                    </w:rPr>
                  </w:pPr>
                  <w:r>
                    <w:rPr>
                      <w:b/>
                      <w:color w:val="auto"/>
                      <w:sz w:val="21"/>
                      <w:szCs w:val="21"/>
                      <w:highlight w:val="none"/>
                      <w:lang w:val="en-GB"/>
                    </w:rPr>
                    <w:t>监测点位</w:t>
                  </w:r>
                </w:p>
              </w:tc>
              <w:tc>
                <w:tcPr>
                  <w:tcW w:w="1318" w:type="pct"/>
                  <w:noWrap w:val="0"/>
                  <w:vAlign w:val="center"/>
                </w:tcPr>
                <w:p w14:paraId="1D04C836">
                  <w:pPr>
                    <w:pStyle w:val="116"/>
                    <w:tabs>
                      <w:tab w:val="left" w:pos="0"/>
                    </w:tabs>
                    <w:spacing w:line="240" w:lineRule="auto"/>
                    <w:rPr>
                      <w:b/>
                      <w:color w:val="auto"/>
                      <w:sz w:val="21"/>
                      <w:szCs w:val="21"/>
                      <w:highlight w:val="none"/>
                      <w:lang w:val="en-GB"/>
                    </w:rPr>
                  </w:pPr>
                  <w:r>
                    <w:rPr>
                      <w:b/>
                      <w:color w:val="auto"/>
                      <w:sz w:val="21"/>
                      <w:szCs w:val="21"/>
                      <w:highlight w:val="none"/>
                      <w:lang w:val="en-GB"/>
                    </w:rPr>
                    <w:t>监测项目</w:t>
                  </w:r>
                </w:p>
              </w:tc>
              <w:tc>
                <w:tcPr>
                  <w:tcW w:w="1204" w:type="pct"/>
                  <w:noWrap w:val="0"/>
                  <w:vAlign w:val="center"/>
                </w:tcPr>
                <w:p w14:paraId="5DF38D46">
                  <w:pPr>
                    <w:pStyle w:val="116"/>
                    <w:tabs>
                      <w:tab w:val="left" w:pos="0"/>
                    </w:tabs>
                    <w:spacing w:line="240" w:lineRule="auto"/>
                    <w:rPr>
                      <w:b/>
                      <w:color w:val="auto"/>
                      <w:sz w:val="21"/>
                      <w:szCs w:val="21"/>
                      <w:highlight w:val="none"/>
                      <w:lang w:val="en-GB"/>
                    </w:rPr>
                  </w:pPr>
                  <w:r>
                    <w:rPr>
                      <w:b/>
                      <w:color w:val="auto"/>
                      <w:sz w:val="21"/>
                      <w:szCs w:val="21"/>
                      <w:highlight w:val="none"/>
                      <w:lang w:val="en-GB"/>
                    </w:rPr>
                    <w:t>监测频率</w:t>
                  </w:r>
                </w:p>
              </w:tc>
            </w:tr>
            <w:tr w14:paraId="0108C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62" w:hRule="atLeast"/>
                <w:jc w:val="center"/>
              </w:trPr>
              <w:tc>
                <w:tcPr>
                  <w:tcW w:w="600" w:type="pct"/>
                  <w:noWrap w:val="0"/>
                  <w:vAlign w:val="center"/>
                </w:tcPr>
                <w:p w14:paraId="0FE8FF00">
                  <w:pPr>
                    <w:pStyle w:val="116"/>
                    <w:tabs>
                      <w:tab w:val="left" w:pos="0"/>
                    </w:tabs>
                    <w:spacing w:line="240" w:lineRule="auto"/>
                    <w:rPr>
                      <w:rFonts w:hint="eastAsia" w:eastAsia="宋体"/>
                      <w:color w:val="auto"/>
                      <w:sz w:val="21"/>
                      <w:szCs w:val="21"/>
                      <w:highlight w:val="none"/>
                      <w:lang w:val="en-US" w:eastAsia="zh-CN"/>
                    </w:rPr>
                  </w:pPr>
                  <w:r>
                    <w:rPr>
                      <w:rFonts w:hint="eastAsia"/>
                      <w:color w:val="auto"/>
                      <w:sz w:val="21"/>
                      <w:szCs w:val="21"/>
                      <w:highlight w:val="none"/>
                      <w:lang w:val="en-US" w:eastAsia="zh-CN"/>
                    </w:rPr>
                    <w:t>运营期</w:t>
                  </w:r>
                </w:p>
              </w:tc>
              <w:tc>
                <w:tcPr>
                  <w:tcW w:w="756" w:type="pct"/>
                  <w:noWrap w:val="0"/>
                  <w:vAlign w:val="center"/>
                </w:tcPr>
                <w:p w14:paraId="63C10DD8">
                  <w:pPr>
                    <w:pStyle w:val="116"/>
                    <w:tabs>
                      <w:tab w:val="left" w:pos="0"/>
                    </w:tabs>
                    <w:spacing w:line="240" w:lineRule="auto"/>
                    <w:rPr>
                      <w:color w:val="auto"/>
                      <w:sz w:val="21"/>
                      <w:szCs w:val="21"/>
                      <w:highlight w:val="none"/>
                      <w:lang w:val="en-GB"/>
                    </w:rPr>
                  </w:pPr>
                  <w:r>
                    <w:rPr>
                      <w:color w:val="auto"/>
                      <w:sz w:val="21"/>
                      <w:szCs w:val="21"/>
                      <w:highlight w:val="none"/>
                      <w:lang w:val="en-GB"/>
                    </w:rPr>
                    <w:t>噪声</w:t>
                  </w:r>
                </w:p>
              </w:tc>
              <w:tc>
                <w:tcPr>
                  <w:tcW w:w="1119" w:type="pct"/>
                  <w:noWrap w:val="0"/>
                  <w:vAlign w:val="center"/>
                </w:tcPr>
                <w:p w14:paraId="15DC321A">
                  <w:pPr>
                    <w:pStyle w:val="116"/>
                    <w:tabs>
                      <w:tab w:val="left" w:pos="0"/>
                    </w:tabs>
                    <w:spacing w:line="240" w:lineRule="auto"/>
                    <w:rPr>
                      <w:color w:val="auto"/>
                      <w:sz w:val="21"/>
                      <w:szCs w:val="21"/>
                      <w:highlight w:val="none"/>
                      <w:lang w:val="en-GB"/>
                    </w:rPr>
                  </w:pPr>
                  <w:r>
                    <w:rPr>
                      <w:color w:val="auto"/>
                      <w:sz w:val="21"/>
                      <w:szCs w:val="21"/>
                      <w:highlight w:val="none"/>
                      <w:lang w:val="en-GB"/>
                    </w:rPr>
                    <w:t>四周厂界</w:t>
                  </w:r>
                </w:p>
              </w:tc>
              <w:tc>
                <w:tcPr>
                  <w:tcW w:w="1318" w:type="pct"/>
                  <w:noWrap w:val="0"/>
                  <w:vAlign w:val="center"/>
                </w:tcPr>
                <w:p w14:paraId="427A0483">
                  <w:pPr>
                    <w:pStyle w:val="116"/>
                    <w:tabs>
                      <w:tab w:val="left" w:pos="0"/>
                    </w:tabs>
                    <w:spacing w:line="240" w:lineRule="auto"/>
                    <w:rPr>
                      <w:color w:val="auto"/>
                      <w:sz w:val="21"/>
                      <w:szCs w:val="21"/>
                      <w:highlight w:val="none"/>
                    </w:rPr>
                  </w:pPr>
                  <w:r>
                    <w:rPr>
                      <w:color w:val="auto"/>
                      <w:sz w:val="21"/>
                      <w:szCs w:val="21"/>
                      <w:highlight w:val="none"/>
                      <w:lang w:val="en-GB"/>
                    </w:rPr>
                    <w:t>连续等效</w:t>
                  </w:r>
                  <w:r>
                    <w:rPr>
                      <w:color w:val="auto"/>
                      <w:sz w:val="21"/>
                      <w:szCs w:val="21"/>
                      <w:highlight w:val="none"/>
                    </w:rPr>
                    <w:t>A声级</w:t>
                  </w:r>
                </w:p>
              </w:tc>
              <w:tc>
                <w:tcPr>
                  <w:tcW w:w="1204" w:type="pct"/>
                  <w:noWrap w:val="0"/>
                  <w:vAlign w:val="center"/>
                </w:tcPr>
                <w:p w14:paraId="56F5B9B1">
                  <w:pPr>
                    <w:pStyle w:val="116"/>
                    <w:tabs>
                      <w:tab w:val="left" w:pos="0"/>
                    </w:tabs>
                    <w:spacing w:line="240" w:lineRule="auto"/>
                    <w:rPr>
                      <w:rFonts w:hint="default" w:eastAsia="宋体"/>
                      <w:color w:val="auto"/>
                      <w:sz w:val="21"/>
                      <w:szCs w:val="21"/>
                      <w:highlight w:val="none"/>
                      <w:lang w:val="en-US" w:eastAsia="zh-CN"/>
                    </w:rPr>
                  </w:pPr>
                  <w:r>
                    <w:rPr>
                      <w:color w:val="auto"/>
                      <w:sz w:val="21"/>
                      <w:szCs w:val="21"/>
                      <w:highlight w:val="none"/>
                    </w:rPr>
                    <w:t>1</w:t>
                  </w:r>
                  <w:r>
                    <w:rPr>
                      <w:color w:val="auto"/>
                      <w:sz w:val="21"/>
                      <w:szCs w:val="21"/>
                      <w:highlight w:val="none"/>
                      <w:lang w:val="en-GB"/>
                    </w:rPr>
                    <w:t>季度/</w:t>
                  </w:r>
                  <w:r>
                    <w:rPr>
                      <w:color w:val="auto"/>
                      <w:sz w:val="21"/>
                      <w:szCs w:val="21"/>
                      <w:highlight w:val="none"/>
                    </w:rPr>
                    <w:t>次</w:t>
                  </w:r>
                  <w:r>
                    <w:rPr>
                      <w:rFonts w:hint="eastAsia"/>
                      <w:color w:val="auto"/>
                      <w:sz w:val="21"/>
                      <w:szCs w:val="21"/>
                      <w:highlight w:val="none"/>
                      <w:lang w:eastAsia="zh-CN"/>
                    </w:rPr>
                    <w:t>，</w:t>
                  </w:r>
                  <w:r>
                    <w:rPr>
                      <w:rFonts w:hint="eastAsia"/>
                      <w:color w:val="auto"/>
                      <w:sz w:val="21"/>
                      <w:szCs w:val="21"/>
                      <w:highlight w:val="none"/>
                      <w:lang w:val="en-US" w:eastAsia="zh-CN"/>
                    </w:rPr>
                    <w:t>昼、夜</w:t>
                  </w:r>
                </w:p>
              </w:tc>
            </w:tr>
          </w:tbl>
          <w:p w14:paraId="1CFFB8E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olor w:val="auto"/>
                <w:sz w:val="18"/>
                <w:szCs w:val="18"/>
                <w:highlight w:val="none"/>
                <w:lang w:val="en-US" w:eastAsia="zh-CN"/>
              </w:rPr>
            </w:pPr>
          </w:p>
          <w:p w14:paraId="6C6BD6C3">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4.</w:t>
            </w:r>
            <w:r>
              <w:rPr>
                <w:rFonts w:hint="eastAsia" w:ascii="Times New Roman" w:hAnsi="Times New Roman" w:eastAsia="宋体" w:cs="Times New Roman"/>
                <w:b/>
                <w:bCs/>
                <w:color w:val="auto"/>
                <w:kern w:val="2"/>
                <w:sz w:val="24"/>
                <w:szCs w:val="24"/>
                <w:lang w:val="en-US" w:eastAsia="zh-CN"/>
              </w:rPr>
              <w:t>固体废</w:t>
            </w:r>
            <w:r>
              <w:rPr>
                <w:rFonts w:hint="eastAsia" w:cs="Times New Roman"/>
                <w:b/>
                <w:bCs/>
                <w:color w:val="auto"/>
                <w:kern w:val="2"/>
                <w:sz w:val="24"/>
                <w:szCs w:val="24"/>
                <w:lang w:val="en-US" w:eastAsia="zh-CN"/>
              </w:rPr>
              <w:t>物环</w:t>
            </w:r>
            <w:r>
              <w:rPr>
                <w:rFonts w:hint="eastAsia" w:ascii="Times New Roman" w:hAnsi="Times New Roman" w:eastAsia="宋体" w:cs="Times New Roman"/>
                <w:b/>
                <w:bCs/>
                <w:color w:val="auto"/>
                <w:kern w:val="2"/>
                <w:sz w:val="24"/>
                <w:szCs w:val="24"/>
                <w:lang w:val="en-US" w:eastAsia="zh-CN"/>
              </w:rPr>
              <w:t>境影响和保护措施分析</w:t>
            </w:r>
          </w:p>
          <w:p w14:paraId="6596D2B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（1）固体废物产生量分析</w:t>
            </w:r>
          </w:p>
          <w:p w14:paraId="241A75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本项目运营期新增固废主要有一般固废、危险废物和生活垃圾。</w:t>
            </w:r>
          </w:p>
          <w:p w14:paraId="0D9396D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i w:val="0"/>
                <w:iCs w:val="0"/>
                <w:color w:val="auto"/>
                <w:sz w:val="24"/>
                <w:szCs w:val="24"/>
                <w:highlight w:val="none"/>
                <w:lang w:val="en-US" w:eastAsia="zh-CN"/>
              </w:rPr>
            </w:pPr>
            <w:r>
              <w:rPr>
                <w:rFonts w:hint="eastAsia" w:ascii="Times New Roman" w:hAnsi="Times New Roman" w:eastAsia="宋体" w:cs="Times New Roman"/>
                <w:b/>
                <w:bCs/>
                <w:i w:val="0"/>
                <w:iCs w:val="0"/>
                <w:color w:val="auto"/>
                <w:sz w:val="24"/>
                <w:szCs w:val="24"/>
                <w:highlight w:val="none"/>
                <w:lang w:val="en-US" w:eastAsia="zh-CN"/>
              </w:rPr>
              <w:t>①一般固废</w:t>
            </w:r>
          </w:p>
          <w:p w14:paraId="5ABEC6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项目一般固废</w:t>
            </w:r>
            <w:r>
              <w:rPr>
                <w:rFonts w:hint="eastAsia" w:ascii="Times New Roman" w:hAnsi="Times New Roman" w:eastAsia="宋体" w:cs="Times New Roman"/>
                <w:color w:val="auto"/>
                <w:sz w:val="24"/>
                <w:szCs w:val="24"/>
                <w:highlight w:val="none"/>
                <w:lang w:val="en-US" w:eastAsia="zh-CN"/>
              </w:rPr>
              <w:t>主要为：废砂（S1，废</w:t>
            </w:r>
            <w:r>
              <w:rPr>
                <w:rFonts w:hint="eastAsia" w:cs="Times New Roman"/>
                <w:color w:val="auto"/>
                <w:sz w:val="24"/>
                <w:szCs w:val="24"/>
                <w:highlight w:val="none"/>
                <w:lang w:val="en-US" w:eastAsia="zh-CN"/>
              </w:rPr>
              <w:t>覆膜砂</w:t>
            </w:r>
            <w:r>
              <w:rPr>
                <w:rFonts w:hint="eastAsia" w:ascii="Times New Roman" w:hAnsi="Times New Roman" w:eastAsia="宋体" w:cs="Times New Roman"/>
                <w:color w:val="auto"/>
                <w:sz w:val="24"/>
                <w:szCs w:val="24"/>
                <w:highlight w:val="none"/>
                <w:lang w:val="en-US" w:eastAsia="zh-CN"/>
              </w:rPr>
              <w:t>）、废浇冒口（S2）、边角料（S3）、不合格品（S4）、炉渣（S5）、废包装材料（S6）、收集粉尘（S7）</w:t>
            </w:r>
            <w:r>
              <w:rPr>
                <w:rFonts w:hint="eastAsia" w:ascii="Times New Roman" w:hAnsi="Times New Roman" w:eastAsia="宋体" w:cs="叶根友毛笔行书2.0版"/>
                <w:color w:val="auto"/>
                <w:sz w:val="24"/>
                <w:szCs w:val="24"/>
                <w:highlight w:val="none"/>
                <w:lang w:val="en-US" w:eastAsia="zh-CN"/>
              </w:rPr>
              <w:t>。其中：</w:t>
            </w:r>
          </w:p>
          <w:p w14:paraId="382F25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废砂（S1，废</w:t>
            </w:r>
            <w:r>
              <w:rPr>
                <w:rFonts w:hint="eastAsia" w:cs="Times New Roman"/>
                <w:color w:val="auto"/>
                <w:sz w:val="24"/>
                <w:szCs w:val="24"/>
                <w:highlight w:val="none"/>
                <w:lang w:val="en-US" w:eastAsia="zh-CN"/>
              </w:rPr>
              <w:t>覆膜砂</w:t>
            </w:r>
            <w:r>
              <w:rPr>
                <w:rFonts w:hint="eastAsia" w:ascii="Times New Roman" w:hAnsi="Times New Roman" w:eastAsia="宋体" w:cs="Times New Roman"/>
                <w:color w:val="auto"/>
                <w:sz w:val="24"/>
                <w:szCs w:val="24"/>
                <w:highlight w:val="none"/>
                <w:lang w:val="en-US" w:eastAsia="zh-CN"/>
              </w:rPr>
              <w:t>）</w:t>
            </w:r>
          </w:p>
          <w:p w14:paraId="3B809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项目外购</w:t>
            </w:r>
            <w:r>
              <w:rPr>
                <w:rFonts w:hint="eastAsia" w:cs="Times New Roman"/>
                <w:color w:val="auto"/>
                <w:sz w:val="24"/>
                <w:szCs w:val="24"/>
                <w:highlight w:val="none"/>
                <w:lang w:val="en-US" w:eastAsia="zh-CN"/>
              </w:rPr>
              <w:t>覆膜砂</w:t>
            </w:r>
            <w:r>
              <w:rPr>
                <w:rFonts w:hint="eastAsia" w:ascii="Times New Roman" w:hAnsi="Times New Roman" w:eastAsia="宋体" w:cs="Times New Roman"/>
                <w:color w:val="auto"/>
                <w:sz w:val="24"/>
                <w:szCs w:val="24"/>
                <w:highlight w:val="none"/>
                <w:lang w:val="en-US" w:eastAsia="zh-CN"/>
              </w:rPr>
              <w:t>成品使用，使用后需淘汰旧砂。项目新增</w:t>
            </w:r>
            <w:r>
              <w:rPr>
                <w:rFonts w:hint="eastAsia" w:cs="Times New Roman"/>
                <w:color w:val="auto"/>
                <w:sz w:val="24"/>
                <w:szCs w:val="24"/>
                <w:highlight w:val="none"/>
                <w:lang w:val="en-US" w:eastAsia="zh-CN"/>
              </w:rPr>
              <w:t>覆膜砂</w:t>
            </w:r>
            <w:r>
              <w:rPr>
                <w:rFonts w:hint="eastAsia" w:ascii="Times New Roman" w:hAnsi="Times New Roman" w:eastAsia="宋体" w:cs="Times New Roman"/>
                <w:color w:val="auto"/>
                <w:sz w:val="24"/>
                <w:szCs w:val="24"/>
                <w:highlight w:val="none"/>
                <w:lang w:val="en-US" w:eastAsia="zh-CN"/>
              </w:rPr>
              <w:t>用量约为350t/a，则项目新增废砂产生量约为350t/a。废砂收集后全部委托废砂处理公司回收处理。</w:t>
            </w:r>
          </w:p>
          <w:p w14:paraId="401D1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废浇冒口（S2）、边角料（S3）</w:t>
            </w:r>
          </w:p>
          <w:p w14:paraId="2044FF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根据建设方提供资料，项目切割、打磨、抛丸工序中废浇冒口产生量约为0.5t/a、边角料产生量约为1t/a，收集后回用于生产过程。</w:t>
            </w:r>
          </w:p>
          <w:p w14:paraId="57131F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不合格品（S4）</w:t>
            </w:r>
          </w:p>
          <w:p w14:paraId="7FE7C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根据建设方提供资料，项目检验工序中不合格品产生量约为0.5t/a，收集后回用于生产过程。</w:t>
            </w:r>
          </w:p>
          <w:p w14:paraId="3630E3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炉渣（S5）</w:t>
            </w:r>
          </w:p>
          <w:p w14:paraId="23686E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项目中频感应电炉熔化过程中会残留部分炉渣，年产生量约为0.5t/a，收集后外售废品回收公司综合利用。</w:t>
            </w:r>
          </w:p>
          <w:p w14:paraId="45EC5A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废包装材料（S6）</w:t>
            </w:r>
          </w:p>
          <w:p w14:paraId="4E91B2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项目在原材料（不锈钢、除渣剂等）使用及产品包装过程中会产生少量的废纸、废袋、塑料膜、纸箱等包装材料。经过估算，项目废包装材料（S6）年产生量约为0.1t/a，集中收集后外售综合利用</w:t>
            </w:r>
            <w:r>
              <w:rPr>
                <w:rFonts w:hint="eastAsia" w:cs="Times New Roman"/>
                <w:color w:val="auto"/>
                <w:sz w:val="24"/>
                <w:szCs w:val="24"/>
                <w:highlight w:val="none"/>
                <w:lang w:val="en-US" w:eastAsia="zh-CN"/>
              </w:rPr>
              <w:t>。</w:t>
            </w:r>
          </w:p>
          <w:p w14:paraId="0BD97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收集粉尘（S7）</w:t>
            </w:r>
          </w:p>
          <w:p w14:paraId="6BBB77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根据前文废气章节相关内容核算，项目建成后全厂</w:t>
            </w:r>
            <w:r>
              <w:rPr>
                <w:rFonts w:hint="default" w:ascii="Times New Roman" w:hAnsi="Times New Roman" w:eastAsia="宋体" w:cs="Times New Roman"/>
                <w:color w:val="auto"/>
                <w:sz w:val="24"/>
                <w:szCs w:val="24"/>
                <w:highlight w:val="none"/>
                <w:lang w:val="en-US" w:eastAsia="zh-CN"/>
              </w:rPr>
              <w:t>除尘器收集的粉尘量约</w:t>
            </w:r>
            <w:r>
              <w:rPr>
                <w:rFonts w:hint="eastAsia" w:ascii="Times New Roman" w:hAnsi="Times New Roman" w:eastAsia="宋体" w:cs="Times New Roman"/>
                <w:color w:val="auto"/>
                <w:sz w:val="24"/>
                <w:szCs w:val="24"/>
                <w:highlight w:val="none"/>
                <w:lang w:val="en-US" w:eastAsia="zh-CN"/>
              </w:rPr>
              <w:t>为2</w:t>
            </w:r>
            <w:r>
              <w:rPr>
                <w:rFonts w:hint="eastAsia" w:cs="Times New Roman"/>
                <w:color w:val="auto"/>
                <w:sz w:val="24"/>
                <w:szCs w:val="24"/>
                <w:highlight w:val="none"/>
                <w:lang w:val="en-US" w:eastAsia="zh-CN"/>
              </w:rPr>
              <w:t>16.858</w:t>
            </w:r>
            <w:r>
              <w:rPr>
                <w:rFonts w:hint="default" w:ascii="Times New Roman" w:hAnsi="Times New Roman" w:cs="Times New Roman"/>
                <w:color w:val="auto"/>
                <w:sz w:val="24"/>
                <w:szCs w:val="24"/>
                <w:highlight w:val="none"/>
              </w:rPr>
              <w:t>t/a</w:t>
            </w:r>
            <w:r>
              <w:rPr>
                <w:rFonts w:hint="default" w:ascii="Times New Roman" w:hAnsi="Times New Roman" w:eastAsia="宋体" w:cs="Times New Roman"/>
                <w:color w:val="auto"/>
                <w:sz w:val="24"/>
                <w:szCs w:val="24"/>
                <w:highlight w:val="none"/>
                <w:lang w:val="en-US" w:eastAsia="zh-CN"/>
              </w:rPr>
              <w:t>，收集后外售综合利用</w:t>
            </w:r>
            <w:r>
              <w:rPr>
                <w:rFonts w:hint="default" w:ascii="Times New Roman" w:hAnsi="Times New Roman" w:eastAsia="宋体" w:cs="Times New Roman"/>
                <w:color w:val="auto"/>
                <w:sz w:val="24"/>
                <w:szCs w:val="24"/>
                <w:highlight w:val="none"/>
                <w:lang w:eastAsia="zh-CN"/>
              </w:rPr>
              <w:t>。</w:t>
            </w:r>
          </w:p>
          <w:p w14:paraId="431DB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sz w:val="24"/>
                <w:szCs w:val="32"/>
                <w:highlight w:val="none"/>
              </w:rPr>
            </w:pPr>
            <w:r>
              <w:rPr>
                <w:color w:val="auto"/>
                <w:sz w:val="24"/>
                <w:szCs w:val="32"/>
                <w:highlight w:val="none"/>
              </w:rPr>
              <w:t>根据前述统计，项目一般固体废物产生、处理及排放（去向）情况见下表所示</w:t>
            </w:r>
            <w:r>
              <w:rPr>
                <w:rFonts w:hint="eastAsia"/>
                <w:color w:val="auto"/>
                <w:sz w:val="24"/>
                <w:szCs w:val="32"/>
                <w:highlight w:val="none"/>
                <w:lang w:eastAsia="zh-CN"/>
              </w:rPr>
              <w:t>，</w:t>
            </w:r>
            <w:r>
              <w:rPr>
                <w:rFonts w:hint="eastAsia"/>
                <w:color w:val="auto"/>
                <w:sz w:val="24"/>
                <w:szCs w:val="32"/>
                <w:highlight w:val="none"/>
                <w:lang w:val="en-US" w:eastAsia="zh-CN"/>
              </w:rPr>
              <w:t>一般固体废物根据《一般固体废物分类与代码》（GB/T 39198-2020）进行分类</w:t>
            </w:r>
            <w:r>
              <w:rPr>
                <w:color w:val="auto"/>
                <w:sz w:val="24"/>
                <w:szCs w:val="32"/>
                <w:highlight w:val="none"/>
              </w:rPr>
              <w:t>。</w:t>
            </w:r>
          </w:p>
          <w:p w14:paraId="19EB003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w:t>
            </w:r>
            <w:r>
              <w:rPr>
                <w:rFonts w:hint="default" w:ascii="Times New Roman" w:hAnsi="Times New Roman" w:eastAsia="宋体" w:cs="Times New Roman"/>
                <w:b/>
                <w:bCs/>
                <w:color w:val="auto"/>
                <w:kern w:val="2"/>
                <w:sz w:val="24"/>
                <w:szCs w:val="24"/>
                <w:lang w:val="en-US" w:eastAsia="zh-CN"/>
              </w:rPr>
              <w:t>-</w:t>
            </w:r>
            <w:r>
              <w:rPr>
                <w:rFonts w:hint="eastAsia" w:ascii="Times New Roman" w:hAnsi="Times New Roman" w:eastAsia="宋体" w:cs="Times New Roman"/>
                <w:b/>
                <w:bCs/>
                <w:color w:val="auto"/>
                <w:kern w:val="2"/>
                <w:sz w:val="24"/>
                <w:szCs w:val="24"/>
                <w:lang w:val="en-US" w:eastAsia="zh-CN"/>
              </w:rPr>
              <w:t>16  项目一般固体废物产生及处置情况一览表</w:t>
            </w:r>
          </w:p>
          <w:p w14:paraId="3A8BB650">
            <w:pPr>
              <w:pStyle w:val="116"/>
              <w:tabs>
                <w:tab w:val="left" w:pos="0"/>
              </w:tabs>
              <w:spacing w:line="240" w:lineRule="auto"/>
              <w:ind w:firstLine="0" w:firstLineChars="0"/>
              <w:jc w:val="right"/>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单位：t/a</w:t>
            </w:r>
          </w:p>
          <w:tbl>
            <w:tblPr>
              <w:tblStyle w:val="3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529"/>
              <w:gridCol w:w="1013"/>
              <w:gridCol w:w="918"/>
              <w:gridCol w:w="1619"/>
              <w:gridCol w:w="785"/>
              <w:gridCol w:w="1124"/>
              <w:gridCol w:w="719"/>
            </w:tblGrid>
            <w:tr w14:paraId="24BA3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6E1A9E03">
                  <w:pPr>
                    <w:pStyle w:val="116"/>
                    <w:tabs>
                      <w:tab w:val="left" w:pos="0"/>
                    </w:tabs>
                    <w:spacing w:line="240" w:lineRule="auto"/>
                    <w:rPr>
                      <w:rFonts w:ascii="Times New Roman" w:hAnsi="Times New Roman" w:eastAsia="宋体" w:cs="Times New Roman"/>
                      <w:b/>
                      <w:color w:val="auto"/>
                      <w:sz w:val="21"/>
                      <w:szCs w:val="21"/>
                      <w:highlight w:val="none"/>
                      <w:lang w:val="en-US" w:eastAsia="zh-CN"/>
                    </w:rPr>
                  </w:pPr>
                  <w:r>
                    <w:rPr>
                      <w:rFonts w:ascii="Times New Roman" w:hAnsi="Times New Roman" w:eastAsia="宋体" w:cs="Times New Roman"/>
                      <w:b/>
                      <w:color w:val="auto"/>
                      <w:sz w:val="21"/>
                      <w:szCs w:val="21"/>
                      <w:highlight w:val="none"/>
                      <w:lang w:val="en-US" w:eastAsia="zh-CN"/>
                    </w:rPr>
                    <w:t>序号</w:t>
                  </w:r>
                </w:p>
              </w:tc>
              <w:tc>
                <w:tcPr>
                  <w:tcW w:w="933" w:type="pct"/>
                  <w:noWrap w:val="0"/>
                  <w:vAlign w:val="center"/>
                </w:tcPr>
                <w:p w14:paraId="0257B35F">
                  <w:pPr>
                    <w:pStyle w:val="116"/>
                    <w:tabs>
                      <w:tab w:val="left" w:pos="0"/>
                    </w:tabs>
                    <w:spacing w:line="240" w:lineRule="auto"/>
                    <w:rPr>
                      <w:rFonts w:ascii="Times New Roman" w:hAnsi="Times New Roman" w:eastAsia="宋体" w:cs="Times New Roman"/>
                      <w:b/>
                      <w:color w:val="auto"/>
                      <w:sz w:val="21"/>
                      <w:szCs w:val="21"/>
                      <w:highlight w:val="none"/>
                      <w:lang w:val="en-US" w:eastAsia="zh-CN"/>
                    </w:rPr>
                  </w:pPr>
                  <w:r>
                    <w:rPr>
                      <w:rFonts w:ascii="Times New Roman" w:hAnsi="Times New Roman" w:eastAsia="宋体" w:cs="Times New Roman"/>
                      <w:b/>
                      <w:color w:val="auto"/>
                      <w:sz w:val="21"/>
                      <w:szCs w:val="21"/>
                      <w:highlight w:val="none"/>
                      <w:lang w:val="en-US" w:eastAsia="zh-CN"/>
                    </w:rPr>
                    <w:t>废物名称</w:t>
                  </w:r>
                </w:p>
              </w:tc>
              <w:tc>
                <w:tcPr>
                  <w:tcW w:w="618" w:type="pct"/>
                  <w:noWrap w:val="0"/>
                  <w:vAlign w:val="center"/>
                </w:tcPr>
                <w:p w14:paraId="70EC7AD8">
                  <w:pPr>
                    <w:pStyle w:val="116"/>
                    <w:tabs>
                      <w:tab w:val="left" w:pos="0"/>
                    </w:tabs>
                    <w:spacing w:line="240" w:lineRule="auto"/>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核算方法</w:t>
                  </w:r>
                </w:p>
              </w:tc>
              <w:tc>
                <w:tcPr>
                  <w:tcW w:w="560" w:type="pct"/>
                  <w:noWrap w:val="0"/>
                  <w:vAlign w:val="center"/>
                </w:tcPr>
                <w:p w14:paraId="71C30070">
                  <w:pPr>
                    <w:pStyle w:val="116"/>
                    <w:tabs>
                      <w:tab w:val="left" w:pos="0"/>
                    </w:tabs>
                    <w:spacing w:line="24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产生量</w:t>
                  </w:r>
                </w:p>
              </w:tc>
              <w:tc>
                <w:tcPr>
                  <w:tcW w:w="988" w:type="pct"/>
                  <w:noWrap w:val="0"/>
                  <w:vAlign w:val="center"/>
                </w:tcPr>
                <w:p w14:paraId="655AB382">
                  <w:pPr>
                    <w:pStyle w:val="116"/>
                    <w:tabs>
                      <w:tab w:val="left" w:pos="0"/>
                    </w:tabs>
                    <w:spacing w:line="24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产生工序及装置</w:t>
                  </w:r>
                </w:p>
              </w:tc>
              <w:tc>
                <w:tcPr>
                  <w:tcW w:w="479" w:type="pct"/>
                  <w:noWrap w:val="0"/>
                  <w:vAlign w:val="center"/>
                </w:tcPr>
                <w:p w14:paraId="0F1DD480">
                  <w:pPr>
                    <w:pStyle w:val="116"/>
                    <w:tabs>
                      <w:tab w:val="left" w:pos="0"/>
                    </w:tabs>
                    <w:spacing w:line="24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形态</w:t>
                  </w:r>
                </w:p>
              </w:tc>
              <w:tc>
                <w:tcPr>
                  <w:tcW w:w="686" w:type="pct"/>
                  <w:noWrap w:val="0"/>
                  <w:vAlign w:val="center"/>
                </w:tcPr>
                <w:p w14:paraId="399F5BB2">
                  <w:pPr>
                    <w:pStyle w:val="116"/>
                    <w:tabs>
                      <w:tab w:val="left" w:pos="0"/>
                    </w:tabs>
                    <w:spacing w:line="24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污染防治措施</w:t>
                  </w:r>
                </w:p>
              </w:tc>
              <w:tc>
                <w:tcPr>
                  <w:tcW w:w="439" w:type="pct"/>
                  <w:noWrap w:val="0"/>
                  <w:vAlign w:val="center"/>
                </w:tcPr>
                <w:p w14:paraId="646BEF16">
                  <w:pPr>
                    <w:pStyle w:val="116"/>
                    <w:tabs>
                      <w:tab w:val="left" w:pos="0"/>
                    </w:tabs>
                    <w:spacing w:line="24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排放量</w:t>
                  </w:r>
                </w:p>
              </w:tc>
            </w:tr>
            <w:tr w14:paraId="5EF3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745681D0">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1</w:t>
                  </w:r>
                </w:p>
              </w:tc>
              <w:tc>
                <w:tcPr>
                  <w:tcW w:w="933" w:type="pct"/>
                  <w:noWrap w:val="0"/>
                  <w:vAlign w:val="center"/>
                </w:tcPr>
                <w:p w14:paraId="4278E8D3">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废砂（</w:t>
                  </w:r>
                  <w:r>
                    <w:rPr>
                      <w:rFonts w:hint="default" w:ascii="Times New Roman" w:hAnsi="Times New Roman" w:eastAsia="宋体" w:cs="Times New Roman"/>
                      <w:b w:val="0"/>
                      <w:bCs/>
                      <w:color w:val="auto"/>
                      <w:sz w:val="21"/>
                      <w:szCs w:val="21"/>
                      <w:highlight w:val="none"/>
                      <w:lang w:val="en-US" w:eastAsia="zh-CN"/>
                    </w:rPr>
                    <w:t>S1</w:t>
                  </w:r>
                  <w:r>
                    <w:rPr>
                      <w:rFonts w:hint="eastAsia" w:ascii="Times New Roman" w:hAnsi="Times New Roman" w:eastAsia="宋体" w:cs="Times New Roman"/>
                      <w:b w:val="0"/>
                      <w:bCs/>
                      <w:color w:val="auto"/>
                      <w:sz w:val="21"/>
                      <w:szCs w:val="21"/>
                      <w:highlight w:val="none"/>
                      <w:lang w:val="en-US" w:eastAsia="zh-CN"/>
                    </w:rPr>
                    <w:t>）</w:t>
                  </w:r>
                </w:p>
              </w:tc>
              <w:tc>
                <w:tcPr>
                  <w:tcW w:w="618" w:type="pct"/>
                  <w:noWrap w:val="0"/>
                  <w:vAlign w:val="center"/>
                </w:tcPr>
                <w:p w14:paraId="5D83377E">
                  <w:pPr>
                    <w:pStyle w:val="116"/>
                    <w:tabs>
                      <w:tab w:val="left" w:pos="0"/>
                    </w:tabs>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74AA7227">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35</w:t>
                  </w:r>
                  <w:r>
                    <w:rPr>
                      <w:rFonts w:hint="eastAsia" w:ascii="Times New Roman" w:hAnsi="Times New Roman" w:eastAsia="宋体" w:cs="Times New Roman"/>
                      <w:b w:val="0"/>
                      <w:bCs/>
                      <w:color w:val="auto"/>
                      <w:sz w:val="21"/>
                      <w:szCs w:val="21"/>
                      <w:highlight w:val="none"/>
                      <w:lang w:val="en-US" w:eastAsia="zh-CN"/>
                    </w:rPr>
                    <w:t>0</w:t>
                  </w:r>
                </w:p>
              </w:tc>
              <w:tc>
                <w:tcPr>
                  <w:tcW w:w="988" w:type="pct"/>
                  <w:noWrap w:val="0"/>
                  <w:vAlign w:val="center"/>
                </w:tcPr>
                <w:p w14:paraId="58B8DC40">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砂处理、制芯（射芯）、落砂、混砂</w:t>
                  </w:r>
                </w:p>
              </w:tc>
              <w:tc>
                <w:tcPr>
                  <w:tcW w:w="479" w:type="pct"/>
                  <w:noWrap w:val="0"/>
                  <w:vAlign w:val="center"/>
                </w:tcPr>
                <w:p w14:paraId="7BDE5BDF">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noWrap w:val="0"/>
                  <w:vAlign w:val="center"/>
                </w:tcPr>
                <w:p w14:paraId="21524054">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委托废砂处理公司回收处理</w:t>
                  </w:r>
                </w:p>
              </w:tc>
              <w:tc>
                <w:tcPr>
                  <w:tcW w:w="439" w:type="pct"/>
                  <w:noWrap w:val="0"/>
                  <w:vAlign w:val="center"/>
                </w:tcPr>
                <w:p w14:paraId="3DC987CC">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r w14:paraId="4387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70DDC398">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933" w:type="pct"/>
                  <w:noWrap w:val="0"/>
                  <w:vAlign w:val="center"/>
                </w:tcPr>
                <w:p w14:paraId="57108D33">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废浇冒口（</w:t>
                  </w:r>
                  <w:r>
                    <w:rPr>
                      <w:rFonts w:hint="default" w:ascii="Times New Roman" w:hAnsi="Times New Roman" w:eastAsia="宋体" w:cs="Times New Roman"/>
                      <w:b w:val="0"/>
                      <w:bCs/>
                      <w:color w:val="auto"/>
                      <w:sz w:val="21"/>
                      <w:szCs w:val="21"/>
                      <w:highlight w:val="none"/>
                      <w:lang w:val="en-US" w:eastAsia="zh-CN"/>
                    </w:rPr>
                    <w:t>S2</w:t>
                  </w:r>
                  <w:r>
                    <w:rPr>
                      <w:rFonts w:hint="eastAsia" w:ascii="Times New Roman" w:hAnsi="Times New Roman" w:eastAsia="宋体" w:cs="Times New Roman"/>
                      <w:b w:val="0"/>
                      <w:bCs/>
                      <w:color w:val="auto"/>
                      <w:sz w:val="21"/>
                      <w:szCs w:val="21"/>
                      <w:highlight w:val="none"/>
                      <w:lang w:val="en-US" w:eastAsia="zh-CN"/>
                    </w:rPr>
                    <w:t>）</w:t>
                  </w:r>
                </w:p>
              </w:tc>
              <w:tc>
                <w:tcPr>
                  <w:tcW w:w="618" w:type="pct"/>
                  <w:noWrap w:val="0"/>
                  <w:vAlign w:val="center"/>
                </w:tcPr>
                <w:p w14:paraId="296AB439">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2A37D897">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988" w:type="pct"/>
                  <w:noWrap w:val="0"/>
                  <w:vAlign w:val="center"/>
                </w:tcPr>
                <w:p w14:paraId="38D6460F">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切割</w:t>
                  </w:r>
                </w:p>
              </w:tc>
              <w:tc>
                <w:tcPr>
                  <w:tcW w:w="479" w:type="pct"/>
                  <w:noWrap w:val="0"/>
                  <w:vAlign w:val="center"/>
                </w:tcPr>
                <w:p w14:paraId="18C62BAB">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vMerge w:val="restart"/>
                  <w:noWrap w:val="0"/>
                  <w:vAlign w:val="center"/>
                </w:tcPr>
                <w:p w14:paraId="3744B7CE">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回用于生产</w:t>
                  </w:r>
                </w:p>
              </w:tc>
              <w:tc>
                <w:tcPr>
                  <w:tcW w:w="439" w:type="pct"/>
                  <w:noWrap w:val="0"/>
                  <w:vAlign w:val="center"/>
                </w:tcPr>
                <w:p w14:paraId="594D8C00">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r w14:paraId="2523C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06A5CFA4">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3</w:t>
                  </w:r>
                </w:p>
              </w:tc>
              <w:tc>
                <w:tcPr>
                  <w:tcW w:w="933" w:type="pct"/>
                  <w:noWrap w:val="0"/>
                  <w:vAlign w:val="center"/>
                </w:tcPr>
                <w:p w14:paraId="54E389FD">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边角料（</w:t>
                  </w:r>
                  <w:r>
                    <w:rPr>
                      <w:rFonts w:hint="default" w:ascii="Times New Roman" w:hAnsi="Times New Roman" w:eastAsia="宋体" w:cs="Times New Roman"/>
                      <w:b w:val="0"/>
                      <w:bCs/>
                      <w:color w:val="auto"/>
                      <w:sz w:val="21"/>
                      <w:szCs w:val="21"/>
                      <w:highlight w:val="none"/>
                      <w:lang w:val="en-US" w:eastAsia="zh-CN"/>
                    </w:rPr>
                    <w:t>S3</w:t>
                  </w:r>
                  <w:r>
                    <w:rPr>
                      <w:rFonts w:hint="eastAsia" w:ascii="Times New Roman" w:hAnsi="Times New Roman" w:eastAsia="宋体" w:cs="Times New Roman"/>
                      <w:b w:val="0"/>
                      <w:bCs/>
                      <w:color w:val="auto"/>
                      <w:sz w:val="21"/>
                      <w:szCs w:val="21"/>
                      <w:highlight w:val="none"/>
                      <w:lang w:val="en-US" w:eastAsia="zh-CN"/>
                    </w:rPr>
                    <w:t>）</w:t>
                  </w:r>
                </w:p>
              </w:tc>
              <w:tc>
                <w:tcPr>
                  <w:tcW w:w="618" w:type="pct"/>
                  <w:noWrap w:val="0"/>
                  <w:vAlign w:val="center"/>
                </w:tcPr>
                <w:p w14:paraId="3AEB4A5E">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1EADD085">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w:t>
                  </w:r>
                </w:p>
              </w:tc>
              <w:tc>
                <w:tcPr>
                  <w:tcW w:w="988" w:type="pct"/>
                  <w:noWrap w:val="0"/>
                  <w:vAlign w:val="center"/>
                </w:tcPr>
                <w:p w14:paraId="1CFDCCB5">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切割、打磨</w:t>
                  </w:r>
                </w:p>
              </w:tc>
              <w:tc>
                <w:tcPr>
                  <w:tcW w:w="479" w:type="pct"/>
                  <w:noWrap w:val="0"/>
                  <w:vAlign w:val="center"/>
                </w:tcPr>
                <w:p w14:paraId="11BA48A8">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vMerge w:val="continue"/>
                  <w:noWrap w:val="0"/>
                  <w:vAlign w:val="center"/>
                </w:tcPr>
                <w:p w14:paraId="1BA0B31C">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p>
              </w:tc>
              <w:tc>
                <w:tcPr>
                  <w:tcW w:w="439" w:type="pct"/>
                  <w:noWrap w:val="0"/>
                  <w:vAlign w:val="center"/>
                </w:tcPr>
                <w:p w14:paraId="303192CB">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r w14:paraId="7C18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5106A897">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4</w:t>
                  </w:r>
                </w:p>
              </w:tc>
              <w:tc>
                <w:tcPr>
                  <w:tcW w:w="933" w:type="pct"/>
                  <w:noWrap w:val="0"/>
                  <w:vAlign w:val="center"/>
                </w:tcPr>
                <w:p w14:paraId="48BEC689">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不合格品（</w:t>
                  </w:r>
                  <w:r>
                    <w:rPr>
                      <w:rFonts w:hint="default" w:ascii="Times New Roman" w:hAnsi="Times New Roman" w:eastAsia="宋体" w:cs="Times New Roman"/>
                      <w:b w:val="0"/>
                      <w:bCs/>
                      <w:color w:val="auto"/>
                      <w:sz w:val="21"/>
                      <w:szCs w:val="21"/>
                      <w:highlight w:val="none"/>
                      <w:lang w:val="en-US" w:eastAsia="zh-CN"/>
                    </w:rPr>
                    <w:t>S4</w:t>
                  </w:r>
                  <w:r>
                    <w:rPr>
                      <w:rFonts w:hint="eastAsia" w:ascii="Times New Roman" w:hAnsi="Times New Roman" w:eastAsia="宋体" w:cs="Times New Roman"/>
                      <w:b w:val="0"/>
                      <w:bCs/>
                      <w:color w:val="auto"/>
                      <w:sz w:val="21"/>
                      <w:szCs w:val="21"/>
                      <w:highlight w:val="none"/>
                      <w:lang w:val="en-US" w:eastAsia="zh-CN"/>
                    </w:rPr>
                    <w:t>）</w:t>
                  </w:r>
                </w:p>
              </w:tc>
              <w:tc>
                <w:tcPr>
                  <w:tcW w:w="618" w:type="pct"/>
                  <w:noWrap w:val="0"/>
                  <w:vAlign w:val="center"/>
                </w:tcPr>
                <w:p w14:paraId="6C315C2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4B3D6696">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988" w:type="pct"/>
                  <w:noWrap w:val="0"/>
                  <w:vAlign w:val="center"/>
                </w:tcPr>
                <w:p w14:paraId="52F590C6">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检验</w:t>
                  </w:r>
                </w:p>
              </w:tc>
              <w:tc>
                <w:tcPr>
                  <w:tcW w:w="479" w:type="pct"/>
                  <w:noWrap w:val="0"/>
                  <w:vAlign w:val="center"/>
                </w:tcPr>
                <w:p w14:paraId="7314F952">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vMerge w:val="continue"/>
                  <w:noWrap w:val="0"/>
                  <w:vAlign w:val="center"/>
                </w:tcPr>
                <w:p w14:paraId="52FBB889">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p>
              </w:tc>
              <w:tc>
                <w:tcPr>
                  <w:tcW w:w="439" w:type="pct"/>
                  <w:noWrap w:val="0"/>
                  <w:vAlign w:val="center"/>
                </w:tcPr>
                <w:p w14:paraId="35C4769E">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r w14:paraId="1782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4627CA73">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5</w:t>
                  </w:r>
                </w:p>
              </w:tc>
              <w:tc>
                <w:tcPr>
                  <w:tcW w:w="933" w:type="pct"/>
                  <w:noWrap w:val="0"/>
                  <w:vAlign w:val="center"/>
                </w:tcPr>
                <w:p w14:paraId="3B835104">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炉渣（</w:t>
                  </w:r>
                  <w:r>
                    <w:rPr>
                      <w:rFonts w:hint="default" w:ascii="Times New Roman" w:hAnsi="Times New Roman" w:eastAsia="宋体" w:cs="Times New Roman"/>
                      <w:b w:val="0"/>
                      <w:bCs/>
                      <w:color w:val="auto"/>
                      <w:sz w:val="21"/>
                      <w:szCs w:val="21"/>
                      <w:highlight w:val="none"/>
                      <w:lang w:val="en-US" w:eastAsia="zh-CN"/>
                    </w:rPr>
                    <w:t>S5</w:t>
                  </w:r>
                  <w:r>
                    <w:rPr>
                      <w:rFonts w:hint="eastAsia" w:ascii="Times New Roman" w:hAnsi="Times New Roman" w:eastAsia="宋体" w:cs="Times New Roman"/>
                      <w:b w:val="0"/>
                      <w:bCs/>
                      <w:color w:val="auto"/>
                      <w:sz w:val="21"/>
                      <w:szCs w:val="21"/>
                      <w:highlight w:val="none"/>
                      <w:lang w:val="en-US" w:eastAsia="zh-CN"/>
                    </w:rPr>
                    <w:t>）</w:t>
                  </w:r>
                </w:p>
              </w:tc>
              <w:tc>
                <w:tcPr>
                  <w:tcW w:w="618" w:type="pct"/>
                  <w:noWrap w:val="0"/>
                  <w:vAlign w:val="center"/>
                </w:tcPr>
                <w:p w14:paraId="699C7EBF">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59588591">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988" w:type="pct"/>
                  <w:noWrap w:val="0"/>
                  <w:vAlign w:val="center"/>
                </w:tcPr>
                <w:p w14:paraId="3D355606">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熔化</w:t>
                  </w:r>
                </w:p>
              </w:tc>
              <w:tc>
                <w:tcPr>
                  <w:tcW w:w="479" w:type="pct"/>
                  <w:noWrap w:val="0"/>
                  <w:vAlign w:val="center"/>
                </w:tcPr>
                <w:p w14:paraId="0A78FC3B">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vMerge w:val="restart"/>
                  <w:noWrap w:val="0"/>
                  <w:vAlign w:val="center"/>
                </w:tcPr>
                <w:p w14:paraId="230C8545">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收集后外售综合利用</w:t>
                  </w:r>
                </w:p>
              </w:tc>
              <w:tc>
                <w:tcPr>
                  <w:tcW w:w="439" w:type="pct"/>
                  <w:noWrap w:val="0"/>
                  <w:vAlign w:val="center"/>
                </w:tcPr>
                <w:p w14:paraId="6FF83C40">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r w14:paraId="19E1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75BB23D9">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6</w:t>
                  </w:r>
                </w:p>
              </w:tc>
              <w:tc>
                <w:tcPr>
                  <w:tcW w:w="933" w:type="pct"/>
                  <w:noWrap w:val="0"/>
                  <w:vAlign w:val="center"/>
                </w:tcPr>
                <w:p w14:paraId="23649F57">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废包装材料（S6）</w:t>
                  </w:r>
                </w:p>
              </w:tc>
              <w:tc>
                <w:tcPr>
                  <w:tcW w:w="618" w:type="pct"/>
                  <w:noWrap w:val="0"/>
                  <w:vAlign w:val="center"/>
                </w:tcPr>
                <w:p w14:paraId="5F412391">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1ECE5D66">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0.1</w:t>
                  </w:r>
                </w:p>
              </w:tc>
              <w:tc>
                <w:tcPr>
                  <w:tcW w:w="988" w:type="pct"/>
                  <w:noWrap w:val="0"/>
                  <w:vAlign w:val="center"/>
                </w:tcPr>
                <w:p w14:paraId="0440F2CF">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原料使用</w:t>
                  </w:r>
                </w:p>
              </w:tc>
              <w:tc>
                <w:tcPr>
                  <w:tcW w:w="479" w:type="pct"/>
                  <w:noWrap w:val="0"/>
                  <w:vAlign w:val="center"/>
                </w:tcPr>
                <w:p w14:paraId="1CC031B9">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vMerge w:val="continue"/>
                  <w:noWrap w:val="0"/>
                  <w:vAlign w:val="center"/>
                </w:tcPr>
                <w:p w14:paraId="7E8565C2">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p>
              </w:tc>
              <w:tc>
                <w:tcPr>
                  <w:tcW w:w="439" w:type="pct"/>
                  <w:noWrap w:val="0"/>
                  <w:vAlign w:val="center"/>
                </w:tcPr>
                <w:p w14:paraId="19AA8AEF">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r w14:paraId="0B244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3" w:type="pct"/>
                  <w:noWrap w:val="0"/>
                  <w:vAlign w:val="center"/>
                </w:tcPr>
                <w:p w14:paraId="541AF52B">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7</w:t>
                  </w:r>
                </w:p>
              </w:tc>
              <w:tc>
                <w:tcPr>
                  <w:tcW w:w="933" w:type="pct"/>
                  <w:noWrap w:val="0"/>
                  <w:vAlign w:val="center"/>
                </w:tcPr>
                <w:p w14:paraId="04FA8200">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收集粉尘（</w:t>
                  </w:r>
                  <w:r>
                    <w:rPr>
                      <w:rFonts w:hint="default" w:ascii="Times New Roman" w:hAnsi="Times New Roman" w:eastAsia="宋体" w:cs="Times New Roman"/>
                      <w:b w:val="0"/>
                      <w:bCs/>
                      <w:color w:val="auto"/>
                      <w:sz w:val="21"/>
                      <w:szCs w:val="21"/>
                      <w:highlight w:val="none"/>
                      <w:lang w:val="en-US" w:eastAsia="zh-CN"/>
                    </w:rPr>
                    <w:t>S7</w:t>
                  </w:r>
                  <w:r>
                    <w:rPr>
                      <w:rFonts w:hint="eastAsia" w:ascii="Times New Roman" w:hAnsi="Times New Roman" w:eastAsia="宋体" w:cs="Times New Roman"/>
                      <w:b w:val="0"/>
                      <w:bCs/>
                      <w:color w:val="auto"/>
                      <w:sz w:val="21"/>
                      <w:szCs w:val="21"/>
                      <w:highlight w:val="none"/>
                      <w:lang w:val="en-US" w:eastAsia="zh-CN"/>
                    </w:rPr>
                    <w:t>）</w:t>
                  </w:r>
                </w:p>
              </w:tc>
              <w:tc>
                <w:tcPr>
                  <w:tcW w:w="618" w:type="pct"/>
                  <w:noWrap w:val="0"/>
                  <w:vAlign w:val="center"/>
                </w:tcPr>
                <w:p w14:paraId="193388D8">
                  <w:pPr>
                    <w:spacing w:line="240" w:lineRule="auto"/>
                    <w:ind w:firstLine="0" w:firstLine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类比法</w:t>
                  </w:r>
                </w:p>
              </w:tc>
              <w:tc>
                <w:tcPr>
                  <w:tcW w:w="560" w:type="pct"/>
                  <w:noWrap w:val="0"/>
                  <w:vAlign w:val="center"/>
                </w:tcPr>
                <w:p w14:paraId="2F13B480">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216.858</w:t>
                  </w:r>
                </w:p>
              </w:tc>
              <w:tc>
                <w:tcPr>
                  <w:tcW w:w="988" w:type="pct"/>
                  <w:noWrap w:val="0"/>
                  <w:vAlign w:val="center"/>
                </w:tcPr>
                <w:p w14:paraId="44566AF7">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废气处理</w:t>
                  </w:r>
                </w:p>
              </w:tc>
              <w:tc>
                <w:tcPr>
                  <w:tcW w:w="479" w:type="pct"/>
                  <w:noWrap w:val="0"/>
                  <w:vAlign w:val="center"/>
                </w:tcPr>
                <w:p w14:paraId="316A58EB">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固</w:t>
                  </w:r>
                </w:p>
              </w:tc>
              <w:tc>
                <w:tcPr>
                  <w:tcW w:w="686" w:type="pct"/>
                  <w:vMerge w:val="continue"/>
                  <w:noWrap w:val="0"/>
                  <w:vAlign w:val="center"/>
                </w:tcPr>
                <w:p w14:paraId="291FF75B">
                  <w:pPr>
                    <w:keepNext w:val="0"/>
                    <w:keepLines w:val="0"/>
                    <w:widowControl/>
                    <w:suppressLineNumbers w:val="0"/>
                    <w:jc w:val="center"/>
                    <w:textAlignment w:val="center"/>
                    <w:rPr>
                      <w:rFonts w:hint="eastAsia" w:ascii="Times New Roman" w:hAnsi="Times New Roman" w:eastAsia="宋体" w:cs="Times New Roman"/>
                      <w:b w:val="0"/>
                      <w:bCs/>
                      <w:color w:val="auto"/>
                      <w:sz w:val="21"/>
                      <w:szCs w:val="21"/>
                      <w:highlight w:val="none"/>
                      <w:lang w:val="en-US" w:eastAsia="zh-CN"/>
                    </w:rPr>
                  </w:pPr>
                </w:p>
              </w:tc>
              <w:tc>
                <w:tcPr>
                  <w:tcW w:w="439" w:type="pct"/>
                  <w:noWrap w:val="0"/>
                  <w:vAlign w:val="center"/>
                </w:tcPr>
                <w:p w14:paraId="21EFA4D1">
                  <w:pPr>
                    <w:pStyle w:val="116"/>
                    <w:tabs>
                      <w:tab w:val="left" w:pos="0"/>
                    </w:tabs>
                    <w:spacing w:line="240" w:lineRule="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0</w:t>
                  </w:r>
                </w:p>
              </w:tc>
            </w:tr>
          </w:tbl>
          <w:p w14:paraId="3B0ADE0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olor w:val="FF0000"/>
                <w:sz w:val="18"/>
                <w:szCs w:val="18"/>
                <w:highlight w:val="none"/>
                <w:lang w:val="en-US" w:eastAsia="zh-CN"/>
              </w:rPr>
            </w:pPr>
          </w:p>
          <w:p w14:paraId="182EC7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②危险废物</w:t>
            </w:r>
          </w:p>
          <w:p w14:paraId="3B01EB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eastAsia="宋体" w:cs="Times New Roman"/>
                <w:b w:val="0"/>
                <w:bCs w:val="0"/>
                <w:color w:val="auto"/>
                <w:sz w:val="24"/>
                <w:szCs w:val="24"/>
                <w:highlight w:val="none"/>
                <w:lang w:val="en-US" w:eastAsia="zh-CN"/>
              </w:rPr>
              <w:t>危险废物</w:t>
            </w:r>
            <w:r>
              <w:rPr>
                <w:rFonts w:hint="eastAsia" w:ascii="Times New Roman" w:hAnsi="Times New Roman" w:eastAsia="宋体" w:cs="Times New Roman"/>
                <w:color w:val="auto"/>
                <w:sz w:val="24"/>
                <w:szCs w:val="24"/>
                <w:highlight w:val="none"/>
                <w:lang w:val="en-US" w:eastAsia="zh-CN"/>
              </w:rPr>
              <w:t>主要为废机油（S8）、废活性炭（S9）、</w:t>
            </w:r>
            <w:r>
              <w:rPr>
                <w:rFonts w:hint="eastAsia" w:cs="Times New Roman"/>
                <w:color w:val="auto"/>
                <w:sz w:val="24"/>
                <w:szCs w:val="24"/>
                <w:highlight w:val="none"/>
                <w:lang w:val="en-US" w:eastAsia="zh-CN"/>
              </w:rPr>
              <w:t>废切削液（S10）、</w:t>
            </w:r>
            <w:r>
              <w:rPr>
                <w:rFonts w:hint="eastAsia" w:ascii="Times New Roman" w:hAnsi="Times New Roman" w:eastAsia="宋体" w:cs="Times New Roman"/>
                <w:color w:val="auto"/>
                <w:sz w:val="24"/>
                <w:szCs w:val="24"/>
                <w:highlight w:val="none"/>
                <w:lang w:val="en-US" w:eastAsia="zh-CN"/>
              </w:rPr>
              <w:t>废包装桶、废油桶。</w:t>
            </w:r>
          </w:p>
          <w:p w14:paraId="191C5B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项目</w:t>
            </w:r>
            <w:r>
              <w:rPr>
                <w:rFonts w:hint="eastAsia" w:ascii="Times New Roman" w:hAnsi="Times New Roman" w:cs="Times New Roman"/>
                <w:color w:val="auto"/>
                <w:sz w:val="24"/>
                <w:highlight w:val="none"/>
                <w:lang w:val="en-US" w:eastAsia="zh-CN"/>
              </w:rPr>
              <w:t>设备维护保养</w:t>
            </w:r>
            <w:r>
              <w:rPr>
                <w:rFonts w:hint="default" w:ascii="Times New Roman" w:hAnsi="Times New Roman" w:cs="Times New Roman"/>
                <w:color w:val="auto"/>
                <w:sz w:val="24"/>
                <w:highlight w:val="none"/>
                <w:lang w:val="en-US" w:eastAsia="zh-CN"/>
              </w:rPr>
              <w:t>使用机油</w:t>
            </w:r>
            <w:r>
              <w:rPr>
                <w:rFonts w:hint="eastAsia" w:ascii="Times New Roman" w:hAnsi="Times New Roman" w:cs="Times New Roman"/>
                <w:color w:val="auto"/>
                <w:sz w:val="24"/>
                <w:highlight w:val="none"/>
                <w:lang w:val="en-US" w:eastAsia="zh-CN"/>
              </w:rPr>
              <w:t>、润滑油产生的废油</w:t>
            </w:r>
            <w:r>
              <w:rPr>
                <w:rFonts w:hint="default" w:ascii="Times New Roman" w:hAnsi="Times New Roman" w:cs="Times New Roman"/>
                <w:color w:val="auto"/>
                <w:sz w:val="24"/>
                <w:highlight w:val="none"/>
                <w:lang w:val="en-US" w:eastAsia="zh-CN"/>
              </w:rPr>
              <w:t>桶</w:t>
            </w:r>
            <w:r>
              <w:rPr>
                <w:rFonts w:hint="eastAsia" w:ascii="Times New Roman" w:hAnsi="Times New Roman" w:cs="Times New Roman"/>
                <w:color w:val="auto"/>
                <w:sz w:val="24"/>
                <w:highlight w:val="none"/>
                <w:lang w:val="en-US" w:eastAsia="zh-CN"/>
              </w:rPr>
              <w:t>依托</w:t>
            </w:r>
            <w:r>
              <w:rPr>
                <w:rFonts w:hint="default" w:ascii="Times New Roman" w:hAnsi="Times New Roman" w:cs="Times New Roman"/>
                <w:color w:val="auto"/>
                <w:kern w:val="2"/>
                <w:sz w:val="24"/>
                <w:szCs w:val="32"/>
                <w:highlight w:val="none"/>
                <w:lang w:val="en-US" w:eastAsia="zh-CN"/>
              </w:rPr>
              <w:t>安徽江南泵阀集团有限公司</w:t>
            </w:r>
            <w:r>
              <w:rPr>
                <w:rFonts w:hint="eastAsia" w:ascii="Times New Roman" w:hAnsi="Times New Roman" w:cs="Times New Roman"/>
                <w:color w:val="auto"/>
                <w:kern w:val="2"/>
                <w:sz w:val="24"/>
                <w:szCs w:val="32"/>
                <w:highlight w:val="none"/>
                <w:lang w:val="en-US" w:eastAsia="zh-CN"/>
              </w:rPr>
              <w:t>进行委托处理，不在池州市锋达金属铸造有限公司内暂存，故本环评不将废油桶</w:t>
            </w:r>
            <w:r>
              <w:rPr>
                <w:rFonts w:hint="eastAsia" w:cs="Times New Roman"/>
                <w:color w:val="auto"/>
                <w:kern w:val="2"/>
                <w:sz w:val="24"/>
                <w:szCs w:val="32"/>
                <w:highlight w:val="none"/>
                <w:lang w:val="en-US" w:eastAsia="zh-CN"/>
              </w:rPr>
              <w:t>计为</w:t>
            </w:r>
            <w:r>
              <w:rPr>
                <w:rFonts w:hint="eastAsia" w:ascii="Times New Roman" w:hAnsi="Times New Roman" w:cs="Times New Roman"/>
                <w:color w:val="auto"/>
                <w:kern w:val="2"/>
                <w:sz w:val="24"/>
                <w:szCs w:val="32"/>
                <w:highlight w:val="none"/>
                <w:lang w:val="en-US" w:eastAsia="zh-CN"/>
              </w:rPr>
              <w:t>危废</w:t>
            </w:r>
            <w:r>
              <w:rPr>
                <w:rFonts w:hint="default" w:ascii="Times New Roman" w:hAnsi="Times New Roman" w:cs="Times New Roman"/>
                <w:color w:val="auto"/>
                <w:sz w:val="24"/>
                <w:highlight w:val="none"/>
                <w:lang w:val="en-US" w:eastAsia="zh-CN"/>
              </w:rPr>
              <w:t>。</w:t>
            </w:r>
          </w:p>
          <w:p w14:paraId="5E74BC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项目年使用脱模剂0.3t/a（约3桶），产生的废包装桶由供应商带走，故</w:t>
            </w:r>
            <w:r>
              <w:rPr>
                <w:rFonts w:hint="eastAsia" w:ascii="Times New Roman" w:hAnsi="Times New Roman" w:cs="Times New Roman"/>
                <w:color w:val="auto"/>
                <w:kern w:val="2"/>
                <w:sz w:val="24"/>
                <w:szCs w:val="32"/>
                <w:highlight w:val="none"/>
                <w:lang w:val="en-US" w:eastAsia="zh-CN"/>
              </w:rPr>
              <w:t>本环评不将废包装桶</w:t>
            </w:r>
            <w:r>
              <w:rPr>
                <w:rFonts w:hint="eastAsia" w:cs="Times New Roman"/>
                <w:color w:val="auto"/>
                <w:kern w:val="2"/>
                <w:sz w:val="24"/>
                <w:szCs w:val="32"/>
                <w:highlight w:val="none"/>
                <w:lang w:val="en-US" w:eastAsia="zh-CN"/>
              </w:rPr>
              <w:t>计为</w:t>
            </w:r>
            <w:r>
              <w:rPr>
                <w:rFonts w:hint="eastAsia" w:ascii="Times New Roman" w:hAnsi="Times New Roman" w:cs="Times New Roman"/>
                <w:color w:val="auto"/>
                <w:kern w:val="2"/>
                <w:sz w:val="24"/>
                <w:szCs w:val="32"/>
                <w:highlight w:val="none"/>
                <w:lang w:val="en-US" w:eastAsia="zh-CN"/>
              </w:rPr>
              <w:t>危废。</w:t>
            </w:r>
          </w:p>
          <w:p w14:paraId="4D2D14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废机油（S8）</w:t>
            </w:r>
          </w:p>
          <w:p w14:paraId="2674B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kern w:val="0"/>
                <w:sz w:val="24"/>
                <w:highlight w:val="none"/>
              </w:rPr>
              <w:t>根据企业提供资料，本项目设备</w:t>
            </w:r>
            <w:r>
              <w:rPr>
                <w:rFonts w:hint="default" w:ascii="Times New Roman" w:hAnsi="Times New Roman" w:cs="Times New Roman"/>
                <w:color w:val="auto"/>
                <w:kern w:val="0"/>
                <w:sz w:val="24"/>
                <w:highlight w:val="none"/>
                <w:lang w:val="en-US" w:eastAsia="zh-CN"/>
              </w:rPr>
              <w:t>运行维护</w:t>
            </w:r>
            <w:r>
              <w:rPr>
                <w:rFonts w:hint="default" w:ascii="Times New Roman" w:hAnsi="Times New Roman" w:cs="Times New Roman"/>
                <w:color w:val="auto"/>
                <w:kern w:val="0"/>
                <w:sz w:val="24"/>
                <w:highlight w:val="none"/>
              </w:rPr>
              <w:t>时会有少量废机油产生，产生量约0.0</w:t>
            </w:r>
            <w:r>
              <w:rPr>
                <w:rFonts w:hint="default" w:ascii="Times New Roman" w:hAnsi="Times New Roman" w:cs="Times New Roman"/>
                <w:color w:val="auto"/>
                <w:kern w:val="0"/>
                <w:sz w:val="24"/>
                <w:highlight w:val="none"/>
                <w:lang w:val="en-US" w:eastAsia="zh-CN"/>
              </w:rPr>
              <w:t>5</w:t>
            </w:r>
            <w:r>
              <w:rPr>
                <w:rFonts w:hint="default" w:ascii="Times New Roman" w:hAnsi="Times New Roman" w:cs="Times New Roman"/>
                <w:color w:val="auto"/>
                <w:kern w:val="0"/>
                <w:sz w:val="24"/>
                <w:highlight w:val="none"/>
              </w:rPr>
              <w:t>t/a，废机油属于危险废物，</w:t>
            </w:r>
            <w:r>
              <w:rPr>
                <w:rFonts w:hint="default" w:ascii="Times New Roman" w:hAnsi="Times New Roman" w:cs="Times New Roman"/>
                <w:color w:val="auto"/>
                <w:kern w:val="0"/>
                <w:sz w:val="24"/>
                <w:highlight w:val="none"/>
                <w:lang w:val="en-US" w:eastAsia="zh-CN"/>
              </w:rPr>
              <w:t>暂存于危废暂存间，交由有资质单位处置</w:t>
            </w:r>
            <w:r>
              <w:rPr>
                <w:rFonts w:hint="default" w:ascii="Times New Roman" w:hAnsi="Times New Roman" w:cs="Times New Roman"/>
                <w:color w:val="auto"/>
                <w:sz w:val="24"/>
                <w:highlight w:val="none"/>
              </w:rPr>
              <w:t>。</w:t>
            </w:r>
          </w:p>
          <w:p w14:paraId="6BE55E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叶根友毛笔行书2.0版"/>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废活性炭（S9）</w:t>
            </w:r>
          </w:p>
          <w:p w14:paraId="1BCF89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eastAsia="zh-CN"/>
              </w:rPr>
              <w:t>项目有机废气净化使用的活性炭需定期更换。根据《简明通风设计手册》，活性炭装置有效吸附量：qe=0.24kg/kg。本项目</w:t>
            </w:r>
            <w:r>
              <w:rPr>
                <w:rFonts w:hint="eastAsia" w:ascii="Times New Roman" w:hAnsi="Times New Roman" w:eastAsia="宋体" w:cs="叶根友毛笔行书2.0版"/>
                <w:color w:val="auto"/>
                <w:sz w:val="24"/>
                <w:szCs w:val="24"/>
                <w:highlight w:val="none"/>
                <w:lang w:val="en-US" w:eastAsia="zh-CN"/>
              </w:rPr>
              <w:t>建成后，全厂需要</w:t>
            </w:r>
            <w:r>
              <w:rPr>
                <w:rFonts w:hint="eastAsia" w:ascii="Times New Roman" w:hAnsi="Times New Roman" w:eastAsia="宋体" w:cs="叶根友毛笔行书2.0版"/>
                <w:color w:val="auto"/>
                <w:sz w:val="24"/>
                <w:szCs w:val="24"/>
                <w:highlight w:val="none"/>
                <w:lang w:eastAsia="zh-CN"/>
              </w:rPr>
              <w:t>经活性炭吸附的有机废气量为</w:t>
            </w:r>
            <w:r>
              <w:rPr>
                <w:rFonts w:hint="eastAsia" w:ascii="Times New Roman" w:hAnsi="Times New Roman" w:eastAsia="宋体" w:cs="叶根友毛笔行书2.0版"/>
                <w:color w:val="auto"/>
                <w:sz w:val="24"/>
                <w:szCs w:val="24"/>
                <w:highlight w:val="none"/>
                <w:lang w:val="en-US" w:eastAsia="zh-CN"/>
              </w:rPr>
              <w:t>2.</w:t>
            </w:r>
            <w:r>
              <w:rPr>
                <w:rFonts w:hint="eastAsia" w:cs="叶根友毛笔行书2.0版"/>
                <w:color w:val="auto"/>
                <w:sz w:val="24"/>
                <w:szCs w:val="24"/>
                <w:highlight w:val="none"/>
                <w:lang w:val="en-US" w:eastAsia="zh-CN"/>
              </w:rPr>
              <w:t>592</w:t>
            </w:r>
            <w:r>
              <w:rPr>
                <w:rFonts w:hint="eastAsia" w:ascii="Times New Roman" w:hAnsi="Times New Roman" w:eastAsia="宋体" w:cs="叶根友毛笔行书2.0版"/>
                <w:color w:val="auto"/>
                <w:sz w:val="24"/>
                <w:szCs w:val="24"/>
                <w:highlight w:val="none"/>
                <w:lang w:eastAsia="zh-CN"/>
              </w:rPr>
              <w:t>t/a，</w:t>
            </w:r>
            <w:r>
              <w:rPr>
                <w:rFonts w:hint="eastAsia" w:ascii="Times New Roman" w:hAnsi="Times New Roman" w:eastAsia="宋体" w:cs="叶根友毛笔行书2.0版"/>
                <w:color w:val="auto"/>
                <w:sz w:val="24"/>
                <w:szCs w:val="24"/>
                <w:highlight w:val="none"/>
                <w:lang w:val="en-US" w:eastAsia="zh-CN"/>
              </w:rPr>
              <w:t>理论上需要的</w:t>
            </w:r>
            <w:r>
              <w:rPr>
                <w:rFonts w:hint="eastAsia" w:ascii="Times New Roman" w:hAnsi="Times New Roman" w:eastAsia="宋体" w:cs="叶根友毛笔行书2.0版"/>
                <w:color w:val="auto"/>
                <w:sz w:val="24"/>
                <w:szCs w:val="24"/>
                <w:highlight w:val="none"/>
                <w:lang w:eastAsia="zh-CN"/>
              </w:rPr>
              <w:t>活性炭量约</w:t>
            </w:r>
            <w:r>
              <w:rPr>
                <w:rFonts w:hint="eastAsia" w:ascii="Times New Roman" w:hAnsi="Times New Roman" w:eastAsia="宋体" w:cs="叶根友毛笔行书2.0版"/>
                <w:color w:val="auto"/>
                <w:sz w:val="24"/>
                <w:szCs w:val="24"/>
                <w:highlight w:val="none"/>
                <w:lang w:val="en-US" w:eastAsia="zh-CN"/>
              </w:rPr>
              <w:t>为10.</w:t>
            </w:r>
            <w:r>
              <w:rPr>
                <w:rFonts w:hint="eastAsia" w:cs="叶根友毛笔行书2.0版"/>
                <w:color w:val="auto"/>
                <w:sz w:val="24"/>
                <w:szCs w:val="24"/>
                <w:highlight w:val="none"/>
                <w:lang w:val="en-US" w:eastAsia="zh-CN"/>
              </w:rPr>
              <w:t>8</w:t>
            </w:r>
            <w:r>
              <w:rPr>
                <w:rFonts w:hint="eastAsia" w:ascii="Times New Roman" w:hAnsi="Times New Roman" w:eastAsia="宋体" w:cs="叶根友毛笔行书2.0版"/>
                <w:color w:val="auto"/>
                <w:sz w:val="24"/>
                <w:szCs w:val="24"/>
                <w:highlight w:val="none"/>
                <w:lang w:eastAsia="zh-CN"/>
              </w:rPr>
              <w:t>t/a。</w:t>
            </w:r>
            <w:r>
              <w:rPr>
                <w:rFonts w:hint="eastAsia" w:ascii="Times New Roman" w:hAnsi="Times New Roman" w:eastAsia="宋体" w:cs="叶根友毛笔行书2.0版"/>
                <w:color w:val="auto"/>
                <w:sz w:val="24"/>
                <w:szCs w:val="24"/>
                <w:highlight w:val="none"/>
                <w:lang w:val="en-US" w:eastAsia="zh-CN"/>
              </w:rPr>
              <w:t>根据项目工程分析，</w:t>
            </w:r>
            <w:r>
              <w:rPr>
                <w:rFonts w:hint="eastAsia" w:ascii="Times New Roman" w:hAnsi="Times New Roman" w:eastAsia="宋体" w:cs="叶根友毛笔行书2.0版"/>
                <w:color w:val="auto"/>
                <w:sz w:val="24"/>
                <w:szCs w:val="24"/>
                <w:highlight w:val="none"/>
                <w:lang w:eastAsia="zh-CN"/>
              </w:rPr>
              <w:t>本项目</w:t>
            </w:r>
            <w:r>
              <w:rPr>
                <w:rFonts w:hint="eastAsia" w:ascii="Times New Roman" w:hAnsi="Times New Roman" w:eastAsia="宋体" w:cs="叶根友毛笔行书2.0版"/>
                <w:color w:val="auto"/>
                <w:sz w:val="24"/>
                <w:szCs w:val="24"/>
                <w:highlight w:val="none"/>
                <w:lang w:val="en-US" w:eastAsia="zh-CN"/>
              </w:rPr>
              <w:t>建成后，全厂设置活性炭装置情况见表4-10 活性炭技术参数一览表。</w:t>
            </w:r>
          </w:p>
          <w:p w14:paraId="0E23B6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根据企业提供的资料，项目建成后，全厂废活性炭产生量为：</w:t>
            </w:r>
          </w:p>
          <w:p w14:paraId="01FE8B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1×2+</w:t>
            </w:r>
            <w:r>
              <w:rPr>
                <w:rFonts w:hint="eastAsia" w:cs="叶根友毛笔行书2.0版"/>
                <w:color w:val="auto"/>
                <w:sz w:val="24"/>
                <w:szCs w:val="24"/>
                <w:highlight w:val="none"/>
                <w:lang w:val="en-US" w:eastAsia="zh-CN"/>
              </w:rPr>
              <w:t>3</w:t>
            </w:r>
            <w:r>
              <w:rPr>
                <w:rFonts w:hint="eastAsia" w:ascii="Times New Roman" w:hAnsi="Times New Roman" w:eastAsia="宋体" w:cs="叶根友毛笔行书2.0版"/>
                <w:color w:val="auto"/>
                <w:sz w:val="24"/>
                <w:szCs w:val="24"/>
                <w:highlight w:val="none"/>
                <w:lang w:val="en-US" w:eastAsia="zh-CN"/>
              </w:rPr>
              <w:t>×</w:t>
            </w:r>
            <w:r>
              <w:rPr>
                <w:rFonts w:hint="eastAsia" w:cs="叶根友毛笔行书2.0版"/>
                <w:color w:val="auto"/>
                <w:sz w:val="24"/>
                <w:szCs w:val="24"/>
                <w:highlight w:val="none"/>
                <w:lang w:val="en-US" w:eastAsia="zh-CN"/>
              </w:rPr>
              <w:t>3</w:t>
            </w:r>
            <w:r>
              <w:rPr>
                <w:rFonts w:hint="eastAsia" w:ascii="Times New Roman" w:hAnsi="Times New Roman" w:eastAsia="宋体" w:cs="叶根友毛笔行书2.0版"/>
                <w:color w:val="auto"/>
                <w:sz w:val="24"/>
                <w:szCs w:val="24"/>
                <w:highlight w:val="none"/>
                <w:lang w:val="en-US" w:eastAsia="zh-CN"/>
              </w:rPr>
              <w:t>+2.</w:t>
            </w:r>
            <w:r>
              <w:rPr>
                <w:rFonts w:hint="eastAsia" w:cs="叶根友毛笔行书2.0版"/>
                <w:color w:val="auto"/>
                <w:sz w:val="24"/>
                <w:szCs w:val="24"/>
                <w:highlight w:val="none"/>
                <w:lang w:val="en-US" w:eastAsia="zh-CN"/>
              </w:rPr>
              <w:t>592</w:t>
            </w:r>
            <w:r>
              <w:rPr>
                <w:rFonts w:hint="eastAsia" w:ascii="Times New Roman" w:hAnsi="Times New Roman" w:eastAsia="宋体" w:cs="叶根友毛笔行书2.0版"/>
                <w:color w:val="auto"/>
                <w:sz w:val="24"/>
                <w:szCs w:val="24"/>
                <w:highlight w:val="none"/>
                <w:lang w:val="en-US" w:eastAsia="zh-CN"/>
              </w:rPr>
              <w:t>=1</w:t>
            </w:r>
            <w:r>
              <w:rPr>
                <w:rFonts w:hint="eastAsia" w:cs="叶根友毛笔行书2.0版"/>
                <w:color w:val="auto"/>
                <w:sz w:val="24"/>
                <w:szCs w:val="24"/>
                <w:highlight w:val="none"/>
                <w:lang w:val="en-US" w:eastAsia="zh-CN"/>
              </w:rPr>
              <w:t>3.592</w:t>
            </w:r>
            <w:r>
              <w:rPr>
                <w:rFonts w:hint="eastAsia" w:ascii="Times New Roman" w:hAnsi="Times New Roman" w:eastAsia="宋体" w:cs="叶根友毛笔行书2.0版"/>
                <w:color w:val="auto"/>
                <w:sz w:val="24"/>
                <w:szCs w:val="24"/>
                <w:highlight w:val="none"/>
                <w:lang w:eastAsia="zh-CN"/>
              </w:rPr>
              <w:t>t/a</w:t>
            </w:r>
          </w:p>
          <w:p w14:paraId="539CA1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则</w:t>
            </w:r>
            <w:r>
              <w:rPr>
                <w:rFonts w:hint="eastAsia" w:cs="叶根友毛笔行书2.0版"/>
                <w:color w:val="auto"/>
                <w:sz w:val="24"/>
                <w:szCs w:val="24"/>
                <w:highlight w:val="none"/>
                <w:lang w:val="en-US" w:eastAsia="zh-CN"/>
              </w:rPr>
              <w:t>技改后</w:t>
            </w:r>
            <w:r>
              <w:rPr>
                <w:rFonts w:hint="eastAsia" w:ascii="Times New Roman" w:hAnsi="Times New Roman" w:eastAsia="宋体" w:cs="叶根友毛笔行书2.0版"/>
                <w:color w:val="auto"/>
                <w:sz w:val="24"/>
                <w:szCs w:val="24"/>
                <w:highlight w:val="none"/>
                <w:lang w:val="en-US" w:eastAsia="zh-CN"/>
              </w:rPr>
              <w:t>项目</w:t>
            </w:r>
            <w:r>
              <w:rPr>
                <w:rFonts w:hint="eastAsia" w:cs="叶根友毛笔行书2.0版"/>
                <w:color w:val="auto"/>
                <w:sz w:val="24"/>
                <w:szCs w:val="24"/>
                <w:highlight w:val="none"/>
                <w:lang w:val="en-US" w:eastAsia="zh-CN"/>
              </w:rPr>
              <w:t>年</w:t>
            </w:r>
            <w:r>
              <w:rPr>
                <w:rFonts w:hint="eastAsia" w:ascii="Times New Roman" w:hAnsi="Times New Roman" w:eastAsia="宋体" w:cs="叶根友毛笔行书2.0版"/>
                <w:color w:val="auto"/>
                <w:sz w:val="24"/>
                <w:szCs w:val="24"/>
                <w:highlight w:val="none"/>
                <w:lang w:val="en-US" w:eastAsia="zh-CN"/>
              </w:rPr>
              <w:t>废活性炭产生量为</w:t>
            </w:r>
            <w:r>
              <w:rPr>
                <w:rFonts w:hint="eastAsia" w:cs="叶根友毛笔行书2.0版"/>
                <w:color w:val="auto"/>
                <w:sz w:val="24"/>
                <w:szCs w:val="24"/>
                <w:highlight w:val="none"/>
                <w:lang w:val="en-US" w:eastAsia="zh-CN"/>
              </w:rPr>
              <w:t>13.592</w:t>
            </w:r>
            <w:r>
              <w:rPr>
                <w:rFonts w:hint="eastAsia" w:ascii="Times New Roman" w:hAnsi="Times New Roman" w:eastAsia="宋体" w:cs="叶根友毛笔行书2.0版"/>
                <w:color w:val="auto"/>
                <w:sz w:val="24"/>
                <w:szCs w:val="24"/>
                <w:highlight w:val="none"/>
                <w:lang w:val="en-US" w:eastAsia="zh-CN"/>
              </w:rPr>
              <w:t>t/a。</w:t>
            </w:r>
          </w:p>
          <w:p w14:paraId="2B4962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叶根友毛笔行书2.0版"/>
                <w:color w:val="auto"/>
                <w:sz w:val="24"/>
                <w:szCs w:val="24"/>
                <w:highlight w:val="none"/>
                <w:lang w:eastAsia="zh-CN"/>
              </w:rPr>
            </w:pPr>
            <w:r>
              <w:rPr>
                <w:rFonts w:hint="eastAsia" w:ascii="Times New Roman" w:hAnsi="Times New Roman" w:eastAsia="宋体" w:cs="叶根友毛笔行书2.0版"/>
                <w:color w:val="auto"/>
                <w:sz w:val="24"/>
                <w:szCs w:val="24"/>
                <w:highlight w:val="none"/>
                <w:lang w:eastAsia="zh-CN"/>
              </w:rPr>
              <w:t>废活性炭属于危险固废，</w:t>
            </w:r>
            <w:r>
              <w:rPr>
                <w:rFonts w:hint="default" w:ascii="Times New Roman" w:hAnsi="Times New Roman" w:cs="Times New Roman"/>
                <w:color w:val="auto"/>
                <w:sz w:val="24"/>
                <w:highlight w:val="none"/>
                <w:lang w:val="en-US" w:eastAsia="zh-CN"/>
              </w:rPr>
              <w:t>收集后暂存于危废暂存间，定期交由资质单位集中处置</w:t>
            </w:r>
            <w:r>
              <w:rPr>
                <w:rFonts w:hint="eastAsia" w:ascii="Times New Roman" w:hAnsi="Times New Roman" w:eastAsia="宋体" w:cs="叶根友毛笔行书2.0版"/>
                <w:color w:val="auto"/>
                <w:sz w:val="24"/>
                <w:szCs w:val="24"/>
                <w:highlight w:val="none"/>
                <w:lang w:eastAsia="zh-CN"/>
              </w:rPr>
              <w:t>。</w:t>
            </w:r>
          </w:p>
          <w:p w14:paraId="2B4650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废切削液（S10）</w:t>
            </w:r>
          </w:p>
          <w:p w14:paraId="47EEB6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本项目在机加工过程中会使用切削液，通常情况下，切削液可循环使用，少量无法循环使用的部分会更换。废切削液产生量约为0.2t/a。</w:t>
            </w:r>
          </w:p>
          <w:p w14:paraId="41023C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color w:val="auto"/>
                <w:sz w:val="24"/>
                <w:szCs w:val="32"/>
                <w:highlight w:val="none"/>
                <w:lang w:val="en-US" w:eastAsia="zh-CN"/>
              </w:rPr>
              <w:t>对照</w:t>
            </w:r>
            <w:r>
              <w:rPr>
                <w:rFonts w:hint="default" w:ascii="Times New Roman" w:hAnsi="Times New Roman" w:eastAsia="宋体" w:cs="Times New Roman"/>
                <w:color w:val="auto"/>
                <w:sz w:val="24"/>
                <w:szCs w:val="24"/>
                <w:highlight w:val="none"/>
                <w:lang w:val="en-US" w:eastAsia="zh-CN"/>
              </w:rPr>
              <w:t>《国家危险废物名录》（202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年版），</w:t>
            </w:r>
            <w:r>
              <w:rPr>
                <w:rFonts w:hint="eastAsia" w:ascii="Times New Roman" w:hAnsi="Times New Roman" w:eastAsia="宋体" w:cs="Times New Roman"/>
                <w:color w:val="auto"/>
                <w:sz w:val="24"/>
                <w:szCs w:val="24"/>
                <w:highlight w:val="none"/>
                <w:lang w:val="en-US" w:eastAsia="zh-CN"/>
              </w:rPr>
              <w:t>项目危险废物类别分别为：</w:t>
            </w:r>
          </w:p>
          <w:p w14:paraId="5C51E2AF">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w:t>
            </w:r>
            <w:r>
              <w:rPr>
                <w:rFonts w:hint="eastAsia" w:ascii="Times New Roman" w:hAnsi="Times New Roman" w:eastAsia="宋体" w:cs="Times New Roman"/>
                <w:b/>
                <w:bCs/>
                <w:color w:val="auto"/>
                <w:kern w:val="2"/>
                <w:sz w:val="24"/>
                <w:szCs w:val="24"/>
                <w:lang w:val="en-US" w:eastAsia="zh-CN"/>
              </w:rPr>
              <w:t>4-17</w:t>
            </w:r>
            <w:r>
              <w:rPr>
                <w:rFonts w:hint="default" w:ascii="Times New Roman" w:hAnsi="Times New Roman" w:eastAsia="宋体" w:cs="Times New Roman"/>
                <w:b/>
                <w:bCs/>
                <w:color w:val="auto"/>
                <w:kern w:val="2"/>
                <w:sz w:val="24"/>
                <w:szCs w:val="24"/>
                <w:lang w:val="en-US" w:eastAsia="zh-CN"/>
              </w:rPr>
              <w:t xml:space="preserve">  </w:t>
            </w:r>
            <w:r>
              <w:rPr>
                <w:rFonts w:hint="eastAsia" w:ascii="Times New Roman" w:hAnsi="Times New Roman" w:eastAsia="宋体" w:cs="Times New Roman"/>
                <w:b/>
                <w:bCs/>
                <w:color w:val="auto"/>
                <w:kern w:val="2"/>
                <w:sz w:val="24"/>
                <w:szCs w:val="24"/>
                <w:lang w:val="en-US" w:eastAsia="zh-CN"/>
              </w:rPr>
              <w:t>国家</w:t>
            </w:r>
            <w:r>
              <w:rPr>
                <w:rFonts w:hint="default" w:ascii="Times New Roman" w:hAnsi="Times New Roman" w:eastAsia="宋体" w:cs="Times New Roman"/>
                <w:b/>
                <w:bCs/>
                <w:color w:val="auto"/>
                <w:kern w:val="2"/>
                <w:sz w:val="24"/>
                <w:szCs w:val="24"/>
                <w:lang w:val="en-US" w:eastAsia="zh-CN"/>
              </w:rPr>
              <w:t>危险废物</w:t>
            </w:r>
            <w:r>
              <w:rPr>
                <w:rFonts w:hint="eastAsia" w:ascii="Times New Roman" w:hAnsi="Times New Roman" w:eastAsia="宋体" w:cs="Times New Roman"/>
                <w:b/>
                <w:bCs/>
                <w:color w:val="auto"/>
                <w:kern w:val="2"/>
                <w:sz w:val="24"/>
                <w:szCs w:val="24"/>
                <w:lang w:val="en-US" w:eastAsia="zh-CN"/>
              </w:rPr>
              <w:t>名录对照</w:t>
            </w:r>
            <w:r>
              <w:rPr>
                <w:rFonts w:hint="default" w:ascii="Times New Roman" w:hAnsi="Times New Roman" w:eastAsia="宋体" w:cs="Times New Roman"/>
                <w:b/>
                <w:bCs/>
                <w:color w:val="auto"/>
                <w:kern w:val="2"/>
                <w:sz w:val="24"/>
                <w:szCs w:val="24"/>
                <w:lang w:val="en-US" w:eastAsia="zh-CN"/>
              </w:rPr>
              <w:t>表</w:t>
            </w:r>
          </w:p>
          <w:tbl>
            <w:tblPr>
              <w:tblStyle w:val="36"/>
              <w:tblW w:w="4995"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393"/>
              <w:gridCol w:w="1066"/>
              <w:gridCol w:w="1350"/>
              <w:gridCol w:w="655"/>
              <w:gridCol w:w="800"/>
              <w:gridCol w:w="3245"/>
              <w:gridCol w:w="678"/>
            </w:tblGrid>
            <w:tr w14:paraId="5C704F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0" w:type="pct"/>
                  <w:tcBorders>
                    <w:tl2br w:val="nil"/>
                    <w:tr2bl w:val="nil"/>
                  </w:tcBorders>
                  <w:noWrap w:val="0"/>
                  <w:vAlign w:val="center"/>
                </w:tcPr>
                <w:p w14:paraId="6EC3E1A2">
                  <w:pPr>
                    <w:topLinePunct/>
                    <w:adjustRightInd w:val="0"/>
                    <w:snapToGrid w:val="0"/>
                    <w:spacing w:line="240" w:lineRule="auto"/>
                    <w:jc w:val="center"/>
                    <w:rPr>
                      <w:rFonts w:ascii="Times New Roman" w:hAnsi="Times New Roman" w:eastAsia="宋体" w:cs="Times New Roman"/>
                      <w:b/>
                      <w:color w:val="auto"/>
                      <w:kern w:val="0"/>
                      <w:sz w:val="21"/>
                      <w:szCs w:val="21"/>
                      <w:highlight w:val="none"/>
                    </w:rPr>
                  </w:pPr>
                  <w:r>
                    <w:rPr>
                      <w:rFonts w:ascii="Times New Roman" w:hAnsi="Times New Roman" w:eastAsia="宋体" w:cs="Times New Roman"/>
                      <w:b/>
                      <w:color w:val="auto"/>
                      <w:kern w:val="0"/>
                      <w:sz w:val="21"/>
                      <w:szCs w:val="21"/>
                      <w:highlight w:val="none"/>
                    </w:rPr>
                    <w:t>序号</w:t>
                  </w:r>
                </w:p>
              </w:tc>
              <w:tc>
                <w:tcPr>
                  <w:tcW w:w="651" w:type="pct"/>
                  <w:tcBorders>
                    <w:tl2br w:val="nil"/>
                    <w:tr2bl w:val="nil"/>
                  </w:tcBorders>
                  <w:noWrap w:val="0"/>
                  <w:vAlign w:val="center"/>
                </w:tcPr>
                <w:p w14:paraId="3F0B542A">
                  <w:pPr>
                    <w:topLinePunct/>
                    <w:adjustRightInd w:val="0"/>
                    <w:snapToGrid w:val="0"/>
                    <w:spacing w:line="240" w:lineRule="auto"/>
                    <w:jc w:val="center"/>
                    <w:rPr>
                      <w:rFonts w:ascii="Times New Roman" w:hAnsi="Times New Roman" w:eastAsia="宋体" w:cs="Times New Roman"/>
                      <w:b/>
                      <w:color w:val="auto"/>
                      <w:kern w:val="0"/>
                      <w:sz w:val="21"/>
                      <w:szCs w:val="21"/>
                      <w:highlight w:val="none"/>
                    </w:rPr>
                  </w:pPr>
                  <w:r>
                    <w:rPr>
                      <w:rFonts w:ascii="Times New Roman" w:hAnsi="Times New Roman" w:eastAsia="宋体" w:cs="Times New Roman"/>
                      <w:b/>
                      <w:color w:val="auto"/>
                      <w:kern w:val="0"/>
                      <w:sz w:val="21"/>
                      <w:szCs w:val="21"/>
                      <w:highlight w:val="none"/>
                    </w:rPr>
                    <w:t>危险废物名称</w:t>
                  </w:r>
                </w:p>
              </w:tc>
              <w:tc>
                <w:tcPr>
                  <w:tcW w:w="824" w:type="pct"/>
                  <w:tcBorders>
                    <w:tl2br w:val="nil"/>
                    <w:tr2bl w:val="nil"/>
                  </w:tcBorders>
                  <w:noWrap w:val="0"/>
                  <w:vAlign w:val="center"/>
                </w:tcPr>
                <w:p w14:paraId="760F6444">
                  <w:pPr>
                    <w:topLinePunct/>
                    <w:adjustRightInd w:val="0"/>
                    <w:snapToGrid w:val="0"/>
                    <w:spacing w:line="240" w:lineRule="auto"/>
                    <w:jc w:val="center"/>
                    <w:rPr>
                      <w:rFonts w:hint="eastAsia" w:ascii="Times New Roman" w:hAnsi="Times New Roman" w:eastAsia="宋体" w:cs="Times New Roman"/>
                      <w:b/>
                      <w:color w:val="auto"/>
                      <w:kern w:val="0"/>
                      <w:sz w:val="21"/>
                      <w:szCs w:val="21"/>
                      <w:highlight w:val="none"/>
                      <w:lang w:val="en-US" w:eastAsia="zh-CN"/>
                    </w:rPr>
                  </w:pPr>
                  <w:r>
                    <w:rPr>
                      <w:rFonts w:hint="eastAsia" w:ascii="Times New Roman" w:hAnsi="Times New Roman" w:eastAsia="宋体" w:cs="Times New Roman"/>
                      <w:b/>
                      <w:color w:val="auto"/>
                      <w:kern w:val="0"/>
                      <w:sz w:val="21"/>
                      <w:szCs w:val="21"/>
                      <w:highlight w:val="none"/>
                      <w:lang w:val="en-US" w:eastAsia="zh-CN"/>
                    </w:rPr>
                    <w:t>废物类别</w:t>
                  </w:r>
                </w:p>
              </w:tc>
              <w:tc>
                <w:tcPr>
                  <w:tcW w:w="400" w:type="pct"/>
                  <w:tcBorders>
                    <w:tl2br w:val="nil"/>
                    <w:tr2bl w:val="nil"/>
                  </w:tcBorders>
                  <w:noWrap w:val="0"/>
                  <w:vAlign w:val="center"/>
                </w:tcPr>
                <w:p w14:paraId="5F876912">
                  <w:pPr>
                    <w:topLinePunct/>
                    <w:adjustRightInd w:val="0"/>
                    <w:snapToGrid w:val="0"/>
                    <w:spacing w:line="240" w:lineRule="auto"/>
                    <w:jc w:val="center"/>
                    <w:rPr>
                      <w:rFonts w:hint="eastAsia" w:ascii="Times New Roman" w:hAnsi="Times New Roman" w:eastAsia="宋体" w:cs="Times New Roman"/>
                      <w:b/>
                      <w:color w:val="auto"/>
                      <w:kern w:val="0"/>
                      <w:sz w:val="21"/>
                      <w:szCs w:val="21"/>
                      <w:highlight w:val="none"/>
                      <w:lang w:val="en-US" w:eastAsia="zh-CN"/>
                    </w:rPr>
                  </w:pPr>
                  <w:r>
                    <w:rPr>
                      <w:rFonts w:hint="eastAsia" w:ascii="Times New Roman" w:hAnsi="Times New Roman" w:eastAsia="宋体" w:cs="Times New Roman"/>
                      <w:b/>
                      <w:color w:val="auto"/>
                      <w:kern w:val="0"/>
                      <w:sz w:val="21"/>
                      <w:szCs w:val="21"/>
                      <w:highlight w:val="none"/>
                      <w:lang w:val="en-US" w:eastAsia="zh-CN"/>
                    </w:rPr>
                    <w:t>行业来源</w:t>
                  </w:r>
                </w:p>
              </w:tc>
              <w:tc>
                <w:tcPr>
                  <w:tcW w:w="488" w:type="pct"/>
                  <w:tcBorders>
                    <w:tl2br w:val="nil"/>
                    <w:tr2bl w:val="nil"/>
                  </w:tcBorders>
                  <w:noWrap w:val="0"/>
                  <w:vAlign w:val="center"/>
                </w:tcPr>
                <w:p w14:paraId="276B3EB6">
                  <w:pPr>
                    <w:topLinePunct/>
                    <w:adjustRightInd w:val="0"/>
                    <w:snapToGrid w:val="0"/>
                    <w:spacing w:line="240" w:lineRule="auto"/>
                    <w:jc w:val="center"/>
                    <w:rPr>
                      <w:rFonts w:hint="eastAsia" w:ascii="Times New Roman" w:hAnsi="Times New Roman" w:eastAsia="宋体" w:cs="Times New Roman"/>
                      <w:b/>
                      <w:color w:val="auto"/>
                      <w:kern w:val="0"/>
                      <w:sz w:val="21"/>
                      <w:szCs w:val="21"/>
                      <w:highlight w:val="none"/>
                      <w:lang w:val="en-US" w:eastAsia="zh-CN"/>
                    </w:rPr>
                  </w:pPr>
                  <w:r>
                    <w:rPr>
                      <w:rFonts w:hint="eastAsia" w:ascii="Times New Roman" w:hAnsi="Times New Roman" w:eastAsia="宋体" w:cs="Times New Roman"/>
                      <w:b/>
                      <w:color w:val="auto"/>
                      <w:kern w:val="0"/>
                      <w:sz w:val="21"/>
                      <w:szCs w:val="21"/>
                      <w:highlight w:val="none"/>
                      <w:lang w:val="en-US" w:eastAsia="zh-CN"/>
                    </w:rPr>
                    <w:t>废物代码</w:t>
                  </w:r>
                </w:p>
              </w:tc>
              <w:tc>
                <w:tcPr>
                  <w:tcW w:w="1981" w:type="pct"/>
                  <w:tcBorders>
                    <w:tl2br w:val="nil"/>
                    <w:tr2bl w:val="nil"/>
                  </w:tcBorders>
                  <w:noWrap w:val="0"/>
                  <w:vAlign w:val="center"/>
                </w:tcPr>
                <w:p w14:paraId="219D3C79">
                  <w:pPr>
                    <w:topLinePunct/>
                    <w:adjustRightInd w:val="0"/>
                    <w:snapToGrid w:val="0"/>
                    <w:spacing w:line="240" w:lineRule="auto"/>
                    <w:jc w:val="center"/>
                    <w:rPr>
                      <w:rFonts w:hint="eastAsia" w:ascii="Times New Roman" w:hAnsi="Times New Roman" w:eastAsia="宋体" w:cs="Times New Roman"/>
                      <w:b/>
                      <w:color w:val="auto"/>
                      <w:kern w:val="0"/>
                      <w:sz w:val="21"/>
                      <w:szCs w:val="21"/>
                      <w:highlight w:val="none"/>
                      <w:lang w:val="en-US" w:eastAsia="zh-CN"/>
                    </w:rPr>
                  </w:pPr>
                  <w:r>
                    <w:rPr>
                      <w:rFonts w:hint="eastAsia" w:ascii="Times New Roman" w:hAnsi="Times New Roman" w:eastAsia="宋体" w:cs="Times New Roman"/>
                      <w:b/>
                      <w:color w:val="auto"/>
                      <w:kern w:val="0"/>
                      <w:sz w:val="21"/>
                      <w:szCs w:val="21"/>
                      <w:highlight w:val="none"/>
                      <w:lang w:val="en-US" w:eastAsia="zh-CN"/>
                    </w:rPr>
                    <w:t>危险废物</w:t>
                  </w:r>
                </w:p>
              </w:tc>
              <w:tc>
                <w:tcPr>
                  <w:tcW w:w="414" w:type="pct"/>
                  <w:tcBorders>
                    <w:tl2br w:val="nil"/>
                    <w:tr2bl w:val="nil"/>
                  </w:tcBorders>
                  <w:noWrap w:val="0"/>
                  <w:vAlign w:val="center"/>
                </w:tcPr>
                <w:p w14:paraId="6FAECF0D">
                  <w:pPr>
                    <w:topLinePunct/>
                    <w:adjustRightInd w:val="0"/>
                    <w:snapToGrid w:val="0"/>
                    <w:spacing w:line="240" w:lineRule="auto"/>
                    <w:jc w:val="center"/>
                    <w:rPr>
                      <w:rFonts w:hint="eastAsia" w:ascii="Times New Roman" w:hAnsi="Times New Roman" w:eastAsia="宋体" w:cs="Times New Roman"/>
                      <w:b/>
                      <w:color w:val="auto"/>
                      <w:kern w:val="0"/>
                      <w:sz w:val="21"/>
                      <w:szCs w:val="21"/>
                      <w:highlight w:val="none"/>
                      <w:lang w:val="en-US" w:eastAsia="zh-CN"/>
                    </w:rPr>
                  </w:pPr>
                  <w:r>
                    <w:rPr>
                      <w:rFonts w:hint="eastAsia" w:ascii="Times New Roman" w:hAnsi="Times New Roman" w:eastAsia="宋体" w:cs="Times New Roman"/>
                      <w:b/>
                      <w:color w:val="auto"/>
                      <w:kern w:val="0"/>
                      <w:sz w:val="21"/>
                      <w:szCs w:val="21"/>
                      <w:highlight w:val="none"/>
                      <w:lang w:val="en-US" w:eastAsia="zh-CN"/>
                    </w:rPr>
                    <w:t>危险特性</w:t>
                  </w:r>
                </w:p>
              </w:tc>
            </w:tr>
            <w:tr w14:paraId="1FD722F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0" w:type="pct"/>
                  <w:tcBorders>
                    <w:tl2br w:val="nil"/>
                    <w:tr2bl w:val="nil"/>
                  </w:tcBorders>
                  <w:noWrap w:val="0"/>
                  <w:vAlign w:val="center"/>
                </w:tcPr>
                <w:p w14:paraId="269D5AC2">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1</w:t>
                  </w:r>
                </w:p>
              </w:tc>
              <w:tc>
                <w:tcPr>
                  <w:tcW w:w="651" w:type="pct"/>
                  <w:tcBorders>
                    <w:tl2br w:val="nil"/>
                    <w:tr2bl w:val="nil"/>
                  </w:tcBorders>
                  <w:noWrap w:val="0"/>
                  <w:vAlign w:val="center"/>
                </w:tcPr>
                <w:p w14:paraId="28F03C98">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废机油</w:t>
                  </w:r>
                </w:p>
              </w:tc>
              <w:tc>
                <w:tcPr>
                  <w:tcW w:w="824" w:type="pct"/>
                  <w:tcBorders>
                    <w:tl2br w:val="nil"/>
                    <w:tr2bl w:val="nil"/>
                  </w:tcBorders>
                  <w:noWrap w:val="0"/>
                  <w:vAlign w:val="center"/>
                </w:tcPr>
                <w:p w14:paraId="342B1E09">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HW08废矿物油与含矿物油废物</w:t>
                  </w:r>
                </w:p>
              </w:tc>
              <w:tc>
                <w:tcPr>
                  <w:tcW w:w="400" w:type="pct"/>
                  <w:tcBorders>
                    <w:tl2br w:val="nil"/>
                    <w:tr2bl w:val="nil"/>
                  </w:tcBorders>
                  <w:noWrap w:val="0"/>
                  <w:vAlign w:val="center"/>
                </w:tcPr>
                <w:p w14:paraId="286EF037">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非特定行业</w:t>
                  </w:r>
                </w:p>
              </w:tc>
              <w:tc>
                <w:tcPr>
                  <w:tcW w:w="488" w:type="pct"/>
                  <w:tcBorders>
                    <w:tl2br w:val="nil"/>
                    <w:tr2bl w:val="nil"/>
                  </w:tcBorders>
                  <w:noWrap w:val="0"/>
                  <w:vAlign w:val="center"/>
                </w:tcPr>
                <w:p w14:paraId="0119B547">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900-249-08</w:t>
                  </w:r>
                </w:p>
              </w:tc>
              <w:tc>
                <w:tcPr>
                  <w:tcW w:w="1981" w:type="pct"/>
                  <w:tcBorders>
                    <w:tl2br w:val="nil"/>
                    <w:tr2bl w:val="nil"/>
                  </w:tcBorders>
                  <w:noWrap w:val="0"/>
                  <w:vAlign w:val="center"/>
                </w:tcPr>
                <w:p w14:paraId="348A9465">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其他生产、销售、使用过程中产生的废矿物油及沾染矿物油的废弃包装物</w:t>
                  </w:r>
                </w:p>
              </w:tc>
              <w:tc>
                <w:tcPr>
                  <w:tcW w:w="414" w:type="pct"/>
                  <w:tcBorders>
                    <w:tl2br w:val="nil"/>
                    <w:tr2bl w:val="nil"/>
                  </w:tcBorders>
                  <w:noWrap w:val="0"/>
                  <w:vAlign w:val="center"/>
                </w:tcPr>
                <w:p w14:paraId="2E6C1BCC">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T</w:t>
                  </w:r>
                  <w:r>
                    <w:rPr>
                      <w:rFonts w:hint="eastAsia" w:cs="Times New Roman"/>
                      <w:b w:val="0"/>
                      <w:bCs/>
                      <w:color w:val="auto"/>
                      <w:kern w:val="0"/>
                      <w:sz w:val="21"/>
                      <w:szCs w:val="21"/>
                      <w:highlight w:val="none"/>
                      <w:lang w:val="en-US" w:eastAsia="zh-CN"/>
                    </w:rPr>
                    <w:t xml:space="preserve">, </w:t>
                  </w:r>
                  <w:r>
                    <w:rPr>
                      <w:rFonts w:hint="eastAsia" w:ascii="Times New Roman" w:hAnsi="Times New Roman" w:eastAsia="宋体" w:cs="Times New Roman"/>
                      <w:b w:val="0"/>
                      <w:bCs/>
                      <w:color w:val="auto"/>
                      <w:kern w:val="0"/>
                      <w:sz w:val="21"/>
                      <w:szCs w:val="21"/>
                      <w:highlight w:val="none"/>
                      <w:lang w:val="en-US" w:eastAsia="zh-CN"/>
                    </w:rPr>
                    <w:t>I</w:t>
                  </w:r>
                </w:p>
              </w:tc>
            </w:tr>
            <w:tr w14:paraId="4A526D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0" w:type="pct"/>
                  <w:tcBorders>
                    <w:tl2br w:val="nil"/>
                    <w:tr2bl w:val="nil"/>
                  </w:tcBorders>
                  <w:noWrap w:val="0"/>
                  <w:vAlign w:val="center"/>
                </w:tcPr>
                <w:p w14:paraId="290D305A">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2</w:t>
                  </w:r>
                </w:p>
              </w:tc>
              <w:tc>
                <w:tcPr>
                  <w:tcW w:w="651" w:type="pct"/>
                  <w:tcBorders>
                    <w:tl2br w:val="nil"/>
                    <w:tr2bl w:val="nil"/>
                  </w:tcBorders>
                  <w:noWrap w:val="0"/>
                  <w:vAlign w:val="center"/>
                </w:tcPr>
                <w:p w14:paraId="73B5AAE6">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废活性炭</w:t>
                  </w:r>
                </w:p>
              </w:tc>
              <w:tc>
                <w:tcPr>
                  <w:tcW w:w="824" w:type="pct"/>
                  <w:tcBorders>
                    <w:tl2br w:val="nil"/>
                    <w:tr2bl w:val="nil"/>
                  </w:tcBorders>
                  <w:noWrap w:val="0"/>
                  <w:vAlign w:val="center"/>
                </w:tcPr>
                <w:p w14:paraId="5F5341B8">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HW49其他废物</w:t>
                  </w:r>
                </w:p>
              </w:tc>
              <w:tc>
                <w:tcPr>
                  <w:tcW w:w="400" w:type="pct"/>
                  <w:tcBorders>
                    <w:tl2br w:val="nil"/>
                    <w:tr2bl w:val="nil"/>
                  </w:tcBorders>
                  <w:noWrap w:val="0"/>
                  <w:vAlign w:val="center"/>
                </w:tcPr>
                <w:p w14:paraId="2D861F09">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非特定行业</w:t>
                  </w:r>
                </w:p>
              </w:tc>
              <w:tc>
                <w:tcPr>
                  <w:tcW w:w="488" w:type="pct"/>
                  <w:tcBorders>
                    <w:tl2br w:val="nil"/>
                    <w:tr2bl w:val="nil"/>
                  </w:tcBorders>
                  <w:noWrap w:val="0"/>
                  <w:vAlign w:val="center"/>
                </w:tcPr>
                <w:p w14:paraId="4B719BCA">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900-039-49</w:t>
                  </w:r>
                </w:p>
              </w:tc>
              <w:tc>
                <w:tcPr>
                  <w:tcW w:w="1981" w:type="pct"/>
                  <w:tcBorders>
                    <w:tl2br w:val="nil"/>
                    <w:tr2bl w:val="nil"/>
                  </w:tcBorders>
                  <w:noWrap w:val="0"/>
                  <w:vAlign w:val="center"/>
                </w:tcPr>
                <w:p w14:paraId="5EC1020F">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烟气、VOCs治理过程（不包括餐饮行业油烟治理过程）产生的废活性炭，化学原料和化学制品脱色（不包括有机合成食品添加剂脱色）、除杂、净化过程产生的废活性炭（不包括900-405-06、772-005-18、261-053-29、265-002-29、384-003-29、387-001-29类废物）</w:t>
                  </w:r>
                </w:p>
              </w:tc>
              <w:tc>
                <w:tcPr>
                  <w:tcW w:w="414" w:type="pct"/>
                  <w:tcBorders>
                    <w:tl2br w:val="nil"/>
                    <w:tr2bl w:val="nil"/>
                  </w:tcBorders>
                  <w:noWrap w:val="0"/>
                  <w:vAlign w:val="center"/>
                </w:tcPr>
                <w:p w14:paraId="1BFB3846">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T</w:t>
                  </w:r>
                </w:p>
              </w:tc>
            </w:tr>
            <w:tr w14:paraId="05D5D7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0" w:type="pct"/>
                  <w:tcBorders>
                    <w:tl2br w:val="nil"/>
                    <w:tr2bl w:val="nil"/>
                  </w:tcBorders>
                  <w:noWrap w:val="0"/>
                  <w:vAlign w:val="center"/>
                </w:tcPr>
                <w:p w14:paraId="6D0C621E">
                  <w:pPr>
                    <w:topLinePunct/>
                    <w:adjustRightInd w:val="0"/>
                    <w:snapToGrid w:val="0"/>
                    <w:spacing w:line="240" w:lineRule="auto"/>
                    <w:jc w:val="center"/>
                    <w:rPr>
                      <w:rFonts w:hint="default" w:ascii="Times New Roman" w:hAnsi="Times New Roman" w:eastAsia="宋体"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3</w:t>
                  </w:r>
                </w:p>
              </w:tc>
              <w:tc>
                <w:tcPr>
                  <w:tcW w:w="651" w:type="pct"/>
                  <w:tcBorders>
                    <w:tl2br w:val="nil"/>
                    <w:tr2bl w:val="nil"/>
                  </w:tcBorders>
                  <w:shd w:val="clear"/>
                  <w:noWrap w:val="0"/>
                  <w:vAlign w:val="center"/>
                </w:tcPr>
                <w:p w14:paraId="5FBC8858">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废切削液</w:t>
                  </w:r>
                </w:p>
              </w:tc>
              <w:tc>
                <w:tcPr>
                  <w:tcW w:w="824" w:type="pct"/>
                  <w:tcBorders>
                    <w:tl2br w:val="nil"/>
                    <w:tr2bl w:val="nil"/>
                  </w:tcBorders>
                  <w:noWrap w:val="0"/>
                  <w:vAlign w:val="center"/>
                </w:tcPr>
                <w:p w14:paraId="2CE59812">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HW09油/水、烃/水混合物或者乳化液</w:t>
                  </w:r>
                </w:p>
              </w:tc>
              <w:tc>
                <w:tcPr>
                  <w:tcW w:w="400" w:type="pct"/>
                  <w:tcBorders>
                    <w:tl2br w:val="nil"/>
                    <w:tr2bl w:val="nil"/>
                  </w:tcBorders>
                  <w:noWrap w:val="0"/>
                  <w:vAlign w:val="center"/>
                </w:tcPr>
                <w:p w14:paraId="4D1EEA35">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非特定行业</w:t>
                  </w:r>
                </w:p>
              </w:tc>
              <w:tc>
                <w:tcPr>
                  <w:tcW w:w="488" w:type="pct"/>
                  <w:tcBorders>
                    <w:tl2br w:val="nil"/>
                    <w:tr2bl w:val="nil"/>
                  </w:tcBorders>
                  <w:noWrap w:val="0"/>
                  <w:vAlign w:val="center"/>
                </w:tcPr>
                <w:p w14:paraId="2D265F52">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900-006-09</w:t>
                  </w:r>
                </w:p>
              </w:tc>
              <w:tc>
                <w:tcPr>
                  <w:tcW w:w="1981" w:type="pct"/>
                  <w:tcBorders>
                    <w:tl2br w:val="nil"/>
                    <w:tr2bl w:val="nil"/>
                  </w:tcBorders>
                  <w:noWrap w:val="0"/>
                  <w:vAlign w:val="center"/>
                </w:tcPr>
                <w:p w14:paraId="254B6BDA">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使用切削油或者切削液进行机械加工过程中产生的油/水、烃/水混合物或者乳化液</w:t>
                  </w:r>
                </w:p>
              </w:tc>
              <w:tc>
                <w:tcPr>
                  <w:tcW w:w="414" w:type="pct"/>
                  <w:tcBorders>
                    <w:tl2br w:val="nil"/>
                    <w:tr2bl w:val="nil"/>
                  </w:tcBorders>
                  <w:noWrap w:val="0"/>
                  <w:vAlign w:val="center"/>
                </w:tcPr>
                <w:p w14:paraId="3DE06400">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T</w:t>
                  </w:r>
                </w:p>
              </w:tc>
            </w:tr>
          </w:tbl>
          <w:p w14:paraId="4852709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olor w:val="FF0000"/>
                <w:sz w:val="18"/>
                <w:szCs w:val="18"/>
                <w:highlight w:val="none"/>
                <w:lang w:val="en-US" w:eastAsia="zh-CN"/>
              </w:rPr>
            </w:pPr>
          </w:p>
          <w:p w14:paraId="1E95A0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叶根友毛笔行书2.0版"/>
                <w:color w:val="auto"/>
                <w:sz w:val="24"/>
                <w:szCs w:val="24"/>
                <w:highlight w:val="none"/>
                <w:lang w:eastAsia="zh-CN"/>
              </w:rPr>
            </w:pPr>
            <w:r>
              <w:rPr>
                <w:rFonts w:hint="eastAsia" w:ascii="Times New Roman" w:hAnsi="Times New Roman" w:eastAsia="宋体" w:cs="叶根友毛笔行书2.0版"/>
                <w:color w:val="auto"/>
                <w:sz w:val="24"/>
                <w:szCs w:val="24"/>
                <w:highlight w:val="none"/>
                <w:lang w:eastAsia="zh-CN"/>
              </w:rPr>
              <w:t>环评要求，项目</w:t>
            </w:r>
            <w:r>
              <w:rPr>
                <w:rFonts w:hint="eastAsia" w:ascii="Times New Roman" w:hAnsi="Times New Roman" w:eastAsia="宋体" w:cs="叶根友毛笔行书2.0版"/>
                <w:color w:val="auto"/>
                <w:sz w:val="24"/>
                <w:szCs w:val="24"/>
                <w:highlight w:val="none"/>
                <w:lang w:val="en-US" w:eastAsia="zh-CN"/>
              </w:rPr>
              <w:t>危废产生、</w:t>
            </w:r>
            <w:r>
              <w:rPr>
                <w:rFonts w:hint="eastAsia" w:ascii="Times New Roman" w:hAnsi="Times New Roman" w:eastAsia="宋体" w:cs="叶根友毛笔行书2.0版"/>
                <w:color w:val="auto"/>
                <w:sz w:val="24"/>
                <w:szCs w:val="24"/>
                <w:highlight w:val="none"/>
                <w:lang w:eastAsia="zh-CN"/>
              </w:rPr>
              <w:t>经集中收集后，暂存在项目危废暂存间内，定期交由具有相应资质的处理单位进行处置。</w:t>
            </w:r>
          </w:p>
          <w:p w14:paraId="0A2C50F6">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default" w:ascii="Times New Roman" w:hAnsi="Times New Roman" w:eastAsia="宋体" w:cs="Times New Roman"/>
                <w:b/>
                <w:bCs/>
                <w:color w:val="auto"/>
                <w:kern w:val="2"/>
                <w:sz w:val="24"/>
                <w:szCs w:val="24"/>
                <w:lang w:val="en-US" w:eastAsia="zh-CN"/>
              </w:rPr>
              <w:t>表</w:t>
            </w:r>
            <w:r>
              <w:rPr>
                <w:rFonts w:hint="eastAsia" w:ascii="Times New Roman" w:hAnsi="Times New Roman" w:eastAsia="宋体" w:cs="Times New Roman"/>
                <w:b/>
                <w:bCs/>
                <w:color w:val="auto"/>
                <w:kern w:val="2"/>
                <w:sz w:val="24"/>
                <w:szCs w:val="24"/>
                <w:lang w:val="en-US" w:eastAsia="zh-CN"/>
              </w:rPr>
              <w:t>4-18</w:t>
            </w:r>
            <w:r>
              <w:rPr>
                <w:rFonts w:hint="default" w:ascii="Times New Roman" w:hAnsi="Times New Roman" w:eastAsia="宋体" w:cs="Times New Roman"/>
                <w:b/>
                <w:bCs/>
                <w:color w:val="auto"/>
                <w:kern w:val="2"/>
                <w:sz w:val="24"/>
                <w:szCs w:val="24"/>
                <w:lang w:val="en-US" w:eastAsia="zh-CN"/>
              </w:rPr>
              <w:t xml:space="preserve">  危险废物汇总表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426"/>
              <w:gridCol w:w="668"/>
              <w:gridCol w:w="799"/>
              <w:gridCol w:w="1196"/>
              <w:gridCol w:w="766"/>
              <w:gridCol w:w="853"/>
              <w:gridCol w:w="427"/>
              <w:gridCol w:w="899"/>
              <w:gridCol w:w="427"/>
              <w:gridCol w:w="441"/>
              <w:gridCol w:w="579"/>
              <w:gridCol w:w="714"/>
            </w:tblGrid>
            <w:tr w14:paraId="1EE5FA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59" w:type="pct"/>
                  <w:tcBorders>
                    <w:tl2br w:val="nil"/>
                    <w:tr2bl w:val="nil"/>
                  </w:tcBorders>
                  <w:noWrap w:val="0"/>
                  <w:vAlign w:val="center"/>
                </w:tcPr>
                <w:p w14:paraId="2A0D6475">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序号</w:t>
                  </w:r>
                </w:p>
              </w:tc>
              <w:tc>
                <w:tcPr>
                  <w:tcW w:w="407" w:type="pct"/>
                  <w:tcBorders>
                    <w:tl2br w:val="nil"/>
                    <w:tr2bl w:val="nil"/>
                  </w:tcBorders>
                  <w:noWrap w:val="0"/>
                  <w:vAlign w:val="center"/>
                </w:tcPr>
                <w:p w14:paraId="5D687861">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危险废物名称</w:t>
                  </w:r>
                </w:p>
              </w:tc>
              <w:tc>
                <w:tcPr>
                  <w:tcW w:w="487" w:type="pct"/>
                  <w:tcBorders>
                    <w:tl2br w:val="nil"/>
                    <w:tr2bl w:val="nil"/>
                  </w:tcBorders>
                  <w:noWrap w:val="0"/>
                  <w:vAlign w:val="center"/>
                </w:tcPr>
                <w:p w14:paraId="2B4CE1E2">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危险废物类别</w:t>
                  </w:r>
                </w:p>
              </w:tc>
              <w:tc>
                <w:tcPr>
                  <w:tcW w:w="729" w:type="pct"/>
                  <w:tcBorders>
                    <w:tl2br w:val="nil"/>
                    <w:tr2bl w:val="nil"/>
                  </w:tcBorders>
                  <w:noWrap w:val="0"/>
                  <w:vAlign w:val="center"/>
                </w:tcPr>
                <w:p w14:paraId="4D474294">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危险废物代码</w:t>
                  </w:r>
                </w:p>
              </w:tc>
              <w:tc>
                <w:tcPr>
                  <w:tcW w:w="467" w:type="pct"/>
                  <w:tcBorders>
                    <w:tl2br w:val="nil"/>
                    <w:tr2bl w:val="nil"/>
                  </w:tcBorders>
                  <w:noWrap w:val="0"/>
                  <w:vAlign w:val="center"/>
                </w:tcPr>
                <w:p w14:paraId="46CDD490">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产生量（t/a）</w:t>
                  </w:r>
                </w:p>
              </w:tc>
              <w:tc>
                <w:tcPr>
                  <w:tcW w:w="520" w:type="pct"/>
                  <w:tcBorders>
                    <w:tl2br w:val="nil"/>
                    <w:tr2bl w:val="nil"/>
                  </w:tcBorders>
                  <w:noWrap w:val="0"/>
                  <w:vAlign w:val="center"/>
                </w:tcPr>
                <w:p w14:paraId="509F07FC">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产生工序及装置</w:t>
                  </w:r>
                </w:p>
              </w:tc>
              <w:tc>
                <w:tcPr>
                  <w:tcW w:w="260" w:type="pct"/>
                  <w:tcBorders>
                    <w:tl2br w:val="nil"/>
                    <w:tr2bl w:val="nil"/>
                  </w:tcBorders>
                  <w:noWrap w:val="0"/>
                  <w:vAlign w:val="center"/>
                </w:tcPr>
                <w:p w14:paraId="420F59CF">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形态</w:t>
                  </w:r>
                </w:p>
              </w:tc>
              <w:tc>
                <w:tcPr>
                  <w:tcW w:w="548" w:type="pct"/>
                  <w:tcBorders>
                    <w:tl2br w:val="nil"/>
                    <w:tr2bl w:val="nil"/>
                  </w:tcBorders>
                  <w:noWrap w:val="0"/>
                  <w:vAlign w:val="center"/>
                </w:tcPr>
                <w:p w14:paraId="653F7647">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主要成分</w:t>
                  </w:r>
                </w:p>
              </w:tc>
              <w:tc>
                <w:tcPr>
                  <w:tcW w:w="260" w:type="pct"/>
                  <w:tcBorders>
                    <w:tl2br w:val="nil"/>
                    <w:tr2bl w:val="nil"/>
                  </w:tcBorders>
                  <w:noWrap w:val="0"/>
                  <w:vAlign w:val="center"/>
                </w:tcPr>
                <w:p w14:paraId="23B575DA">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有害成分</w:t>
                  </w:r>
                </w:p>
              </w:tc>
              <w:tc>
                <w:tcPr>
                  <w:tcW w:w="269" w:type="pct"/>
                  <w:tcBorders>
                    <w:tl2br w:val="nil"/>
                    <w:tr2bl w:val="nil"/>
                  </w:tcBorders>
                  <w:noWrap w:val="0"/>
                  <w:vAlign w:val="center"/>
                </w:tcPr>
                <w:p w14:paraId="3D9CC04D">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产废周期</w:t>
                  </w:r>
                </w:p>
              </w:tc>
              <w:tc>
                <w:tcPr>
                  <w:tcW w:w="353" w:type="pct"/>
                  <w:tcBorders>
                    <w:tl2br w:val="nil"/>
                    <w:tr2bl w:val="nil"/>
                  </w:tcBorders>
                  <w:noWrap w:val="0"/>
                  <w:vAlign w:val="center"/>
                </w:tcPr>
                <w:p w14:paraId="1A2B845C">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危险</w:t>
                  </w:r>
                </w:p>
                <w:p w14:paraId="7D374906">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特性</w:t>
                  </w:r>
                </w:p>
              </w:tc>
              <w:tc>
                <w:tcPr>
                  <w:tcW w:w="435" w:type="pct"/>
                  <w:tcBorders>
                    <w:tl2br w:val="nil"/>
                    <w:tr2bl w:val="nil"/>
                  </w:tcBorders>
                  <w:noWrap w:val="0"/>
                  <w:vAlign w:val="center"/>
                </w:tcPr>
                <w:p w14:paraId="2CA411D7">
                  <w:pPr>
                    <w:topLinePunct/>
                    <w:adjustRightInd w:val="0"/>
                    <w:snapToGrid w:val="0"/>
                    <w:spacing w:line="240" w:lineRule="auto"/>
                    <w:jc w:val="center"/>
                    <w:rPr>
                      <w:b/>
                      <w:color w:val="auto"/>
                      <w:kern w:val="0"/>
                      <w:sz w:val="21"/>
                      <w:szCs w:val="21"/>
                      <w:highlight w:val="none"/>
                    </w:rPr>
                  </w:pPr>
                  <w:r>
                    <w:rPr>
                      <w:b/>
                      <w:color w:val="auto"/>
                      <w:kern w:val="0"/>
                      <w:sz w:val="21"/>
                      <w:szCs w:val="21"/>
                      <w:highlight w:val="none"/>
                    </w:rPr>
                    <w:t>污染防治措施</w:t>
                  </w:r>
                </w:p>
              </w:tc>
            </w:tr>
            <w:tr w14:paraId="035E5C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59" w:type="pct"/>
                  <w:tcBorders>
                    <w:tl2br w:val="nil"/>
                    <w:tr2bl w:val="nil"/>
                  </w:tcBorders>
                  <w:noWrap w:val="0"/>
                  <w:vAlign w:val="center"/>
                </w:tcPr>
                <w:p w14:paraId="10547300">
                  <w:pPr>
                    <w:topLinePunct/>
                    <w:adjustRightInd w:val="0"/>
                    <w:snapToGrid w:val="0"/>
                    <w:spacing w:line="240" w:lineRule="auto"/>
                    <w:jc w:val="center"/>
                    <w:rPr>
                      <w:rFonts w:hint="eastAsia" w:eastAsia="宋体"/>
                      <w:color w:val="auto"/>
                      <w:kern w:val="0"/>
                      <w:sz w:val="21"/>
                      <w:szCs w:val="21"/>
                      <w:highlight w:val="none"/>
                      <w:lang w:val="en-US" w:eastAsia="zh-CN" w:bidi="ar-SA"/>
                    </w:rPr>
                  </w:pPr>
                  <w:r>
                    <w:rPr>
                      <w:rFonts w:hint="eastAsia"/>
                      <w:color w:val="auto"/>
                      <w:kern w:val="0"/>
                      <w:sz w:val="21"/>
                      <w:szCs w:val="21"/>
                      <w:highlight w:val="none"/>
                      <w:lang w:val="en-US" w:eastAsia="zh-CN"/>
                    </w:rPr>
                    <w:t>1</w:t>
                  </w:r>
                </w:p>
              </w:tc>
              <w:tc>
                <w:tcPr>
                  <w:tcW w:w="407" w:type="pct"/>
                  <w:tcBorders>
                    <w:tl2br w:val="nil"/>
                    <w:tr2bl w:val="nil"/>
                  </w:tcBorders>
                  <w:noWrap w:val="0"/>
                  <w:vAlign w:val="center"/>
                </w:tcPr>
                <w:p w14:paraId="202E7CEE">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废机油</w:t>
                  </w:r>
                </w:p>
              </w:tc>
              <w:tc>
                <w:tcPr>
                  <w:tcW w:w="487" w:type="pct"/>
                  <w:tcBorders>
                    <w:tl2br w:val="nil"/>
                    <w:tr2bl w:val="nil"/>
                  </w:tcBorders>
                  <w:noWrap w:val="0"/>
                  <w:vAlign w:val="center"/>
                </w:tcPr>
                <w:p w14:paraId="4ED6A9DD">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HW08</w:t>
                  </w:r>
                </w:p>
              </w:tc>
              <w:tc>
                <w:tcPr>
                  <w:tcW w:w="729" w:type="pct"/>
                  <w:tcBorders>
                    <w:tl2br w:val="nil"/>
                    <w:tr2bl w:val="nil"/>
                  </w:tcBorders>
                  <w:noWrap w:val="0"/>
                  <w:vAlign w:val="center"/>
                </w:tcPr>
                <w:p w14:paraId="51FC8937">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900-249-08</w:t>
                  </w:r>
                </w:p>
              </w:tc>
              <w:tc>
                <w:tcPr>
                  <w:tcW w:w="467" w:type="pct"/>
                  <w:tcBorders>
                    <w:tl2br w:val="nil"/>
                    <w:tr2bl w:val="nil"/>
                  </w:tcBorders>
                  <w:noWrap w:val="0"/>
                  <w:vAlign w:val="center"/>
                </w:tcPr>
                <w:p w14:paraId="651AEC7C">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default" w:ascii="Times New Roman" w:hAnsi="Times New Roman" w:eastAsia="宋体" w:cs="Times New Roman"/>
                      <w:b w:val="0"/>
                      <w:bCs/>
                      <w:color w:val="auto"/>
                      <w:kern w:val="0"/>
                      <w:sz w:val="21"/>
                      <w:szCs w:val="21"/>
                      <w:highlight w:val="none"/>
                      <w:lang w:val="en-US" w:eastAsia="zh-CN"/>
                    </w:rPr>
                    <w:t>0.05</w:t>
                  </w:r>
                </w:p>
              </w:tc>
              <w:tc>
                <w:tcPr>
                  <w:tcW w:w="520" w:type="pct"/>
                  <w:tcBorders>
                    <w:tl2br w:val="nil"/>
                    <w:tr2bl w:val="nil"/>
                  </w:tcBorders>
                  <w:noWrap w:val="0"/>
                  <w:vAlign w:val="center"/>
                </w:tcPr>
                <w:p w14:paraId="05CAA28F">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设备维护</w:t>
                  </w:r>
                </w:p>
              </w:tc>
              <w:tc>
                <w:tcPr>
                  <w:tcW w:w="260" w:type="pct"/>
                  <w:tcBorders>
                    <w:tl2br w:val="nil"/>
                    <w:tr2bl w:val="nil"/>
                  </w:tcBorders>
                  <w:noWrap w:val="0"/>
                  <w:vAlign w:val="center"/>
                </w:tcPr>
                <w:p w14:paraId="36002059">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半固</w:t>
                  </w:r>
                </w:p>
              </w:tc>
              <w:tc>
                <w:tcPr>
                  <w:tcW w:w="548" w:type="pct"/>
                  <w:tcBorders>
                    <w:tl2br w:val="nil"/>
                    <w:tr2bl w:val="nil"/>
                  </w:tcBorders>
                  <w:noWrap w:val="0"/>
                  <w:vAlign w:val="center"/>
                </w:tcPr>
                <w:p w14:paraId="726A28DD">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机油</w:t>
                  </w:r>
                </w:p>
              </w:tc>
              <w:tc>
                <w:tcPr>
                  <w:tcW w:w="260" w:type="pct"/>
                  <w:tcBorders>
                    <w:tl2br w:val="nil"/>
                    <w:tr2bl w:val="nil"/>
                  </w:tcBorders>
                  <w:noWrap w:val="0"/>
                  <w:vAlign w:val="center"/>
                </w:tcPr>
                <w:p w14:paraId="042D5DD6">
                  <w:pPr>
                    <w:topLinePunct/>
                    <w:adjustRightInd w:val="0"/>
                    <w:snapToGrid w:val="0"/>
                    <w:spacing w:line="240" w:lineRule="auto"/>
                    <w:jc w:val="center"/>
                    <w:rPr>
                      <w:rFonts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机油</w:t>
                  </w:r>
                </w:p>
              </w:tc>
              <w:tc>
                <w:tcPr>
                  <w:tcW w:w="269" w:type="pct"/>
                  <w:tcBorders>
                    <w:tl2br w:val="nil"/>
                    <w:tr2bl w:val="nil"/>
                  </w:tcBorders>
                  <w:noWrap w:val="0"/>
                  <w:vAlign w:val="center"/>
                </w:tcPr>
                <w:p w14:paraId="2460250F">
                  <w:pPr>
                    <w:topLinePunct/>
                    <w:adjustRightInd w:val="0"/>
                    <w:snapToGrid w:val="0"/>
                    <w:spacing w:line="240" w:lineRule="auto"/>
                    <w:jc w:val="center"/>
                    <w:rPr>
                      <w:rFonts w:hint="default"/>
                      <w:color w:val="auto"/>
                      <w:kern w:val="0"/>
                      <w:sz w:val="21"/>
                      <w:szCs w:val="21"/>
                      <w:highlight w:val="none"/>
                      <w:lang w:val="en-US" w:eastAsia="zh-CN" w:bidi="ar-SA"/>
                    </w:rPr>
                  </w:pPr>
                  <w:r>
                    <w:rPr>
                      <w:rFonts w:hint="eastAsia"/>
                      <w:color w:val="auto"/>
                      <w:kern w:val="0"/>
                      <w:sz w:val="21"/>
                      <w:szCs w:val="21"/>
                      <w:highlight w:val="none"/>
                      <w:lang w:val="en-US" w:eastAsia="zh-CN" w:bidi="ar-SA"/>
                    </w:rPr>
                    <w:t>一年</w:t>
                  </w:r>
                </w:p>
              </w:tc>
              <w:tc>
                <w:tcPr>
                  <w:tcW w:w="353" w:type="pct"/>
                  <w:tcBorders>
                    <w:tl2br w:val="nil"/>
                    <w:tr2bl w:val="nil"/>
                  </w:tcBorders>
                  <w:noWrap w:val="0"/>
                  <w:vAlign w:val="center"/>
                </w:tcPr>
                <w:p w14:paraId="6B24CB37">
                  <w:pPr>
                    <w:topLinePunct/>
                    <w:adjustRightInd w:val="0"/>
                    <w:snapToGrid w:val="0"/>
                    <w:spacing w:line="240" w:lineRule="auto"/>
                    <w:jc w:val="center"/>
                    <w:rPr>
                      <w:color w:val="auto"/>
                      <w:kern w:val="0"/>
                      <w:sz w:val="21"/>
                      <w:szCs w:val="21"/>
                      <w:highlight w:val="none"/>
                    </w:rPr>
                  </w:pPr>
                  <w:r>
                    <w:rPr>
                      <w:rFonts w:hint="eastAsia" w:ascii="Times New Roman" w:hAnsi="Times New Roman" w:eastAsia="宋体" w:cs="Times New Roman"/>
                      <w:b w:val="0"/>
                      <w:bCs/>
                      <w:color w:val="auto"/>
                      <w:kern w:val="0"/>
                      <w:sz w:val="21"/>
                      <w:szCs w:val="21"/>
                      <w:highlight w:val="none"/>
                      <w:lang w:val="en-US" w:eastAsia="zh-CN"/>
                    </w:rPr>
                    <w:t>T</w:t>
                  </w:r>
                  <w:r>
                    <w:rPr>
                      <w:rFonts w:hint="eastAsia" w:cs="Times New Roman"/>
                      <w:b w:val="0"/>
                      <w:bCs/>
                      <w:color w:val="auto"/>
                      <w:kern w:val="0"/>
                      <w:sz w:val="21"/>
                      <w:szCs w:val="21"/>
                      <w:highlight w:val="none"/>
                      <w:lang w:val="en-US" w:eastAsia="zh-CN"/>
                    </w:rPr>
                    <w:t xml:space="preserve">, </w:t>
                  </w:r>
                  <w:r>
                    <w:rPr>
                      <w:rFonts w:hint="eastAsia" w:ascii="Times New Roman" w:hAnsi="Times New Roman" w:eastAsia="宋体" w:cs="Times New Roman"/>
                      <w:b w:val="0"/>
                      <w:bCs/>
                      <w:color w:val="auto"/>
                      <w:kern w:val="0"/>
                      <w:sz w:val="21"/>
                      <w:szCs w:val="21"/>
                      <w:highlight w:val="none"/>
                      <w:lang w:val="en-US" w:eastAsia="zh-CN"/>
                    </w:rPr>
                    <w:t>I</w:t>
                  </w:r>
                </w:p>
              </w:tc>
              <w:tc>
                <w:tcPr>
                  <w:tcW w:w="435" w:type="pct"/>
                  <w:vMerge w:val="restart"/>
                  <w:tcBorders>
                    <w:tl2br w:val="nil"/>
                    <w:tr2bl w:val="nil"/>
                  </w:tcBorders>
                  <w:noWrap w:val="0"/>
                  <w:vAlign w:val="center"/>
                </w:tcPr>
                <w:p w14:paraId="6FAC5521">
                  <w:pPr>
                    <w:topLinePunct/>
                    <w:adjustRightInd w:val="0"/>
                    <w:snapToGrid w:val="0"/>
                    <w:jc w:val="center"/>
                    <w:rPr>
                      <w:color w:val="auto"/>
                      <w:kern w:val="0"/>
                      <w:sz w:val="21"/>
                      <w:szCs w:val="21"/>
                      <w:highlight w:val="none"/>
                    </w:rPr>
                  </w:pPr>
                  <w:r>
                    <w:rPr>
                      <w:rFonts w:hint="default" w:ascii="Times New Roman" w:hAnsi="Times New Roman" w:eastAsia="宋体" w:cs="Times New Roman"/>
                      <w:color w:val="auto"/>
                      <w:sz w:val="21"/>
                      <w:szCs w:val="21"/>
                      <w:highlight w:val="none"/>
                    </w:rPr>
                    <w:t>委托有资质单位处置</w:t>
                  </w:r>
                </w:p>
              </w:tc>
            </w:tr>
            <w:tr w14:paraId="5C44E87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59" w:type="pct"/>
                  <w:tcBorders>
                    <w:tl2br w:val="nil"/>
                    <w:tr2bl w:val="nil"/>
                  </w:tcBorders>
                  <w:noWrap w:val="0"/>
                  <w:vAlign w:val="center"/>
                </w:tcPr>
                <w:p w14:paraId="46A56F6E">
                  <w:pPr>
                    <w:topLinePunct/>
                    <w:adjustRightInd w:val="0"/>
                    <w:snapToGrid w:val="0"/>
                    <w:spacing w:line="240" w:lineRule="auto"/>
                    <w:jc w:val="center"/>
                    <w:rPr>
                      <w:rFonts w:hint="eastAsia"/>
                      <w:color w:val="auto"/>
                      <w:kern w:val="0"/>
                      <w:sz w:val="21"/>
                      <w:szCs w:val="21"/>
                      <w:highlight w:val="none"/>
                      <w:lang w:val="en-US" w:eastAsia="zh-CN" w:bidi="ar-SA"/>
                    </w:rPr>
                  </w:pPr>
                  <w:r>
                    <w:rPr>
                      <w:rFonts w:hint="eastAsia"/>
                      <w:color w:val="auto"/>
                      <w:kern w:val="0"/>
                      <w:sz w:val="21"/>
                      <w:szCs w:val="21"/>
                      <w:highlight w:val="none"/>
                      <w:lang w:val="en-US" w:eastAsia="zh-CN"/>
                    </w:rPr>
                    <w:t>2</w:t>
                  </w:r>
                </w:p>
              </w:tc>
              <w:tc>
                <w:tcPr>
                  <w:tcW w:w="407" w:type="pct"/>
                  <w:tcBorders>
                    <w:tl2br w:val="nil"/>
                    <w:tr2bl w:val="nil"/>
                  </w:tcBorders>
                  <w:noWrap w:val="0"/>
                  <w:vAlign w:val="center"/>
                </w:tcPr>
                <w:p w14:paraId="1495EA0D">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废活性炭</w:t>
                  </w:r>
                </w:p>
              </w:tc>
              <w:tc>
                <w:tcPr>
                  <w:tcW w:w="487" w:type="pct"/>
                  <w:tcBorders>
                    <w:tl2br w:val="nil"/>
                    <w:tr2bl w:val="nil"/>
                  </w:tcBorders>
                  <w:noWrap w:val="0"/>
                  <w:vAlign w:val="center"/>
                </w:tcPr>
                <w:p w14:paraId="5BF906DC">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HW49</w:t>
                  </w:r>
                </w:p>
              </w:tc>
              <w:tc>
                <w:tcPr>
                  <w:tcW w:w="729" w:type="pct"/>
                  <w:tcBorders>
                    <w:tl2br w:val="nil"/>
                    <w:tr2bl w:val="nil"/>
                  </w:tcBorders>
                  <w:noWrap w:val="0"/>
                  <w:vAlign w:val="center"/>
                </w:tcPr>
                <w:p w14:paraId="683FC890">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900-039-49</w:t>
                  </w:r>
                </w:p>
              </w:tc>
              <w:tc>
                <w:tcPr>
                  <w:tcW w:w="467" w:type="pct"/>
                  <w:tcBorders>
                    <w:tl2br w:val="nil"/>
                    <w:tr2bl w:val="nil"/>
                  </w:tcBorders>
                  <w:noWrap w:val="0"/>
                  <w:vAlign w:val="center"/>
                </w:tcPr>
                <w:p w14:paraId="7FA1B2B5">
                  <w:pPr>
                    <w:topLinePunct/>
                    <w:adjustRightInd w:val="0"/>
                    <w:snapToGrid w:val="0"/>
                    <w:spacing w:line="240" w:lineRule="auto"/>
                    <w:jc w:val="center"/>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b w:val="0"/>
                      <w:bCs/>
                      <w:color w:val="auto"/>
                      <w:kern w:val="0"/>
                      <w:sz w:val="21"/>
                      <w:szCs w:val="21"/>
                      <w:highlight w:val="none"/>
                      <w:lang w:val="en-US" w:eastAsia="zh-CN"/>
                    </w:rPr>
                    <w:t>13.592</w:t>
                  </w:r>
                </w:p>
              </w:tc>
              <w:tc>
                <w:tcPr>
                  <w:tcW w:w="520" w:type="pct"/>
                  <w:tcBorders>
                    <w:tl2br w:val="nil"/>
                    <w:tr2bl w:val="nil"/>
                  </w:tcBorders>
                  <w:noWrap w:val="0"/>
                  <w:vAlign w:val="center"/>
                </w:tcPr>
                <w:p w14:paraId="0D37DA3F">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废气治理</w:t>
                  </w:r>
                </w:p>
              </w:tc>
              <w:tc>
                <w:tcPr>
                  <w:tcW w:w="260" w:type="pct"/>
                  <w:tcBorders>
                    <w:tl2br w:val="nil"/>
                    <w:tr2bl w:val="nil"/>
                  </w:tcBorders>
                  <w:noWrap w:val="0"/>
                  <w:vAlign w:val="center"/>
                </w:tcPr>
                <w:p w14:paraId="5519CD32">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固</w:t>
                  </w:r>
                </w:p>
              </w:tc>
              <w:tc>
                <w:tcPr>
                  <w:tcW w:w="548" w:type="pct"/>
                  <w:tcBorders>
                    <w:tl2br w:val="nil"/>
                    <w:tr2bl w:val="nil"/>
                  </w:tcBorders>
                  <w:noWrap w:val="0"/>
                  <w:vAlign w:val="center"/>
                </w:tcPr>
                <w:p w14:paraId="38D20CE8">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活性炭、有机物</w:t>
                  </w:r>
                </w:p>
              </w:tc>
              <w:tc>
                <w:tcPr>
                  <w:tcW w:w="260" w:type="pct"/>
                  <w:tcBorders>
                    <w:tl2br w:val="nil"/>
                    <w:tr2bl w:val="nil"/>
                  </w:tcBorders>
                  <w:noWrap w:val="0"/>
                  <w:vAlign w:val="center"/>
                </w:tcPr>
                <w:p w14:paraId="07337F87">
                  <w:pPr>
                    <w:topLinePunct/>
                    <w:adjustRightInd w:val="0"/>
                    <w:snapToGrid w:val="0"/>
                    <w:spacing w:line="240" w:lineRule="auto"/>
                    <w:jc w:val="center"/>
                    <w:rPr>
                      <w:rFonts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有机物</w:t>
                  </w:r>
                </w:p>
              </w:tc>
              <w:tc>
                <w:tcPr>
                  <w:tcW w:w="269" w:type="pct"/>
                  <w:tcBorders>
                    <w:tl2br w:val="nil"/>
                    <w:tr2bl w:val="nil"/>
                  </w:tcBorders>
                  <w:noWrap w:val="0"/>
                  <w:vAlign w:val="center"/>
                </w:tcPr>
                <w:p w14:paraId="776AA03B">
                  <w:pPr>
                    <w:topLinePunct/>
                    <w:adjustRightInd w:val="0"/>
                    <w:snapToGrid w:val="0"/>
                    <w:spacing w:line="240" w:lineRule="auto"/>
                    <w:jc w:val="center"/>
                    <w:rPr>
                      <w:rFonts w:hint="default"/>
                      <w:color w:val="auto"/>
                      <w:kern w:val="0"/>
                      <w:sz w:val="21"/>
                      <w:szCs w:val="21"/>
                      <w:highlight w:val="none"/>
                      <w:lang w:val="en-US" w:eastAsia="zh-CN" w:bidi="ar-SA"/>
                    </w:rPr>
                  </w:pPr>
                  <w:r>
                    <w:rPr>
                      <w:rFonts w:hint="eastAsia"/>
                      <w:color w:val="auto"/>
                      <w:kern w:val="0"/>
                      <w:sz w:val="21"/>
                      <w:szCs w:val="21"/>
                      <w:highlight w:val="none"/>
                      <w:lang w:val="en-US" w:eastAsia="zh-CN" w:bidi="ar-SA"/>
                    </w:rPr>
                    <w:t>季度</w:t>
                  </w:r>
                </w:p>
              </w:tc>
              <w:tc>
                <w:tcPr>
                  <w:tcW w:w="353" w:type="pct"/>
                  <w:tcBorders>
                    <w:tl2br w:val="nil"/>
                    <w:tr2bl w:val="nil"/>
                  </w:tcBorders>
                  <w:noWrap w:val="0"/>
                  <w:vAlign w:val="center"/>
                </w:tcPr>
                <w:p w14:paraId="5C5ADA1E">
                  <w:pPr>
                    <w:topLinePunct/>
                    <w:adjustRightInd w:val="0"/>
                    <w:snapToGrid w:val="0"/>
                    <w:spacing w:line="240" w:lineRule="auto"/>
                    <w:jc w:val="center"/>
                    <w:rPr>
                      <w:color w:val="auto"/>
                      <w:kern w:val="0"/>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T</w:t>
                  </w:r>
                </w:p>
              </w:tc>
              <w:tc>
                <w:tcPr>
                  <w:tcW w:w="435" w:type="pct"/>
                  <w:vMerge w:val="continue"/>
                  <w:tcBorders>
                    <w:tl2br w:val="nil"/>
                    <w:tr2bl w:val="nil"/>
                  </w:tcBorders>
                  <w:noWrap w:val="0"/>
                  <w:vAlign w:val="center"/>
                </w:tcPr>
                <w:p w14:paraId="073EF19E">
                  <w:pPr>
                    <w:topLinePunct/>
                    <w:adjustRightInd w:val="0"/>
                    <w:snapToGrid w:val="0"/>
                    <w:jc w:val="center"/>
                    <w:rPr>
                      <w:color w:val="FF0000"/>
                      <w:kern w:val="0"/>
                      <w:sz w:val="21"/>
                      <w:szCs w:val="21"/>
                      <w:highlight w:val="none"/>
                    </w:rPr>
                  </w:pPr>
                </w:p>
              </w:tc>
            </w:tr>
            <w:tr w14:paraId="03E1D6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59" w:type="pct"/>
                  <w:tcBorders>
                    <w:tl2br w:val="nil"/>
                    <w:tr2bl w:val="nil"/>
                  </w:tcBorders>
                  <w:noWrap w:val="0"/>
                  <w:vAlign w:val="center"/>
                </w:tcPr>
                <w:p w14:paraId="4D894067">
                  <w:pPr>
                    <w:topLinePunct/>
                    <w:adjustRightInd w:val="0"/>
                    <w:snapToGrid w:val="0"/>
                    <w:spacing w:line="240" w:lineRule="auto"/>
                    <w:jc w:val="center"/>
                    <w:rPr>
                      <w:rFonts w:hint="default"/>
                      <w:color w:val="auto"/>
                      <w:kern w:val="0"/>
                      <w:sz w:val="21"/>
                      <w:szCs w:val="21"/>
                      <w:highlight w:val="none"/>
                      <w:lang w:val="en-US" w:eastAsia="zh-CN"/>
                    </w:rPr>
                  </w:pPr>
                  <w:r>
                    <w:rPr>
                      <w:rFonts w:hint="eastAsia"/>
                      <w:color w:val="auto"/>
                      <w:kern w:val="0"/>
                      <w:sz w:val="21"/>
                      <w:szCs w:val="21"/>
                      <w:highlight w:val="none"/>
                      <w:lang w:val="en-US" w:eastAsia="zh-CN"/>
                    </w:rPr>
                    <w:t>3</w:t>
                  </w:r>
                </w:p>
              </w:tc>
              <w:tc>
                <w:tcPr>
                  <w:tcW w:w="407" w:type="pct"/>
                  <w:tcBorders>
                    <w:tl2br w:val="nil"/>
                    <w:tr2bl w:val="nil"/>
                  </w:tcBorders>
                  <w:noWrap w:val="0"/>
                  <w:vAlign w:val="center"/>
                </w:tcPr>
                <w:p w14:paraId="5535DD18">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废切削液</w:t>
                  </w:r>
                </w:p>
              </w:tc>
              <w:tc>
                <w:tcPr>
                  <w:tcW w:w="487" w:type="pct"/>
                  <w:tcBorders>
                    <w:tl2br w:val="nil"/>
                    <w:tr2bl w:val="nil"/>
                  </w:tcBorders>
                  <w:noWrap w:val="0"/>
                  <w:vAlign w:val="center"/>
                </w:tcPr>
                <w:p w14:paraId="17BA4F9F">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HW09</w:t>
                  </w:r>
                </w:p>
              </w:tc>
              <w:tc>
                <w:tcPr>
                  <w:tcW w:w="729" w:type="pct"/>
                  <w:tcBorders>
                    <w:tl2br w:val="nil"/>
                    <w:tr2bl w:val="nil"/>
                  </w:tcBorders>
                  <w:noWrap w:val="0"/>
                  <w:vAlign w:val="center"/>
                </w:tcPr>
                <w:p w14:paraId="5DD13CAE">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900-006-09</w:t>
                  </w:r>
                </w:p>
              </w:tc>
              <w:tc>
                <w:tcPr>
                  <w:tcW w:w="467" w:type="pct"/>
                  <w:tcBorders>
                    <w:tl2br w:val="nil"/>
                    <w:tr2bl w:val="nil"/>
                  </w:tcBorders>
                  <w:noWrap w:val="0"/>
                  <w:vAlign w:val="center"/>
                </w:tcPr>
                <w:p w14:paraId="11786724">
                  <w:pPr>
                    <w:topLinePunct/>
                    <w:adjustRightInd w:val="0"/>
                    <w:snapToGrid w:val="0"/>
                    <w:spacing w:line="240" w:lineRule="auto"/>
                    <w:jc w:val="center"/>
                    <w:rPr>
                      <w:rFonts w:hint="default"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0.2</w:t>
                  </w:r>
                </w:p>
              </w:tc>
              <w:tc>
                <w:tcPr>
                  <w:tcW w:w="520" w:type="pct"/>
                  <w:tcBorders>
                    <w:tl2br w:val="nil"/>
                    <w:tr2bl w:val="nil"/>
                  </w:tcBorders>
                  <w:noWrap w:val="0"/>
                  <w:vAlign w:val="center"/>
                </w:tcPr>
                <w:p w14:paraId="3A7B1672">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机加工</w:t>
                  </w:r>
                </w:p>
              </w:tc>
              <w:tc>
                <w:tcPr>
                  <w:tcW w:w="260" w:type="pct"/>
                  <w:tcBorders>
                    <w:tl2br w:val="nil"/>
                    <w:tr2bl w:val="nil"/>
                  </w:tcBorders>
                  <w:noWrap w:val="0"/>
                  <w:vAlign w:val="center"/>
                </w:tcPr>
                <w:p w14:paraId="437C5B9E">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液</w:t>
                  </w:r>
                </w:p>
              </w:tc>
              <w:tc>
                <w:tcPr>
                  <w:tcW w:w="548" w:type="pct"/>
                  <w:tcBorders>
                    <w:tl2br w:val="nil"/>
                    <w:tr2bl w:val="nil"/>
                  </w:tcBorders>
                  <w:noWrap w:val="0"/>
                  <w:vAlign w:val="center"/>
                </w:tcPr>
                <w:p w14:paraId="364F340E">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切削液</w:t>
                  </w:r>
                </w:p>
              </w:tc>
              <w:tc>
                <w:tcPr>
                  <w:tcW w:w="260" w:type="pct"/>
                  <w:tcBorders>
                    <w:tl2br w:val="nil"/>
                    <w:tr2bl w:val="nil"/>
                  </w:tcBorders>
                  <w:noWrap w:val="0"/>
                  <w:vAlign w:val="center"/>
                </w:tcPr>
                <w:p w14:paraId="553C8815">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混合物</w:t>
                  </w:r>
                </w:p>
              </w:tc>
              <w:tc>
                <w:tcPr>
                  <w:tcW w:w="269" w:type="pct"/>
                  <w:tcBorders>
                    <w:tl2br w:val="nil"/>
                    <w:tr2bl w:val="nil"/>
                  </w:tcBorders>
                  <w:noWrap w:val="0"/>
                  <w:vAlign w:val="center"/>
                </w:tcPr>
                <w:p w14:paraId="6B70EFDF">
                  <w:pPr>
                    <w:topLinePunct/>
                    <w:adjustRightInd w:val="0"/>
                    <w:snapToGrid w:val="0"/>
                    <w:spacing w:line="240" w:lineRule="auto"/>
                    <w:jc w:val="center"/>
                    <w:rPr>
                      <w:rFonts w:hint="default"/>
                      <w:color w:val="auto"/>
                      <w:kern w:val="0"/>
                      <w:sz w:val="21"/>
                      <w:szCs w:val="21"/>
                      <w:highlight w:val="none"/>
                      <w:lang w:val="en-US" w:eastAsia="zh-CN" w:bidi="ar-SA"/>
                    </w:rPr>
                  </w:pPr>
                  <w:r>
                    <w:rPr>
                      <w:rFonts w:hint="eastAsia"/>
                      <w:color w:val="auto"/>
                      <w:kern w:val="0"/>
                      <w:sz w:val="21"/>
                      <w:szCs w:val="21"/>
                      <w:highlight w:val="none"/>
                      <w:lang w:val="en-US" w:eastAsia="zh-CN" w:bidi="ar-SA"/>
                    </w:rPr>
                    <w:t>一年</w:t>
                  </w:r>
                </w:p>
              </w:tc>
              <w:tc>
                <w:tcPr>
                  <w:tcW w:w="353" w:type="pct"/>
                  <w:tcBorders>
                    <w:tl2br w:val="nil"/>
                    <w:tr2bl w:val="nil"/>
                  </w:tcBorders>
                  <w:noWrap w:val="0"/>
                  <w:vAlign w:val="center"/>
                </w:tcPr>
                <w:p w14:paraId="024E34C0">
                  <w:pPr>
                    <w:topLinePunct/>
                    <w:adjustRightInd w:val="0"/>
                    <w:snapToGrid w:val="0"/>
                    <w:spacing w:line="240" w:lineRule="auto"/>
                    <w:jc w:val="center"/>
                    <w:rPr>
                      <w:rFonts w:hint="eastAsia" w:ascii="Times New Roman" w:hAnsi="Times New Roman" w:eastAsia="宋体" w:cs="Times New Roman"/>
                      <w:b w:val="0"/>
                      <w:bCs/>
                      <w:color w:val="auto"/>
                      <w:kern w:val="0"/>
                      <w:sz w:val="21"/>
                      <w:szCs w:val="21"/>
                      <w:highlight w:val="none"/>
                      <w:lang w:val="en-US" w:eastAsia="zh-CN"/>
                    </w:rPr>
                  </w:pPr>
                  <w:r>
                    <w:rPr>
                      <w:rFonts w:hint="eastAsia" w:ascii="Times New Roman" w:hAnsi="Times New Roman" w:eastAsia="宋体" w:cs="Times New Roman"/>
                      <w:b w:val="0"/>
                      <w:bCs/>
                      <w:color w:val="auto"/>
                      <w:kern w:val="0"/>
                      <w:sz w:val="21"/>
                      <w:szCs w:val="21"/>
                      <w:highlight w:val="none"/>
                      <w:lang w:val="en-US" w:eastAsia="zh-CN"/>
                    </w:rPr>
                    <w:t>T</w:t>
                  </w:r>
                </w:p>
              </w:tc>
              <w:tc>
                <w:tcPr>
                  <w:tcW w:w="435" w:type="pct"/>
                  <w:vMerge w:val="continue"/>
                  <w:tcBorders>
                    <w:tl2br w:val="nil"/>
                    <w:tr2bl w:val="nil"/>
                  </w:tcBorders>
                  <w:noWrap w:val="0"/>
                  <w:vAlign w:val="center"/>
                </w:tcPr>
                <w:p w14:paraId="46CE6C42">
                  <w:pPr>
                    <w:topLinePunct/>
                    <w:adjustRightInd w:val="0"/>
                    <w:snapToGrid w:val="0"/>
                    <w:jc w:val="center"/>
                    <w:rPr>
                      <w:color w:val="FF0000"/>
                      <w:kern w:val="0"/>
                      <w:sz w:val="21"/>
                      <w:szCs w:val="21"/>
                      <w:highlight w:val="none"/>
                    </w:rPr>
                  </w:pPr>
                </w:p>
              </w:tc>
            </w:tr>
          </w:tbl>
          <w:p w14:paraId="341902A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olor w:val="FF0000"/>
                <w:sz w:val="18"/>
                <w:szCs w:val="18"/>
                <w:highlight w:val="none"/>
                <w:lang w:val="en-US" w:eastAsia="zh-CN"/>
              </w:rPr>
            </w:pPr>
          </w:p>
          <w:p w14:paraId="34EE56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生活垃圾（S10）</w:t>
            </w:r>
          </w:p>
          <w:p w14:paraId="1FE581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b/>
                <w:color w:val="auto"/>
                <w:sz w:val="24"/>
                <w:szCs w:val="32"/>
                <w:highlight w:val="none"/>
              </w:rPr>
            </w:pPr>
            <w:r>
              <w:rPr>
                <w:rFonts w:hint="eastAsia"/>
                <w:color w:val="auto"/>
                <w:sz w:val="24"/>
                <w:szCs w:val="32"/>
                <w:highlight w:val="none"/>
                <w:lang w:val="en-US" w:eastAsia="zh-CN"/>
              </w:rPr>
              <w:t>本项目不新增员工，故不新增</w:t>
            </w:r>
            <w:r>
              <w:rPr>
                <w:rFonts w:hint="eastAsia" w:hAnsi="宋体" w:cs="Times New Roman"/>
                <w:color w:val="auto"/>
                <w:kern w:val="0"/>
                <w:sz w:val="24"/>
                <w:szCs w:val="24"/>
                <w:highlight w:val="none"/>
                <w:lang w:val="en-US" w:eastAsia="zh-CN"/>
              </w:rPr>
              <w:t>生活垃圾。现有项目生活垃圾收集暂存后交由环卫部门及时清运。</w:t>
            </w:r>
          </w:p>
          <w:p w14:paraId="7C695FB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叶根友毛笔行书2.0版"/>
                <w:b/>
                <w:bCs/>
                <w:color w:val="auto"/>
                <w:sz w:val="24"/>
                <w:szCs w:val="24"/>
                <w:highlight w:val="none"/>
                <w:lang w:val="en-US" w:eastAsia="zh-CN"/>
              </w:rPr>
            </w:pPr>
            <w:r>
              <w:rPr>
                <w:rFonts w:hint="eastAsia" w:ascii="Times New Roman" w:hAnsi="Times New Roman" w:eastAsia="宋体" w:cs="叶根友毛笔行书2.0版"/>
                <w:b/>
                <w:bCs/>
                <w:color w:val="auto"/>
                <w:sz w:val="24"/>
                <w:szCs w:val="24"/>
                <w:highlight w:val="none"/>
                <w:lang w:val="en-US" w:eastAsia="zh-CN"/>
              </w:rPr>
              <w:t>（2）固体废物处理可行性分析</w:t>
            </w:r>
          </w:p>
          <w:p w14:paraId="124B25C5">
            <w:pPr>
              <w:pStyle w:val="65"/>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color w:val="auto"/>
                <w:sz w:val="24"/>
                <w:szCs w:val="32"/>
                <w:highlight w:val="none"/>
                <w:lang w:val="en-US" w:eastAsia="zh-CN"/>
              </w:rPr>
            </w:pPr>
            <w:r>
              <w:rPr>
                <w:rFonts w:hint="eastAsia"/>
                <w:color w:val="auto"/>
                <w:sz w:val="24"/>
                <w:szCs w:val="32"/>
                <w:highlight w:val="none"/>
                <w:lang w:val="en-US" w:eastAsia="zh-CN"/>
              </w:rPr>
              <w:t>①一般固废处理可行性分析</w:t>
            </w:r>
          </w:p>
          <w:p w14:paraId="5CDB07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highlight w:val="none"/>
                <w:lang w:val="en-US" w:eastAsia="zh-CN"/>
              </w:rPr>
            </w:pPr>
            <w:r>
              <w:rPr>
                <w:rFonts w:hint="eastAsia" w:ascii="Times New Roman" w:hAnsi="Times New Roman" w:eastAsia="宋体" w:cs="叶根友毛笔行书2.0版"/>
                <w:color w:val="auto"/>
                <w:sz w:val="24"/>
                <w:szCs w:val="24"/>
                <w:highlight w:val="none"/>
                <w:lang w:val="en-US" w:eastAsia="zh-CN"/>
              </w:rPr>
              <w:t>项目一般固废中：废砂委托废砂处理公司回收处理；废浇冒口、边角料、不合格品回用于生产；炉渣、废包装材料、收集粉尘收集后外售综合利用。</w:t>
            </w:r>
            <w:r>
              <w:rPr>
                <w:rFonts w:hint="eastAsia" w:ascii="Times New Roman" w:hAnsi="Times New Roman" w:eastAsia="宋体" w:cs="Times New Roman"/>
                <w:color w:val="auto"/>
                <w:sz w:val="24"/>
                <w:szCs w:val="24"/>
                <w:highlight w:val="none"/>
                <w:lang w:val="en-US" w:eastAsia="zh-CN"/>
              </w:rPr>
              <w:t>一般固废均可达到综合利用要求。</w:t>
            </w:r>
          </w:p>
          <w:p w14:paraId="0237A6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叶根友毛笔行书2.0版"/>
                <w:b w:val="0"/>
                <w:bCs w:val="0"/>
                <w:color w:val="auto"/>
                <w:sz w:val="24"/>
                <w:szCs w:val="24"/>
                <w:highlight w:val="none"/>
                <w:lang w:val="en-US" w:eastAsia="zh-CN"/>
              </w:rPr>
            </w:pPr>
            <w:r>
              <w:rPr>
                <w:rFonts w:hint="eastAsia" w:ascii="Times New Roman" w:hAnsi="Times New Roman" w:eastAsia="宋体" w:cs="叶根友毛笔行书2.0版"/>
                <w:b w:val="0"/>
                <w:bCs w:val="0"/>
                <w:color w:val="auto"/>
                <w:sz w:val="24"/>
                <w:szCs w:val="24"/>
                <w:highlight w:val="none"/>
                <w:lang w:val="en-US" w:eastAsia="zh-CN"/>
              </w:rPr>
              <w:t>②危险废物暂存可行性分析</w:t>
            </w:r>
          </w:p>
          <w:p w14:paraId="335F6C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项目厂区现状建设有一间10平方米的危废库。废机油、</w:t>
            </w:r>
            <w:r>
              <w:rPr>
                <w:rFonts w:hint="eastAsia" w:cs="叶根友毛笔行书2.0版"/>
                <w:color w:val="auto"/>
                <w:sz w:val="24"/>
                <w:szCs w:val="24"/>
                <w:highlight w:val="none"/>
                <w:lang w:val="en-US" w:eastAsia="zh-CN"/>
              </w:rPr>
              <w:t>废切削液、</w:t>
            </w:r>
            <w:r>
              <w:rPr>
                <w:rFonts w:hint="eastAsia" w:ascii="Times New Roman" w:hAnsi="Times New Roman" w:eastAsia="宋体" w:cs="叶根友毛笔行书2.0版"/>
                <w:color w:val="auto"/>
                <w:sz w:val="24"/>
                <w:szCs w:val="24"/>
                <w:highlight w:val="none"/>
                <w:lang w:val="en-US" w:eastAsia="zh-CN"/>
              </w:rPr>
              <w:t>废活性炭暂存于危废库，其设置符合《危险废物贮存污染控制标准》（GB 18597-2023）标准要求。</w:t>
            </w:r>
          </w:p>
          <w:p w14:paraId="4DC4A2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③危废库要求</w:t>
            </w:r>
          </w:p>
          <w:p w14:paraId="7721F9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叶根友毛笔行书2.0版"/>
                <w:color w:val="auto"/>
                <w:sz w:val="24"/>
                <w:szCs w:val="24"/>
                <w:highlight w:val="none"/>
                <w:lang w:val="en-US" w:eastAsia="zh-CN"/>
              </w:rPr>
            </w:pPr>
            <w:r>
              <w:rPr>
                <w:rFonts w:hint="eastAsia" w:ascii="Times New Roman" w:hAnsi="Times New Roman" w:eastAsia="宋体" w:cs="叶根友毛笔行书2.0版"/>
                <w:color w:val="auto"/>
                <w:sz w:val="24"/>
                <w:szCs w:val="24"/>
                <w:highlight w:val="none"/>
                <w:lang w:val="en-US" w:eastAsia="zh-CN"/>
              </w:rPr>
              <w:t>危废暂存间严格按照《危险废物贮存污染控制标准》（GB 18597-2023）中相关要求的要求设计，做好防雨、防渗，防止二次污染。地面采用坚固、防渗、耐腐蚀的材料建造，设计堵截泄漏的裙脚、围堰等设施。危废暂存间，专门用于临时存放委外前的危险废物，并与具有本项目产生的危险废物处理资质的危险废物处置单位签订危废处置协议，将产生的危险废物交由该单位进行处置，确保项目危险废物得到妥善处置。</w:t>
            </w:r>
          </w:p>
          <w:p w14:paraId="2FE4F70F">
            <w:pPr>
              <w:adjustRightInd w:val="0"/>
              <w:spacing w:line="360" w:lineRule="auto"/>
              <w:ind w:firstLine="480" w:firstLineChars="200"/>
              <w:rPr>
                <w:rFonts w:hint="eastAsia" w:ascii="Times New Roman" w:hAnsi="Times New Roman" w:eastAsia="宋体" w:cs="Times New Roman"/>
                <w:caps w:val="0"/>
                <w:color w:val="auto"/>
                <w:sz w:val="24"/>
                <w:highlight w:val="none"/>
              </w:rPr>
            </w:pPr>
            <w:r>
              <w:rPr>
                <w:rFonts w:hint="eastAsia" w:ascii="Times New Roman" w:hAnsi="Times New Roman" w:eastAsia="宋体" w:cs="叶根友毛笔行书2.0版"/>
                <w:color w:val="auto"/>
                <w:sz w:val="24"/>
                <w:szCs w:val="24"/>
                <w:highlight w:val="none"/>
                <w:lang w:val="en-US" w:eastAsia="zh-CN"/>
              </w:rPr>
              <w:t>危废库应</w:t>
            </w:r>
            <w:r>
              <w:rPr>
                <w:rFonts w:hint="eastAsia" w:eastAsia="宋体" w:cs="Times New Roman"/>
                <w:caps w:val="0"/>
                <w:color w:val="auto"/>
                <w:sz w:val="24"/>
                <w:highlight w:val="none"/>
              </w:rPr>
              <w:t>建有堵截泄漏的裙脚，地面与裙脚要用坚固防渗的材料建造。应有隔离设施、报警装置和防风、防晒、防雨设施；基础必须防渗，采用环氧树脂进行防渗；用于存放液体、半固体危险废物的地方，还须有耐腐蚀的硬化地面，地面无裂隙；危险废物的贮存场所需设置警示牌；危险废物的贮存设施的选址与设计、运行与管理、安全防护、环境监测及应急措施</w:t>
            </w:r>
            <w:r>
              <w:rPr>
                <w:rFonts w:hint="eastAsia" w:cs="Times New Roman"/>
                <w:caps w:val="0"/>
                <w:color w:val="auto"/>
                <w:sz w:val="24"/>
                <w:highlight w:val="none"/>
                <w:lang w:eastAsia="zh-CN"/>
              </w:rPr>
              <w:t>，以及</w:t>
            </w:r>
            <w:r>
              <w:rPr>
                <w:rFonts w:hint="eastAsia" w:eastAsia="宋体" w:cs="Times New Roman"/>
                <w:caps w:val="0"/>
                <w:color w:val="auto"/>
                <w:sz w:val="24"/>
                <w:highlight w:val="none"/>
              </w:rPr>
              <w:t>关闭等须遵循《危险废物贮存污染控制标准》的规定；</w:t>
            </w:r>
            <w:r>
              <w:rPr>
                <w:rFonts w:hint="eastAsia" w:ascii="Times New Roman" w:hAnsi="Times New Roman" w:eastAsia="宋体" w:cs="Times New Roman"/>
                <w:caps w:val="0"/>
                <w:color w:val="auto"/>
                <w:sz w:val="24"/>
                <w:highlight w:val="none"/>
              </w:rPr>
              <w:t>企业按照《危险废物管理计划（大纲）（试行）》的要求做好危险废物计划和危险废物</w:t>
            </w:r>
            <w:r>
              <w:rPr>
                <w:rFonts w:hint="eastAsia" w:cs="Times New Roman"/>
                <w:caps w:val="0"/>
                <w:color w:val="auto"/>
                <w:sz w:val="24"/>
                <w:highlight w:val="none"/>
                <w:lang w:eastAsia="zh-CN"/>
              </w:rPr>
              <w:t>台账</w:t>
            </w:r>
            <w:r>
              <w:rPr>
                <w:rFonts w:hint="eastAsia" w:ascii="Times New Roman" w:hAnsi="Times New Roman" w:eastAsia="宋体" w:cs="Times New Roman"/>
                <w:caps w:val="0"/>
                <w:color w:val="auto"/>
                <w:sz w:val="24"/>
                <w:highlight w:val="none"/>
              </w:rPr>
              <w:t>。</w:t>
            </w:r>
          </w:p>
          <w:p w14:paraId="08F85B65">
            <w:pPr>
              <w:adjustRightInd w:val="0"/>
              <w:spacing w:line="360" w:lineRule="auto"/>
              <w:ind w:firstLine="480" w:firstLineChars="200"/>
              <w:rPr>
                <w:rFonts w:hint="default"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④危险废物包装、运输要求</w:t>
            </w:r>
          </w:p>
          <w:p w14:paraId="48BB7DEB">
            <w:pPr>
              <w:adjustRightInd w:val="0"/>
              <w:spacing w:line="360" w:lineRule="auto"/>
              <w:ind w:firstLine="480" w:firstLineChars="200"/>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项目</w:t>
            </w:r>
            <w:r>
              <w:rPr>
                <w:rFonts w:hint="eastAsia" w:ascii="Times New Roman" w:hAnsi="Times New Roman" w:eastAsia="宋体" w:cs="Times New Roman"/>
                <w:caps w:val="0"/>
                <w:color w:val="auto"/>
                <w:sz w:val="24"/>
                <w:highlight w:val="none"/>
                <w:lang w:val="en-US" w:eastAsia="zh-CN"/>
              </w:rPr>
              <w:t>产生的危险废物</w:t>
            </w:r>
            <w:r>
              <w:rPr>
                <w:rFonts w:hint="eastAsia" w:ascii="Times New Roman" w:hAnsi="Times New Roman" w:eastAsia="宋体" w:cs="Times New Roman"/>
                <w:caps w:val="0"/>
                <w:color w:val="auto"/>
                <w:sz w:val="24"/>
                <w:highlight w:val="none"/>
              </w:rPr>
              <w:t>按照相应的包装要求进行包装，企业将危废委托有资质单位进行处置。企业危废外运委托有资质的单位进行运输，严格执行《危险废物收集贮存运输技术规范》（HJ 2025-2012）和《危险废物转移联单管理办法》，并制定好危险废物转移运输途中的污染防范及事故应急措施，严格按照要求办理有关手续。</w:t>
            </w:r>
          </w:p>
          <w:p w14:paraId="449B9B80">
            <w:pPr>
              <w:adjustRightInd w:val="0"/>
              <w:spacing w:line="360" w:lineRule="auto"/>
              <w:ind w:firstLine="480" w:firstLineChars="200"/>
              <w:rPr>
                <w:rFonts w:hint="eastAsia" w:ascii="Times New Roman" w:hAnsi="Times New Roman" w:eastAsia="宋体" w:cs="Times New Roman"/>
                <w:caps w:val="0"/>
                <w:color w:val="auto"/>
                <w:sz w:val="24"/>
                <w:highlight w:val="none"/>
              </w:rPr>
            </w:pPr>
            <w:r>
              <w:rPr>
                <w:rFonts w:hint="eastAsia" w:ascii="Times New Roman" w:hAnsi="Times New Roman" w:eastAsia="宋体" w:cs="Times New Roman"/>
                <w:caps w:val="0"/>
                <w:color w:val="auto"/>
                <w:sz w:val="24"/>
                <w:highlight w:val="none"/>
              </w:rPr>
              <w:t>运输单位在运输本项目危险废物过程中应严格做好相应的防范措施，防止危险废物的</w:t>
            </w:r>
            <w:r>
              <w:rPr>
                <w:rFonts w:hint="eastAsia" w:cs="Times New Roman"/>
                <w:caps w:val="0"/>
                <w:color w:val="auto"/>
                <w:sz w:val="24"/>
                <w:highlight w:val="none"/>
                <w:lang w:eastAsia="zh-CN"/>
              </w:rPr>
              <w:t>泄漏</w:t>
            </w:r>
            <w:r>
              <w:rPr>
                <w:rFonts w:hint="eastAsia" w:ascii="Times New Roman" w:hAnsi="Times New Roman" w:eastAsia="宋体" w:cs="Times New Roman"/>
                <w:caps w:val="0"/>
                <w:color w:val="auto"/>
                <w:sz w:val="24"/>
                <w:highlight w:val="none"/>
              </w:rPr>
              <w:t>，或发生重大交通事故。</w:t>
            </w:r>
          </w:p>
          <w:p w14:paraId="6996ABA5">
            <w:pPr>
              <w:adjustRightInd w:val="0"/>
              <w:spacing w:line="360" w:lineRule="auto"/>
              <w:ind w:firstLine="480" w:firstLineChars="200"/>
              <w:rPr>
                <w:rFonts w:hint="eastAsia" w:ascii="Times New Roman" w:hAnsi="Times New Roman" w:eastAsia="宋体" w:cs="Times New Roman"/>
                <w:b w:val="0"/>
                <w:bCs w:val="0"/>
                <w:caps w:val="0"/>
                <w:color w:val="auto"/>
                <w:sz w:val="24"/>
                <w:highlight w:val="none"/>
              </w:rPr>
            </w:pPr>
            <w:r>
              <w:rPr>
                <w:rFonts w:hint="eastAsia" w:ascii="Times New Roman" w:hAnsi="Times New Roman" w:eastAsia="宋体" w:cs="Times New Roman"/>
                <w:b w:val="0"/>
                <w:bCs w:val="0"/>
                <w:caps w:val="0"/>
                <w:color w:val="auto"/>
                <w:sz w:val="24"/>
                <w:highlight w:val="none"/>
              </w:rPr>
              <w:t>上述危险废物的收集和管理，项目应委派专人负责，危废临时储存场所按照《危险废物贮存污染控制标准》</w:t>
            </w:r>
            <w:r>
              <w:rPr>
                <w:rFonts w:hint="eastAsia" w:ascii="Times New Roman" w:hAnsi="Times New Roman" w:eastAsia="宋体" w:cs="Times New Roman"/>
                <w:b w:val="0"/>
                <w:bCs w:val="0"/>
                <w:caps w:val="0"/>
                <w:color w:val="auto"/>
                <w:sz w:val="24"/>
                <w:highlight w:val="none"/>
                <w:lang w:eastAsia="zh-CN"/>
              </w:rPr>
              <w:t>（</w:t>
            </w:r>
            <w:r>
              <w:rPr>
                <w:rFonts w:hint="eastAsia" w:ascii="Times New Roman" w:hAnsi="Times New Roman" w:eastAsia="宋体" w:cs="Times New Roman"/>
                <w:b w:val="0"/>
                <w:bCs w:val="0"/>
                <w:caps w:val="0"/>
                <w:color w:val="auto"/>
                <w:sz w:val="24"/>
                <w:highlight w:val="none"/>
              </w:rPr>
              <w:t>GB</w:t>
            </w:r>
            <w:r>
              <w:rPr>
                <w:rFonts w:hint="eastAsia" w:ascii="Times New Roman" w:hAnsi="Times New Roman" w:eastAsia="宋体" w:cs="Times New Roman"/>
                <w:b w:val="0"/>
                <w:bCs w:val="0"/>
                <w:caps w:val="0"/>
                <w:color w:val="auto"/>
                <w:sz w:val="24"/>
                <w:highlight w:val="none"/>
                <w:lang w:val="en-US" w:eastAsia="zh-CN"/>
              </w:rPr>
              <w:t xml:space="preserve"> </w:t>
            </w:r>
            <w:r>
              <w:rPr>
                <w:rFonts w:hint="eastAsia" w:ascii="Times New Roman" w:hAnsi="Times New Roman" w:eastAsia="宋体" w:cs="Times New Roman"/>
                <w:b w:val="0"/>
                <w:bCs w:val="0"/>
                <w:caps w:val="0"/>
                <w:color w:val="auto"/>
                <w:sz w:val="24"/>
                <w:highlight w:val="none"/>
              </w:rPr>
              <w:t>18597-20</w:t>
            </w:r>
            <w:r>
              <w:rPr>
                <w:rFonts w:hint="eastAsia" w:ascii="Times New Roman" w:hAnsi="Times New Roman" w:eastAsia="宋体" w:cs="Times New Roman"/>
                <w:b w:val="0"/>
                <w:bCs w:val="0"/>
                <w:caps w:val="0"/>
                <w:color w:val="auto"/>
                <w:sz w:val="24"/>
                <w:highlight w:val="none"/>
                <w:lang w:val="en-US" w:eastAsia="zh-CN"/>
              </w:rPr>
              <w:t>23</w:t>
            </w:r>
            <w:r>
              <w:rPr>
                <w:rFonts w:hint="eastAsia" w:ascii="Times New Roman" w:hAnsi="Times New Roman" w:eastAsia="宋体" w:cs="Times New Roman"/>
                <w:b w:val="0"/>
                <w:bCs w:val="0"/>
                <w:caps w:val="0"/>
                <w:color w:val="auto"/>
                <w:sz w:val="24"/>
                <w:highlight w:val="none"/>
                <w:lang w:eastAsia="zh-CN"/>
              </w:rPr>
              <w:t>）</w:t>
            </w:r>
            <w:r>
              <w:rPr>
                <w:rFonts w:hint="eastAsia" w:ascii="Times New Roman" w:hAnsi="Times New Roman" w:eastAsia="宋体" w:cs="Times New Roman"/>
                <w:b w:val="0"/>
                <w:bCs w:val="0"/>
                <w:caps w:val="0"/>
                <w:color w:val="auto"/>
                <w:sz w:val="24"/>
                <w:highlight w:val="none"/>
              </w:rPr>
              <w:t>中的相关要求进行防渗、防漏处理，安全可靠，不会受到风雨侵蚀，可有效地防止了临时存放过程中的二次污染。</w:t>
            </w:r>
          </w:p>
          <w:p w14:paraId="74987134">
            <w:pPr>
              <w:adjustRightInd w:val="0"/>
              <w:spacing w:line="360" w:lineRule="auto"/>
              <w:ind w:firstLine="480" w:firstLineChars="200"/>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rPr>
              <w:t>综合以上固废处置措施，各种固体废物均得到了妥善处置，不外排，对周围环境影响不大。</w:t>
            </w:r>
          </w:p>
          <w:p w14:paraId="3E9A5460">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5.</w:t>
            </w:r>
            <w:r>
              <w:rPr>
                <w:rFonts w:hint="eastAsia" w:ascii="Times New Roman" w:hAnsi="Times New Roman" w:eastAsia="宋体" w:cs="Times New Roman"/>
                <w:b/>
                <w:bCs/>
                <w:color w:val="auto"/>
                <w:kern w:val="2"/>
                <w:sz w:val="24"/>
                <w:szCs w:val="24"/>
                <w:lang w:val="en-US" w:eastAsia="zh-CN"/>
              </w:rPr>
              <w:t>地下水和土壤环境影响和保护措施分析</w:t>
            </w:r>
          </w:p>
          <w:p w14:paraId="50FFF7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1"/>
                <w:highlight w:val="none"/>
                <w:lang w:val="en-US" w:eastAsia="zh-CN" w:bidi="ar"/>
              </w:rPr>
            </w:pPr>
            <w:r>
              <w:rPr>
                <w:rFonts w:hint="eastAsia" w:ascii="Times New Roman" w:hAnsi="Times New Roman" w:eastAsia="宋体" w:cs="Times New Roman"/>
                <w:b w:val="0"/>
                <w:bCs w:val="0"/>
                <w:color w:val="auto"/>
                <w:kern w:val="2"/>
                <w:sz w:val="24"/>
                <w:szCs w:val="21"/>
                <w:highlight w:val="none"/>
                <w:lang w:val="en-US" w:eastAsia="zh-CN" w:bidi="ar"/>
              </w:rPr>
              <w:t>正常生产情况下，项目实行雨污分流制。项目生活污水经化粪池预处理，预处理达标后的废水经园区污水管线接管市政管网，经管网送至新河镇污水处理厂处理达标后外排。</w:t>
            </w:r>
          </w:p>
          <w:p w14:paraId="6467A9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bCs/>
                <w:color w:val="auto"/>
                <w:kern w:val="2"/>
                <w:sz w:val="24"/>
                <w:szCs w:val="21"/>
                <w:highlight w:val="none"/>
                <w:lang w:val="en-US" w:eastAsia="zh-CN" w:bidi="ar"/>
              </w:rPr>
            </w:pPr>
            <w:r>
              <w:rPr>
                <w:rFonts w:hint="eastAsia" w:ascii="Times New Roman" w:hAnsi="Times New Roman" w:eastAsia="宋体" w:cs="Times New Roman"/>
                <w:color w:val="auto"/>
                <w:sz w:val="24"/>
                <w:szCs w:val="24"/>
                <w:highlight w:val="none"/>
                <w:lang w:val="en-US" w:eastAsia="zh-CN"/>
              </w:rPr>
              <w:t>项目在企业现有厂房实施生产，故本次环评不考虑初期雨水</w:t>
            </w:r>
            <w:r>
              <w:rPr>
                <w:rFonts w:hint="eastAsia" w:ascii="Times New Roman" w:hAnsi="Times New Roman" w:eastAsia="宋体" w:cs="Times New Roman"/>
                <w:b/>
                <w:bCs/>
                <w:color w:val="auto"/>
                <w:sz w:val="24"/>
                <w:szCs w:val="24"/>
                <w:highlight w:val="none"/>
                <w:lang w:val="en-US" w:eastAsia="zh-CN"/>
              </w:rPr>
              <w:t>。</w:t>
            </w:r>
          </w:p>
          <w:p w14:paraId="20FA7B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1"/>
                <w:highlight w:val="none"/>
                <w:lang w:val="en-US" w:eastAsia="zh-CN" w:bidi="ar"/>
              </w:rPr>
            </w:pPr>
            <w:r>
              <w:rPr>
                <w:rFonts w:hint="eastAsia" w:ascii="Times New Roman" w:hAnsi="Times New Roman" w:eastAsia="宋体" w:cs="Times New Roman"/>
                <w:b w:val="0"/>
                <w:bCs w:val="0"/>
                <w:color w:val="auto"/>
                <w:kern w:val="2"/>
                <w:sz w:val="24"/>
                <w:szCs w:val="21"/>
                <w:highlight w:val="none"/>
                <w:lang w:val="en-US" w:eastAsia="zh-CN" w:bidi="ar"/>
              </w:rPr>
              <w:t>项目危险废物按照规定暂存在危险废物暂存库，一般固废在一般固废仓库暂存，并定期对上述固废进行清运，故不会对地下水环境产生影响。</w:t>
            </w:r>
          </w:p>
          <w:p w14:paraId="5BF58C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1"/>
                <w:highlight w:val="none"/>
                <w:lang w:val="en-US" w:eastAsia="zh-CN" w:bidi="ar"/>
              </w:rPr>
            </w:pPr>
            <w:r>
              <w:rPr>
                <w:rFonts w:hint="eastAsia" w:ascii="Times New Roman" w:hAnsi="Times New Roman" w:eastAsia="宋体" w:cs="Times New Roman"/>
                <w:b w:val="0"/>
                <w:bCs w:val="0"/>
                <w:color w:val="auto"/>
                <w:kern w:val="2"/>
                <w:sz w:val="24"/>
                <w:szCs w:val="21"/>
                <w:highlight w:val="none"/>
                <w:lang w:val="en-US" w:eastAsia="zh-CN" w:bidi="ar"/>
              </w:rPr>
              <w:t>在非正常工况或者事故情况下，项目废水发生</w:t>
            </w:r>
            <w:r>
              <w:rPr>
                <w:rFonts w:hint="eastAsia" w:cs="Times New Roman"/>
                <w:b w:val="0"/>
                <w:bCs w:val="0"/>
                <w:color w:val="auto"/>
                <w:kern w:val="2"/>
                <w:sz w:val="24"/>
                <w:szCs w:val="21"/>
                <w:highlight w:val="none"/>
                <w:lang w:val="en-US" w:eastAsia="zh-CN" w:bidi="ar"/>
              </w:rPr>
              <w:t>泄漏</w:t>
            </w:r>
            <w:r>
              <w:rPr>
                <w:rFonts w:hint="eastAsia" w:ascii="Times New Roman" w:hAnsi="Times New Roman" w:eastAsia="宋体" w:cs="Times New Roman"/>
                <w:b w:val="0"/>
                <w:bCs w:val="0"/>
                <w:color w:val="auto"/>
                <w:kern w:val="2"/>
                <w:sz w:val="24"/>
                <w:szCs w:val="21"/>
                <w:highlight w:val="none"/>
                <w:lang w:val="en-US" w:eastAsia="zh-CN" w:bidi="ar"/>
              </w:rPr>
              <w:t>，会产生部分污水渗入地下可能影响地下水水质；项目危险废物暂存库等储存容器、袋装物料发生破损，可能会产生物料渗入地下影响地下水水质。</w:t>
            </w:r>
          </w:p>
          <w:p w14:paraId="0259DD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
              </w:rPr>
            </w:pPr>
            <w:r>
              <w:rPr>
                <w:rFonts w:hint="eastAsia" w:ascii="Times New Roman" w:hAnsi="Times New Roman" w:eastAsia="宋体" w:cs="Times New Roman"/>
                <w:b w:val="0"/>
                <w:bCs w:val="0"/>
                <w:color w:val="auto"/>
                <w:kern w:val="2"/>
                <w:sz w:val="24"/>
                <w:szCs w:val="21"/>
                <w:highlight w:val="none"/>
                <w:lang w:val="en-US" w:eastAsia="zh-CN" w:bidi="ar"/>
              </w:rPr>
              <w:t>经现场勘查，项目厂房基础采取了混凝土硬化地面，混凝土厚度≥20cm，满足一般防渗区要求。项目分区防渗示意图见附图。</w:t>
            </w:r>
          </w:p>
          <w:p w14:paraId="4250F4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1"/>
                <w:highlight w:val="none"/>
                <w:lang w:val="en-US" w:eastAsia="zh-CN" w:bidi="ar"/>
              </w:rPr>
            </w:pPr>
            <w:r>
              <w:rPr>
                <w:rFonts w:hint="eastAsia" w:ascii="Times New Roman" w:hAnsi="Times New Roman" w:eastAsia="宋体" w:cs="Times New Roman"/>
                <w:b w:val="0"/>
                <w:bCs w:val="0"/>
                <w:color w:val="auto"/>
                <w:kern w:val="2"/>
                <w:sz w:val="24"/>
                <w:szCs w:val="21"/>
                <w:highlight w:val="none"/>
                <w:lang w:val="en-US" w:eastAsia="zh-CN" w:bidi="ar"/>
              </w:rPr>
              <w:t>要求危险废物暂存库地面与裙脚应采取表面防渗措施；基础必须防渗，要求防渗层至少2mm厚高密度聚乙烯膜等人工防渗材料（渗透系数不大于10</w:t>
            </w:r>
            <w:r>
              <w:rPr>
                <w:rFonts w:hint="eastAsia" w:ascii="Times New Roman" w:hAnsi="Times New Roman" w:eastAsia="宋体" w:cs="Times New Roman"/>
                <w:b w:val="0"/>
                <w:bCs w:val="0"/>
                <w:color w:val="auto"/>
                <w:kern w:val="2"/>
                <w:sz w:val="24"/>
                <w:szCs w:val="21"/>
                <w:highlight w:val="none"/>
                <w:vertAlign w:val="superscript"/>
                <w:lang w:val="en-US" w:eastAsia="zh-CN" w:bidi="ar"/>
              </w:rPr>
              <w:t>-10</w:t>
            </w:r>
            <w:r>
              <w:rPr>
                <w:rFonts w:hint="eastAsia" w:ascii="Times New Roman" w:hAnsi="Times New Roman" w:eastAsia="宋体" w:cs="Times New Roman"/>
                <w:b w:val="0"/>
                <w:bCs w:val="0"/>
                <w:color w:val="auto"/>
                <w:kern w:val="2"/>
                <w:sz w:val="24"/>
                <w:szCs w:val="21"/>
                <w:highlight w:val="none"/>
                <w:lang w:val="en-US" w:eastAsia="zh-CN" w:bidi="ar"/>
              </w:rPr>
              <w:t xml:space="preserve"> cm/s），或其他防渗性能等效的材料，防止对土壤、地下水环境产生污染，加强重点防渗区的检查和维护，防止污水渗漏引起地下水污染，制定应急预案，一旦发现项目对地下水环境造成影响，立即采取有效措施防止污染扩大，保护地下水资源。</w:t>
            </w:r>
          </w:p>
          <w:p w14:paraId="67393FA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default"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w:t>
            </w:r>
            <w:r>
              <w:rPr>
                <w:rFonts w:hint="default" w:ascii="Times New Roman" w:hAnsi="Times New Roman" w:eastAsia="宋体" w:cs="Times New Roman"/>
                <w:b/>
                <w:bCs/>
                <w:color w:val="auto"/>
                <w:kern w:val="2"/>
                <w:sz w:val="24"/>
                <w:szCs w:val="24"/>
                <w:lang w:val="en-US" w:eastAsia="zh-CN"/>
              </w:rPr>
              <w:t>4-</w:t>
            </w:r>
            <w:r>
              <w:rPr>
                <w:rFonts w:hint="eastAsia" w:ascii="Times New Roman" w:hAnsi="Times New Roman" w:eastAsia="宋体" w:cs="Times New Roman"/>
                <w:b/>
                <w:bCs/>
                <w:color w:val="auto"/>
                <w:kern w:val="2"/>
                <w:sz w:val="24"/>
                <w:szCs w:val="24"/>
                <w:lang w:val="en-US" w:eastAsia="zh-CN"/>
              </w:rPr>
              <w:t>19</w:t>
            </w:r>
            <w:r>
              <w:rPr>
                <w:rFonts w:hint="default" w:ascii="Times New Roman" w:hAnsi="Times New Roman" w:eastAsia="宋体" w:cs="Times New Roman"/>
                <w:b/>
                <w:bCs/>
                <w:color w:val="auto"/>
                <w:kern w:val="2"/>
                <w:sz w:val="24"/>
                <w:szCs w:val="24"/>
                <w:lang w:val="en-US" w:eastAsia="zh-CN"/>
              </w:rPr>
              <w:t xml:space="preserve">  项目防渗要求一览表</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15"/>
              <w:gridCol w:w="2497"/>
            </w:tblGrid>
            <w:tr w14:paraId="3590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661" w:type="pct"/>
                  <w:tcBorders>
                    <w:top w:val="single" w:color="auto" w:sz="4" w:space="0"/>
                    <w:left w:val="single" w:color="auto" w:sz="4" w:space="0"/>
                    <w:bottom w:val="single" w:color="auto" w:sz="4" w:space="0"/>
                    <w:right w:val="single" w:color="auto" w:sz="4" w:space="0"/>
                  </w:tcBorders>
                  <w:noWrap w:val="0"/>
                  <w:vAlign w:val="center"/>
                </w:tcPr>
                <w:p w14:paraId="36BB8F44">
                  <w:pPr>
                    <w:jc w:val="center"/>
                    <w:rPr>
                      <w:b/>
                      <w:bCs/>
                      <w:color w:val="auto"/>
                      <w:szCs w:val="21"/>
                      <w:highlight w:val="none"/>
                    </w:rPr>
                  </w:pPr>
                  <w:r>
                    <w:rPr>
                      <w:b/>
                      <w:bCs/>
                      <w:color w:val="auto"/>
                      <w:szCs w:val="21"/>
                      <w:highlight w:val="none"/>
                    </w:rPr>
                    <w:t>分类</w:t>
                  </w:r>
                </w:p>
              </w:tc>
              <w:tc>
                <w:tcPr>
                  <w:tcW w:w="2815" w:type="pct"/>
                  <w:tcBorders>
                    <w:top w:val="single" w:color="auto" w:sz="4" w:space="0"/>
                    <w:left w:val="nil"/>
                    <w:bottom w:val="single" w:color="auto" w:sz="4" w:space="0"/>
                    <w:right w:val="single" w:color="auto" w:sz="4" w:space="0"/>
                  </w:tcBorders>
                  <w:noWrap w:val="0"/>
                  <w:vAlign w:val="center"/>
                </w:tcPr>
                <w:p w14:paraId="5C60A49F">
                  <w:pPr>
                    <w:jc w:val="center"/>
                    <w:rPr>
                      <w:b/>
                      <w:bCs/>
                      <w:color w:val="auto"/>
                      <w:szCs w:val="21"/>
                      <w:highlight w:val="none"/>
                    </w:rPr>
                  </w:pPr>
                  <w:r>
                    <w:rPr>
                      <w:b/>
                      <w:bCs/>
                      <w:color w:val="auto"/>
                      <w:szCs w:val="21"/>
                      <w:highlight w:val="none"/>
                    </w:rPr>
                    <w:t>防渗要求</w:t>
                  </w:r>
                </w:p>
              </w:tc>
              <w:tc>
                <w:tcPr>
                  <w:tcW w:w="1523" w:type="pct"/>
                  <w:tcBorders>
                    <w:top w:val="single" w:color="auto" w:sz="4" w:space="0"/>
                    <w:left w:val="nil"/>
                    <w:bottom w:val="single" w:color="auto" w:sz="4" w:space="0"/>
                    <w:right w:val="single" w:color="auto" w:sz="4" w:space="0"/>
                  </w:tcBorders>
                  <w:noWrap w:val="0"/>
                  <w:vAlign w:val="center"/>
                </w:tcPr>
                <w:p w14:paraId="60188FF2">
                  <w:pPr>
                    <w:jc w:val="center"/>
                    <w:rPr>
                      <w:b/>
                      <w:bCs/>
                      <w:color w:val="auto"/>
                      <w:szCs w:val="21"/>
                      <w:highlight w:val="none"/>
                    </w:rPr>
                  </w:pPr>
                  <w:r>
                    <w:rPr>
                      <w:b/>
                      <w:bCs/>
                      <w:color w:val="auto"/>
                      <w:szCs w:val="21"/>
                      <w:highlight w:val="none"/>
                    </w:rPr>
                    <w:t>区域</w:t>
                  </w:r>
                </w:p>
              </w:tc>
            </w:tr>
            <w:tr w14:paraId="7157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661" w:type="pct"/>
                  <w:tcBorders>
                    <w:top w:val="single" w:color="auto" w:sz="4" w:space="0"/>
                    <w:left w:val="single" w:color="auto" w:sz="4" w:space="0"/>
                    <w:bottom w:val="single" w:color="auto" w:sz="4" w:space="0"/>
                    <w:right w:val="single" w:color="auto" w:sz="4" w:space="0"/>
                  </w:tcBorders>
                  <w:noWrap w:val="0"/>
                  <w:vAlign w:val="center"/>
                </w:tcPr>
                <w:p w14:paraId="3343CF64">
                  <w:pPr>
                    <w:jc w:val="center"/>
                    <w:rPr>
                      <w:color w:val="auto"/>
                      <w:szCs w:val="21"/>
                      <w:highlight w:val="none"/>
                    </w:rPr>
                  </w:pPr>
                  <w:r>
                    <w:rPr>
                      <w:color w:val="auto"/>
                      <w:szCs w:val="21"/>
                      <w:highlight w:val="none"/>
                    </w:rPr>
                    <w:t>重点防渗区</w:t>
                  </w:r>
                </w:p>
              </w:tc>
              <w:tc>
                <w:tcPr>
                  <w:tcW w:w="2815" w:type="pct"/>
                  <w:tcBorders>
                    <w:top w:val="single" w:color="auto" w:sz="4" w:space="0"/>
                    <w:left w:val="nil"/>
                    <w:bottom w:val="single" w:color="auto" w:sz="4" w:space="0"/>
                    <w:right w:val="single" w:color="auto" w:sz="4" w:space="0"/>
                  </w:tcBorders>
                  <w:noWrap w:val="0"/>
                  <w:vAlign w:val="center"/>
                </w:tcPr>
                <w:p w14:paraId="3B419777">
                  <w:pPr>
                    <w:jc w:val="center"/>
                    <w:rPr>
                      <w:color w:val="auto"/>
                      <w:szCs w:val="21"/>
                      <w:highlight w:val="none"/>
                    </w:rPr>
                  </w:pPr>
                  <w:r>
                    <w:rPr>
                      <w:color w:val="auto"/>
                      <w:szCs w:val="21"/>
                      <w:highlight w:val="none"/>
                    </w:rPr>
                    <w:t>采取</w:t>
                  </w:r>
                  <w:r>
                    <w:rPr>
                      <w:rFonts w:hint="eastAsia"/>
                      <w:color w:val="auto"/>
                      <w:szCs w:val="21"/>
                      <w:highlight w:val="none"/>
                    </w:rPr>
                    <w:t>“</w:t>
                  </w:r>
                  <w:r>
                    <w:rPr>
                      <w:color w:val="auto"/>
                      <w:szCs w:val="21"/>
                      <w:highlight w:val="none"/>
                    </w:rPr>
                    <w:t>混凝土防渗结构+HPDE防渗膜</w:t>
                  </w:r>
                  <w:r>
                    <w:rPr>
                      <w:rFonts w:hint="eastAsia"/>
                      <w:color w:val="auto"/>
                      <w:szCs w:val="21"/>
                      <w:highlight w:val="none"/>
                    </w:rPr>
                    <w:t>”</w:t>
                  </w:r>
                  <w:r>
                    <w:rPr>
                      <w:color w:val="auto"/>
                      <w:szCs w:val="21"/>
                      <w:highlight w:val="none"/>
                    </w:rPr>
                    <w:t>，等效粘土防渗层Mb</w:t>
                  </w:r>
                  <w:r>
                    <w:rPr>
                      <w:rFonts w:hint="eastAsia"/>
                      <w:color w:val="auto"/>
                      <w:szCs w:val="21"/>
                      <w:highlight w:val="none"/>
                    </w:rPr>
                    <w:t>≥</w:t>
                  </w:r>
                  <w:r>
                    <w:rPr>
                      <w:color w:val="auto"/>
                      <w:szCs w:val="21"/>
                      <w:highlight w:val="none"/>
                    </w:rPr>
                    <w:t>6.0m，防渗系数不低于10</w:t>
                  </w:r>
                  <w:r>
                    <w:rPr>
                      <w:rFonts w:hint="eastAsia"/>
                      <w:color w:val="auto"/>
                      <w:szCs w:val="21"/>
                      <w:highlight w:val="none"/>
                      <w:lang w:eastAsia="zh-CN"/>
                    </w:rPr>
                    <w:t>—</w:t>
                  </w:r>
                  <w:r>
                    <w:rPr>
                      <w:color w:val="auto"/>
                      <w:szCs w:val="21"/>
                      <w:highlight w:val="none"/>
                      <w:vertAlign w:val="superscript"/>
                    </w:rPr>
                    <w:t>7</w:t>
                  </w:r>
                  <w:r>
                    <w:rPr>
                      <w:color w:val="auto"/>
                      <w:szCs w:val="21"/>
                      <w:highlight w:val="none"/>
                    </w:rPr>
                    <w:t>cm/s</w:t>
                  </w:r>
                </w:p>
              </w:tc>
              <w:tc>
                <w:tcPr>
                  <w:tcW w:w="1523" w:type="pct"/>
                  <w:tcBorders>
                    <w:top w:val="single" w:color="auto" w:sz="4" w:space="0"/>
                    <w:left w:val="nil"/>
                    <w:bottom w:val="single" w:color="auto" w:sz="4" w:space="0"/>
                    <w:right w:val="single" w:color="auto" w:sz="4" w:space="0"/>
                  </w:tcBorders>
                  <w:noWrap w:val="0"/>
                  <w:vAlign w:val="center"/>
                </w:tcPr>
                <w:p w14:paraId="31F86583">
                  <w:pPr>
                    <w:jc w:val="center"/>
                    <w:rPr>
                      <w:rFonts w:hint="eastAsia" w:eastAsia="宋体"/>
                      <w:color w:val="auto"/>
                      <w:szCs w:val="21"/>
                      <w:highlight w:val="none"/>
                      <w:lang w:eastAsia="zh-CN"/>
                    </w:rPr>
                  </w:pPr>
                  <w:r>
                    <w:rPr>
                      <w:rFonts w:hint="eastAsia"/>
                      <w:color w:val="auto"/>
                      <w:szCs w:val="21"/>
                      <w:highlight w:val="none"/>
                    </w:rPr>
                    <w:t>危废暂存区域</w:t>
                  </w:r>
                </w:p>
              </w:tc>
            </w:tr>
            <w:tr w14:paraId="4631C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61" w:type="pct"/>
                  <w:tcBorders>
                    <w:top w:val="single" w:color="auto" w:sz="4" w:space="0"/>
                    <w:left w:val="single" w:color="auto" w:sz="4" w:space="0"/>
                    <w:bottom w:val="single" w:color="auto" w:sz="4" w:space="0"/>
                    <w:right w:val="single" w:color="auto" w:sz="4" w:space="0"/>
                  </w:tcBorders>
                  <w:noWrap w:val="0"/>
                  <w:vAlign w:val="center"/>
                </w:tcPr>
                <w:p w14:paraId="285EC9B7">
                  <w:pPr>
                    <w:jc w:val="center"/>
                    <w:rPr>
                      <w:color w:val="auto"/>
                      <w:szCs w:val="21"/>
                      <w:highlight w:val="none"/>
                    </w:rPr>
                  </w:pPr>
                  <w:r>
                    <w:rPr>
                      <w:color w:val="auto"/>
                      <w:szCs w:val="21"/>
                      <w:highlight w:val="none"/>
                    </w:rPr>
                    <w:t>一般防渗区</w:t>
                  </w:r>
                </w:p>
              </w:tc>
              <w:tc>
                <w:tcPr>
                  <w:tcW w:w="2815" w:type="pct"/>
                  <w:tcBorders>
                    <w:top w:val="single" w:color="auto" w:sz="4" w:space="0"/>
                    <w:left w:val="nil"/>
                    <w:bottom w:val="single" w:color="auto" w:sz="4" w:space="0"/>
                    <w:right w:val="single" w:color="auto" w:sz="4" w:space="0"/>
                  </w:tcBorders>
                  <w:noWrap w:val="0"/>
                  <w:vAlign w:val="center"/>
                </w:tcPr>
                <w:p w14:paraId="4CFA0269">
                  <w:pPr>
                    <w:jc w:val="center"/>
                    <w:rPr>
                      <w:color w:val="auto"/>
                      <w:szCs w:val="21"/>
                      <w:highlight w:val="none"/>
                    </w:rPr>
                  </w:pPr>
                  <w:r>
                    <w:rPr>
                      <w:color w:val="auto"/>
                      <w:szCs w:val="21"/>
                      <w:highlight w:val="none"/>
                    </w:rPr>
                    <w:t>等效粘土防渗层Mb</w:t>
                  </w:r>
                  <w:r>
                    <w:rPr>
                      <w:rFonts w:hint="eastAsia"/>
                      <w:color w:val="auto"/>
                      <w:szCs w:val="21"/>
                      <w:highlight w:val="none"/>
                    </w:rPr>
                    <w:t>≥</w:t>
                  </w:r>
                  <w:r>
                    <w:rPr>
                      <w:color w:val="auto"/>
                      <w:szCs w:val="21"/>
                      <w:highlight w:val="none"/>
                    </w:rPr>
                    <w:t>1.5m，防渗系数不低于10</w:t>
                  </w:r>
                  <w:r>
                    <w:rPr>
                      <w:rFonts w:hint="eastAsia"/>
                      <w:color w:val="auto"/>
                      <w:szCs w:val="21"/>
                      <w:highlight w:val="none"/>
                      <w:lang w:eastAsia="zh-CN"/>
                    </w:rPr>
                    <w:t>—</w:t>
                  </w:r>
                  <w:r>
                    <w:rPr>
                      <w:color w:val="auto"/>
                      <w:szCs w:val="21"/>
                      <w:highlight w:val="none"/>
                      <w:vertAlign w:val="superscript"/>
                    </w:rPr>
                    <w:t>7</w:t>
                  </w:r>
                  <w:r>
                    <w:rPr>
                      <w:color w:val="auto"/>
                      <w:szCs w:val="21"/>
                      <w:highlight w:val="none"/>
                    </w:rPr>
                    <w:t>cm/s</w:t>
                  </w:r>
                </w:p>
              </w:tc>
              <w:tc>
                <w:tcPr>
                  <w:tcW w:w="1523" w:type="pct"/>
                  <w:tcBorders>
                    <w:top w:val="single" w:color="auto" w:sz="4" w:space="0"/>
                    <w:left w:val="nil"/>
                    <w:bottom w:val="single" w:color="auto" w:sz="4" w:space="0"/>
                    <w:right w:val="single" w:color="auto" w:sz="4" w:space="0"/>
                  </w:tcBorders>
                  <w:noWrap w:val="0"/>
                  <w:vAlign w:val="center"/>
                </w:tcPr>
                <w:p w14:paraId="554892BE">
                  <w:pPr>
                    <w:jc w:val="center"/>
                    <w:rPr>
                      <w:color w:val="auto"/>
                      <w:szCs w:val="21"/>
                      <w:highlight w:val="none"/>
                    </w:rPr>
                  </w:pPr>
                  <w:r>
                    <w:rPr>
                      <w:rFonts w:hAnsi="宋体"/>
                      <w:color w:val="auto"/>
                      <w:kern w:val="0"/>
                      <w:szCs w:val="21"/>
                      <w:highlight w:val="none"/>
                    </w:rPr>
                    <w:t>除重点防渗区外的其他区域（不包括办公区）</w:t>
                  </w:r>
                </w:p>
              </w:tc>
            </w:tr>
          </w:tbl>
          <w:p w14:paraId="45002D1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FF0000"/>
                <w:sz w:val="18"/>
                <w:szCs w:val="18"/>
                <w:highlight w:val="none"/>
                <w:lang w:val="en-US" w:eastAsia="zh-CN"/>
              </w:rPr>
            </w:pPr>
          </w:p>
          <w:p w14:paraId="728113D5">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482" w:firstLineChars="200"/>
              <w:textAlignment w:val="auto"/>
              <w:rPr>
                <w:rFonts w:hint="eastAsia" w:ascii="Times New Roman" w:hAnsi="Times New Roman" w:eastAsia="宋体" w:cs="Times New Roman"/>
                <w:b/>
                <w:bCs/>
                <w:color w:val="auto"/>
                <w:kern w:val="2"/>
                <w:sz w:val="24"/>
                <w:szCs w:val="24"/>
                <w:lang w:val="en-US" w:eastAsia="zh-CN"/>
              </w:rPr>
            </w:pPr>
            <w:r>
              <w:rPr>
                <w:rFonts w:hint="eastAsia" w:cs="Times New Roman"/>
                <w:b/>
                <w:bCs/>
                <w:color w:val="auto"/>
                <w:kern w:val="2"/>
                <w:sz w:val="24"/>
                <w:szCs w:val="24"/>
                <w:lang w:val="en-US" w:eastAsia="zh-CN"/>
              </w:rPr>
              <w:t>6.</w:t>
            </w:r>
            <w:r>
              <w:rPr>
                <w:rFonts w:hint="eastAsia" w:ascii="Times New Roman" w:hAnsi="Times New Roman" w:eastAsia="宋体" w:cs="Times New Roman"/>
                <w:b/>
                <w:bCs/>
                <w:color w:val="auto"/>
                <w:kern w:val="2"/>
                <w:sz w:val="24"/>
                <w:szCs w:val="24"/>
                <w:lang w:val="en-US" w:eastAsia="zh-CN"/>
              </w:rPr>
              <w:t>环境风险评价</w:t>
            </w:r>
          </w:p>
          <w:p w14:paraId="3824864F">
            <w:pPr>
              <w:spacing w:line="360" w:lineRule="auto"/>
              <w:ind w:firstLine="480"/>
              <w:rPr>
                <w:rFonts w:hint="default" w:ascii="Times New Roman" w:hAnsi="Times New Roman" w:eastAsia="宋体" w:cs="叶根友毛笔行书2.0版"/>
                <w:b/>
                <w:bCs/>
                <w:color w:val="auto"/>
                <w:sz w:val="24"/>
                <w:szCs w:val="24"/>
                <w:highlight w:val="none"/>
                <w:lang w:val="en-US" w:eastAsia="zh-CN"/>
              </w:rPr>
            </w:pPr>
            <w:r>
              <w:rPr>
                <w:rFonts w:hint="eastAsia" w:ascii="Times New Roman" w:hAnsi="Times New Roman" w:cs="叶根友毛笔行书2.0版"/>
                <w:b/>
                <w:bCs/>
                <w:color w:val="auto"/>
                <w:sz w:val="24"/>
                <w:szCs w:val="24"/>
                <w:highlight w:val="none"/>
                <w:lang w:val="en-US" w:eastAsia="zh-CN"/>
              </w:rPr>
              <w:t>（1）风险识别与评价</w:t>
            </w:r>
          </w:p>
          <w:p w14:paraId="0C81EFF8">
            <w:pPr>
              <w:tabs>
                <w:tab w:val="left" w:pos="420"/>
              </w:tabs>
              <w:adjustRightInd w:val="0"/>
              <w:snapToGrid w:val="0"/>
              <w:spacing w:line="360" w:lineRule="auto"/>
              <w:ind w:firstLine="513" w:firstLineChars="214"/>
              <w:rPr>
                <w:color w:val="auto"/>
                <w:sz w:val="24"/>
                <w:highlight w:val="none"/>
              </w:rPr>
            </w:pPr>
            <w:r>
              <w:rPr>
                <w:rFonts w:hint="eastAsia"/>
                <w:color w:val="auto"/>
                <w:sz w:val="24"/>
                <w:highlight w:val="none"/>
                <w:lang w:val="en-US" w:eastAsia="zh-CN"/>
              </w:rPr>
              <w:t>环境风险评价的目的是分析和预测建设项目存在的潜在危险、有害因素、建设项目的建设和运行期间可能发生的突发性事件或事故（一般不包括人为破坏及自然灾害）引起有毒有害和易燃易爆等物质泄漏所造成的人身安全与环境影响和损害程度，并提出合理可行的防范、应急与减缓措施，以使建设项目事故率、损失和环境影响达到可接受的水平。</w:t>
            </w:r>
          </w:p>
          <w:p w14:paraId="03BE7DDC">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①风险调查</w:t>
            </w:r>
          </w:p>
          <w:p w14:paraId="7DD289E5">
            <w:pPr>
              <w:tabs>
                <w:tab w:val="left" w:pos="420"/>
              </w:tabs>
              <w:adjustRightInd w:val="0"/>
              <w:snapToGrid w:val="0"/>
              <w:spacing w:line="360" w:lineRule="auto"/>
              <w:ind w:firstLine="513" w:firstLineChars="214"/>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经查询《建设项目环境风险评价技术导则》（HJ 169-2018）附录B表B.1、《化学品分类和标签规范 第18部分：急性毒性》（GB 30000.18-2013）及危险化学品重大危险源辨识（GB 18218-2018），本项目所使用的原辅材料中</w:t>
            </w:r>
            <w:r>
              <w:rPr>
                <w:rFonts w:hint="default" w:ascii="Times New Roman" w:hAnsi="Times New Roman" w:eastAsia="宋体" w:cs="Times New Roman"/>
                <w:color w:val="auto"/>
                <w:sz w:val="24"/>
                <w:highlight w:val="none"/>
                <w:lang w:eastAsia="zh-CN"/>
              </w:rPr>
              <w:t>不涉及</w:t>
            </w:r>
            <w:r>
              <w:rPr>
                <w:rFonts w:hint="eastAsia" w:ascii="Times New Roman" w:hAnsi="Times New Roman" w:eastAsia="宋体" w:cs="Times New Roman"/>
                <w:color w:val="auto"/>
                <w:sz w:val="24"/>
                <w:highlight w:val="none"/>
                <w:lang w:val="en-US" w:eastAsia="zh-CN"/>
              </w:rPr>
              <w:t>健康危险急性毒性物质。</w:t>
            </w:r>
          </w:p>
          <w:p w14:paraId="02A8B8F9">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②风险潜势初判</w:t>
            </w:r>
          </w:p>
          <w:p w14:paraId="1DCD6230">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根据《建设项目环境风险评价技术导则》（HJ 169-2018），项目涉及的危险化学品名称、临界量及实际最大储存量见下表。</w:t>
            </w:r>
          </w:p>
          <w:p w14:paraId="268BE3E5">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③Q值计算</w:t>
            </w:r>
          </w:p>
          <w:p w14:paraId="7EADAF16">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根据《建设项目环境风险评价技术导则》（HJ169-2018）附录C中有关规定，计算所涉及的每种危险物质在厂界内的最大存在总量与其在附录B中对应临界量的比值Q，在不同厂区的同一种物质，按其在厂界内的最大存在总量计算。</w:t>
            </w:r>
          </w:p>
          <w:p w14:paraId="1574789D">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当只涉及一种危险物质时，计算该物质的总量与其临界量的比值，即为Q；当存在多种危险物质时，则按下式计算物质总量与其临界量比值（Q）：</w:t>
            </w:r>
          </w:p>
          <w:p w14:paraId="69C68802">
            <w:pPr>
              <w:tabs>
                <w:tab w:val="left" w:pos="420"/>
              </w:tabs>
              <w:adjustRightInd w:val="0"/>
              <w:snapToGrid w:val="0"/>
              <w:spacing w:line="360" w:lineRule="auto"/>
              <w:ind w:firstLine="449" w:firstLineChars="214"/>
              <w:jc w:val="center"/>
              <w:rPr>
                <w:rFonts w:hint="eastAsia" w:ascii="Times New Roman" w:hAnsi="Times New Roman" w:eastAsia="宋体" w:cs="Times New Roman"/>
                <w:color w:val="auto"/>
                <w:sz w:val="24"/>
                <w:highlight w:val="none"/>
                <w:lang w:val="en-US" w:eastAsia="zh-CN"/>
              </w:rPr>
            </w:pPr>
            <w:r>
              <w:rPr>
                <w:color w:val="auto"/>
                <w:highlight w:val="none"/>
              </w:rPr>
              <w:drawing>
                <wp:inline distT="0" distB="0" distL="114300" distR="114300">
                  <wp:extent cx="1805940" cy="548640"/>
                  <wp:effectExtent l="0" t="0" r="0" b="0"/>
                  <wp:docPr id="54"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73"/>
                          <pic:cNvPicPr>
                            <a:picLocks noChangeAspect="1"/>
                          </pic:cNvPicPr>
                        </pic:nvPicPr>
                        <pic:blipFill>
                          <a:blip r:embed="rId37"/>
                          <a:stretch>
                            <a:fillRect/>
                          </a:stretch>
                        </pic:blipFill>
                        <pic:spPr>
                          <a:xfrm>
                            <a:off x="0" y="0"/>
                            <a:ext cx="1805940" cy="548640"/>
                          </a:xfrm>
                          <a:prstGeom prst="rect">
                            <a:avLst/>
                          </a:prstGeom>
                          <a:noFill/>
                          <a:ln>
                            <a:noFill/>
                          </a:ln>
                        </pic:spPr>
                      </pic:pic>
                    </a:graphicData>
                  </a:graphic>
                </wp:inline>
              </w:drawing>
            </w:r>
          </w:p>
          <w:p w14:paraId="1E0F2F22">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式中：</w:t>
            </w:r>
          </w:p>
          <w:p w14:paraId="3E760521">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q1，q2</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qn/每种危险物质</w:t>
            </w:r>
            <w:r>
              <w:rPr>
                <w:rFonts w:hint="eastAsia" w:cs="Times New Roman"/>
                <w:color w:val="auto"/>
                <w:sz w:val="24"/>
                <w:highlight w:val="none"/>
                <w:lang w:val="en-US" w:eastAsia="zh-CN"/>
              </w:rPr>
              <w:t>的</w:t>
            </w:r>
            <w:r>
              <w:rPr>
                <w:rFonts w:hint="eastAsia" w:ascii="Times New Roman" w:hAnsi="Times New Roman" w:eastAsia="宋体" w:cs="Times New Roman"/>
                <w:color w:val="auto"/>
                <w:sz w:val="24"/>
                <w:highlight w:val="none"/>
                <w:lang w:val="en-US" w:eastAsia="zh-CN"/>
              </w:rPr>
              <w:t>最大存在总量，t；</w:t>
            </w:r>
          </w:p>
          <w:p w14:paraId="47D1F1A0">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Q1，Q2</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Qn/每种危险物质的临界量，t。</w:t>
            </w:r>
          </w:p>
          <w:p w14:paraId="65D37C8A">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当 Q＜1 时，该项目环境风险潜势为Ⅰ。</w:t>
            </w:r>
          </w:p>
          <w:p w14:paraId="1E40EC9A">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当 1≤Q 时，将 Q 值划分为：（1）1≤Q＜10，（2）10≤Q＜100，（3）Q≥100。</w:t>
            </w:r>
          </w:p>
          <w:p w14:paraId="52C9B76A">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本项目化学品仓库中储存的物质均属于危险化学品，根据《建设项目环境风险评价技术导则》（HJ 169-2018）附录 B 中重点关注的危险物质及临界量，本项目机油、相关危险废物等属于突发环境事件风险物质，本项目风险源识别见下表</w:t>
            </w:r>
          </w:p>
          <w:p w14:paraId="7F672D02">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center"/>
              <w:textAlignment w:val="auto"/>
              <w:outlineLvl w:val="3"/>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表4-20  项目危险物质数量与临界量比值识别情况一览表</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43"/>
              <w:gridCol w:w="1160"/>
              <w:gridCol w:w="1201"/>
              <w:gridCol w:w="995"/>
              <w:gridCol w:w="851"/>
              <w:gridCol w:w="1062"/>
              <w:gridCol w:w="854"/>
              <w:gridCol w:w="1326"/>
            </w:tblGrid>
            <w:tr w14:paraId="1B134A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61" w:type="pct"/>
                  <w:gridSpan w:val="2"/>
                  <w:tcBorders>
                    <w:tl2br w:val="nil"/>
                    <w:tr2bl w:val="nil"/>
                  </w:tcBorders>
                  <w:noWrap w:val="0"/>
                  <w:vAlign w:val="center"/>
                </w:tcPr>
                <w:p w14:paraId="612EAA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名称</w:t>
                  </w:r>
                </w:p>
              </w:tc>
              <w:tc>
                <w:tcPr>
                  <w:tcW w:w="733" w:type="pct"/>
                  <w:tcBorders>
                    <w:tl2br w:val="nil"/>
                    <w:tr2bl w:val="nil"/>
                  </w:tcBorders>
                  <w:noWrap w:val="0"/>
                  <w:vAlign w:val="center"/>
                </w:tcPr>
                <w:p w14:paraId="786256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位置</w:t>
                  </w:r>
                </w:p>
              </w:tc>
              <w:tc>
                <w:tcPr>
                  <w:tcW w:w="607" w:type="pct"/>
                  <w:tcBorders>
                    <w:tl2br w:val="nil"/>
                    <w:tr2bl w:val="nil"/>
                  </w:tcBorders>
                  <w:noWrap w:val="0"/>
                  <w:vAlign w:val="center"/>
                </w:tcPr>
                <w:p w14:paraId="51D20A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状态</w:t>
                  </w:r>
                </w:p>
              </w:tc>
              <w:tc>
                <w:tcPr>
                  <w:tcW w:w="519" w:type="pct"/>
                  <w:tcBorders>
                    <w:tl2br w:val="nil"/>
                    <w:tr2bl w:val="nil"/>
                  </w:tcBorders>
                  <w:noWrap w:val="0"/>
                  <w:vAlign w:val="center"/>
                </w:tcPr>
                <w:p w14:paraId="5C6027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储存方法</w:t>
                  </w:r>
                </w:p>
              </w:tc>
              <w:tc>
                <w:tcPr>
                  <w:tcW w:w="648" w:type="pct"/>
                  <w:tcBorders>
                    <w:tl2br w:val="nil"/>
                    <w:tr2bl w:val="nil"/>
                  </w:tcBorders>
                  <w:noWrap w:val="0"/>
                  <w:vAlign w:val="center"/>
                </w:tcPr>
                <w:p w14:paraId="6AE85F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厂区最大</w:t>
                  </w:r>
                  <w:r>
                    <w:rPr>
                      <w:rFonts w:hint="default" w:ascii="Times New Roman" w:hAnsi="Times New Roman" w:eastAsia="宋体" w:cs="Times New Roman"/>
                      <w:b/>
                      <w:bCs/>
                      <w:color w:val="auto"/>
                      <w:sz w:val="21"/>
                      <w:szCs w:val="21"/>
                      <w:highlight w:val="none"/>
                      <w:lang w:val="en-US" w:eastAsia="zh-CN"/>
                    </w:rPr>
                    <w:t>储量</w:t>
                  </w:r>
                  <w:r>
                    <w:rPr>
                      <w:rFonts w:hint="eastAsia" w:ascii="Times New Roman" w:hAnsi="Times New Roman" w:eastAsia="宋体" w:cs="Times New Roman"/>
                      <w:b/>
                      <w:bCs/>
                      <w:color w:val="auto"/>
                      <w:sz w:val="21"/>
                      <w:szCs w:val="21"/>
                      <w:highlight w:val="none"/>
                      <w:lang w:val="en-US" w:eastAsia="zh-CN"/>
                    </w:rPr>
                    <w:t>qi/</w:t>
                  </w:r>
                  <w:r>
                    <w:rPr>
                      <w:rFonts w:hint="default" w:ascii="Times New Roman" w:hAnsi="Times New Roman" w:eastAsia="宋体" w:cs="Times New Roman"/>
                      <w:b/>
                      <w:bCs/>
                      <w:color w:val="auto"/>
                      <w:sz w:val="21"/>
                      <w:szCs w:val="21"/>
                      <w:highlight w:val="none"/>
                      <w:lang w:val="en-US" w:eastAsia="zh-CN"/>
                    </w:rPr>
                    <w:t>t</w:t>
                  </w:r>
                </w:p>
              </w:tc>
              <w:tc>
                <w:tcPr>
                  <w:tcW w:w="521" w:type="pct"/>
                  <w:tcBorders>
                    <w:tl2br w:val="nil"/>
                    <w:tr2bl w:val="nil"/>
                  </w:tcBorders>
                  <w:noWrap w:val="0"/>
                  <w:vAlign w:val="center"/>
                </w:tcPr>
                <w:p w14:paraId="52D98F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临界量</w:t>
                  </w:r>
                  <w:r>
                    <w:rPr>
                      <w:rFonts w:hint="eastAsia" w:ascii="Times New Roman" w:hAnsi="Times New Roman" w:eastAsia="宋体" w:cs="Times New Roman"/>
                      <w:b/>
                      <w:bCs/>
                      <w:color w:val="auto"/>
                      <w:sz w:val="21"/>
                      <w:szCs w:val="21"/>
                      <w:highlight w:val="none"/>
                      <w:lang w:val="en-US" w:eastAsia="zh-CN"/>
                    </w:rPr>
                    <w:t>/t</w:t>
                  </w:r>
                </w:p>
              </w:tc>
              <w:tc>
                <w:tcPr>
                  <w:tcW w:w="809" w:type="pct"/>
                  <w:tcBorders>
                    <w:tl2br w:val="nil"/>
                    <w:tr2bl w:val="nil"/>
                  </w:tcBorders>
                  <w:noWrap w:val="0"/>
                  <w:vAlign w:val="center"/>
                </w:tcPr>
                <w:p w14:paraId="0DF563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比值（</w:t>
                  </w:r>
                  <w:r>
                    <w:rPr>
                      <w:rFonts w:hint="eastAsia" w:ascii="Times New Roman" w:hAnsi="Times New Roman" w:eastAsia="宋体" w:cs="Times New Roman"/>
                      <w:b/>
                      <w:bCs/>
                      <w:color w:val="auto"/>
                      <w:sz w:val="21"/>
                      <w:szCs w:val="21"/>
                      <w:highlight w:val="none"/>
                      <w:lang w:val="en-US" w:eastAsia="zh-CN"/>
                    </w:rPr>
                    <w:t>Qi/qi</w:t>
                  </w:r>
                  <w:r>
                    <w:rPr>
                      <w:rFonts w:hint="default" w:ascii="Times New Roman" w:hAnsi="Times New Roman" w:eastAsia="宋体" w:cs="Times New Roman"/>
                      <w:b/>
                      <w:bCs/>
                      <w:color w:val="auto"/>
                      <w:sz w:val="21"/>
                      <w:szCs w:val="21"/>
                      <w:highlight w:val="none"/>
                      <w:lang w:val="en-US" w:eastAsia="zh-CN"/>
                    </w:rPr>
                    <w:t>）</w:t>
                  </w:r>
                </w:p>
              </w:tc>
            </w:tr>
            <w:tr w14:paraId="15583A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61" w:type="pct"/>
                  <w:gridSpan w:val="2"/>
                  <w:tcBorders>
                    <w:tl2br w:val="nil"/>
                    <w:tr2bl w:val="nil"/>
                  </w:tcBorders>
                  <w:noWrap w:val="0"/>
                  <w:vAlign w:val="center"/>
                </w:tcPr>
                <w:p w14:paraId="7FBA8E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机油、润滑油</w:t>
                  </w:r>
                </w:p>
              </w:tc>
              <w:tc>
                <w:tcPr>
                  <w:tcW w:w="733" w:type="pct"/>
                  <w:tcBorders>
                    <w:tl2br w:val="nil"/>
                    <w:tr2bl w:val="nil"/>
                  </w:tcBorders>
                  <w:noWrap w:val="0"/>
                  <w:vAlign w:val="center"/>
                </w:tcPr>
                <w:p w14:paraId="01ABC3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原料仓库</w:t>
                  </w:r>
                </w:p>
              </w:tc>
              <w:tc>
                <w:tcPr>
                  <w:tcW w:w="607" w:type="pct"/>
                  <w:tcBorders>
                    <w:tl2br w:val="nil"/>
                    <w:tr2bl w:val="nil"/>
                  </w:tcBorders>
                  <w:noWrap w:val="0"/>
                  <w:vAlign w:val="center"/>
                </w:tcPr>
                <w:p w14:paraId="209A5E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半固</w:t>
                  </w:r>
                </w:p>
              </w:tc>
              <w:tc>
                <w:tcPr>
                  <w:tcW w:w="519" w:type="pct"/>
                  <w:tcBorders>
                    <w:tl2br w:val="nil"/>
                    <w:tr2bl w:val="nil"/>
                  </w:tcBorders>
                  <w:noWrap w:val="0"/>
                  <w:vAlign w:val="center"/>
                </w:tcPr>
                <w:p w14:paraId="5667A3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桶装</w:t>
                  </w:r>
                </w:p>
              </w:tc>
              <w:tc>
                <w:tcPr>
                  <w:tcW w:w="648" w:type="pct"/>
                  <w:tcBorders>
                    <w:tl2br w:val="nil"/>
                    <w:tr2bl w:val="nil"/>
                  </w:tcBorders>
                  <w:noWrap w:val="0"/>
                  <w:vAlign w:val="center"/>
                </w:tcPr>
                <w:p w14:paraId="1BA148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521" w:type="pct"/>
                  <w:tcBorders>
                    <w:tl2br w:val="nil"/>
                    <w:tr2bl w:val="nil"/>
                  </w:tcBorders>
                  <w:noWrap w:val="0"/>
                  <w:vAlign w:val="center"/>
                </w:tcPr>
                <w:p w14:paraId="573F76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2500</w:t>
                  </w:r>
                </w:p>
              </w:tc>
              <w:tc>
                <w:tcPr>
                  <w:tcW w:w="809" w:type="pct"/>
                  <w:tcBorders>
                    <w:tl2br w:val="nil"/>
                    <w:tr2bl w:val="nil"/>
                  </w:tcBorders>
                  <w:noWrap w:val="0"/>
                  <w:vAlign w:val="center"/>
                </w:tcPr>
                <w:p w14:paraId="08344D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0.0004</w:t>
                  </w:r>
                </w:p>
              </w:tc>
            </w:tr>
            <w:tr w14:paraId="25FAEA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pct"/>
                  <w:vMerge w:val="restart"/>
                  <w:tcBorders>
                    <w:tl2br w:val="nil"/>
                    <w:tr2bl w:val="nil"/>
                  </w:tcBorders>
                  <w:noWrap w:val="0"/>
                  <w:vAlign w:val="center"/>
                </w:tcPr>
                <w:p w14:paraId="7B4CD8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危险废物</w:t>
                  </w:r>
                </w:p>
              </w:tc>
              <w:tc>
                <w:tcPr>
                  <w:tcW w:w="708" w:type="pct"/>
                  <w:tcBorders>
                    <w:tl2br w:val="nil"/>
                    <w:tr2bl w:val="nil"/>
                  </w:tcBorders>
                  <w:noWrap w:val="0"/>
                  <w:vAlign w:val="center"/>
                </w:tcPr>
                <w:p w14:paraId="726A0592">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废机油</w:t>
                  </w:r>
                </w:p>
              </w:tc>
              <w:tc>
                <w:tcPr>
                  <w:tcW w:w="733" w:type="pct"/>
                  <w:vMerge w:val="restart"/>
                  <w:tcBorders>
                    <w:tl2br w:val="nil"/>
                    <w:tr2bl w:val="nil"/>
                  </w:tcBorders>
                  <w:noWrap w:val="0"/>
                  <w:vAlign w:val="center"/>
                </w:tcPr>
                <w:p w14:paraId="0CBB11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危废暂存间</w:t>
                  </w:r>
                </w:p>
              </w:tc>
              <w:tc>
                <w:tcPr>
                  <w:tcW w:w="607" w:type="pct"/>
                  <w:tcBorders>
                    <w:tl2br w:val="nil"/>
                    <w:tr2bl w:val="nil"/>
                  </w:tcBorders>
                  <w:noWrap w:val="0"/>
                  <w:vAlign w:val="center"/>
                </w:tcPr>
                <w:p w14:paraId="63FB61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固</w:t>
                  </w:r>
                </w:p>
              </w:tc>
              <w:tc>
                <w:tcPr>
                  <w:tcW w:w="519" w:type="pct"/>
                  <w:tcBorders>
                    <w:tl2br w:val="nil"/>
                    <w:tr2bl w:val="nil"/>
                  </w:tcBorders>
                  <w:noWrap w:val="0"/>
                  <w:vAlign w:val="center"/>
                </w:tcPr>
                <w:p w14:paraId="02E895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648" w:type="pct"/>
                  <w:tcBorders>
                    <w:tl2br w:val="nil"/>
                    <w:tr2bl w:val="nil"/>
                  </w:tcBorders>
                  <w:noWrap w:val="0"/>
                  <w:vAlign w:val="center"/>
                </w:tcPr>
                <w:p w14:paraId="757ECE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0.1</w:t>
                  </w:r>
                </w:p>
              </w:tc>
              <w:tc>
                <w:tcPr>
                  <w:tcW w:w="521" w:type="pct"/>
                  <w:vMerge w:val="restart"/>
                  <w:tcBorders>
                    <w:tl2br w:val="nil"/>
                    <w:tr2bl w:val="nil"/>
                  </w:tcBorders>
                  <w:noWrap w:val="0"/>
                  <w:vAlign w:val="center"/>
                </w:tcPr>
                <w:p w14:paraId="231C1A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500</w:t>
                  </w:r>
                </w:p>
              </w:tc>
              <w:tc>
                <w:tcPr>
                  <w:tcW w:w="809" w:type="pct"/>
                  <w:vMerge w:val="restart"/>
                  <w:tcBorders>
                    <w:tl2br w:val="nil"/>
                    <w:tr2bl w:val="nil"/>
                  </w:tcBorders>
                  <w:noWrap w:val="0"/>
                  <w:vAlign w:val="center"/>
                </w:tcPr>
                <w:p w14:paraId="1B7704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0.0</w:t>
                  </w:r>
                  <w:r>
                    <w:rPr>
                      <w:rFonts w:hint="eastAsia" w:ascii="Times New Roman" w:hAnsi="Times New Roman" w:eastAsia="宋体" w:cs="Times New Roman"/>
                      <w:color w:val="auto"/>
                      <w:kern w:val="2"/>
                      <w:sz w:val="21"/>
                      <w:szCs w:val="21"/>
                      <w:highlight w:val="none"/>
                      <w:lang w:val="en-US" w:eastAsia="zh-CN" w:bidi="ar-SA"/>
                    </w:rPr>
                    <w:t>3</w:t>
                  </w:r>
                  <w:r>
                    <w:rPr>
                      <w:rFonts w:hint="eastAsia" w:cs="Times New Roman"/>
                      <w:color w:val="auto"/>
                      <w:kern w:val="2"/>
                      <w:sz w:val="21"/>
                      <w:szCs w:val="21"/>
                      <w:highlight w:val="none"/>
                      <w:lang w:val="en-US" w:eastAsia="zh-CN" w:bidi="ar-SA"/>
                    </w:rPr>
                    <w:t>7</w:t>
                  </w:r>
                  <w:r>
                    <w:rPr>
                      <w:rFonts w:hint="eastAsia" w:ascii="Times New Roman" w:hAnsi="Times New Roman" w:eastAsia="宋体" w:cs="Times New Roman"/>
                      <w:color w:val="auto"/>
                      <w:kern w:val="2"/>
                      <w:sz w:val="21"/>
                      <w:szCs w:val="21"/>
                      <w:highlight w:val="none"/>
                      <w:lang w:val="en-US" w:eastAsia="zh-CN" w:bidi="ar-SA"/>
                    </w:rPr>
                    <w:t>5</w:t>
                  </w:r>
                </w:p>
              </w:tc>
            </w:tr>
            <w:tr w14:paraId="6FE6C8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pct"/>
                  <w:vMerge w:val="continue"/>
                  <w:tcBorders>
                    <w:tl2br w:val="nil"/>
                    <w:tr2bl w:val="nil"/>
                  </w:tcBorders>
                  <w:noWrap w:val="0"/>
                  <w:vAlign w:val="center"/>
                </w:tcPr>
                <w:p w14:paraId="1E0003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708" w:type="pct"/>
                  <w:tcBorders>
                    <w:tl2br w:val="nil"/>
                    <w:tr2bl w:val="nil"/>
                  </w:tcBorders>
                  <w:noWrap w:val="0"/>
                  <w:vAlign w:val="center"/>
                </w:tcPr>
                <w:p w14:paraId="6BFE6527">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废切削液</w:t>
                  </w:r>
                </w:p>
              </w:tc>
              <w:tc>
                <w:tcPr>
                  <w:tcW w:w="733" w:type="pct"/>
                  <w:vMerge w:val="continue"/>
                  <w:tcBorders>
                    <w:tl2br w:val="nil"/>
                    <w:tr2bl w:val="nil"/>
                  </w:tcBorders>
                  <w:noWrap w:val="0"/>
                  <w:vAlign w:val="center"/>
                </w:tcPr>
                <w:p w14:paraId="008D51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607" w:type="pct"/>
                  <w:tcBorders>
                    <w:tl2br w:val="nil"/>
                    <w:tr2bl w:val="nil"/>
                  </w:tcBorders>
                  <w:noWrap w:val="0"/>
                  <w:vAlign w:val="center"/>
                </w:tcPr>
                <w:p w14:paraId="7B48E6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液</w:t>
                  </w:r>
                </w:p>
              </w:tc>
              <w:tc>
                <w:tcPr>
                  <w:tcW w:w="519" w:type="pct"/>
                  <w:tcBorders>
                    <w:tl2br w:val="nil"/>
                    <w:tr2bl w:val="nil"/>
                  </w:tcBorders>
                  <w:noWrap w:val="0"/>
                  <w:vAlign w:val="center"/>
                </w:tcPr>
                <w:p w14:paraId="6877B5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桶装</w:t>
                  </w:r>
                </w:p>
              </w:tc>
              <w:tc>
                <w:tcPr>
                  <w:tcW w:w="648" w:type="pct"/>
                  <w:tcBorders>
                    <w:tl2br w:val="nil"/>
                    <w:tr2bl w:val="nil"/>
                  </w:tcBorders>
                  <w:noWrap w:val="0"/>
                  <w:vAlign w:val="center"/>
                </w:tcPr>
                <w:p w14:paraId="2666BF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0.2</w:t>
                  </w:r>
                </w:p>
              </w:tc>
              <w:tc>
                <w:tcPr>
                  <w:tcW w:w="521" w:type="pct"/>
                  <w:vMerge w:val="continue"/>
                  <w:tcBorders>
                    <w:tl2br w:val="nil"/>
                    <w:tr2bl w:val="nil"/>
                  </w:tcBorders>
                  <w:noWrap w:val="0"/>
                  <w:vAlign w:val="center"/>
                </w:tcPr>
                <w:p w14:paraId="10C85A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809" w:type="pct"/>
                  <w:vMerge w:val="continue"/>
                  <w:tcBorders>
                    <w:tl2br w:val="nil"/>
                    <w:tr2bl w:val="nil"/>
                  </w:tcBorders>
                  <w:noWrap w:val="0"/>
                  <w:vAlign w:val="center"/>
                </w:tcPr>
                <w:p w14:paraId="5CFEEA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3E3098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53" w:type="pct"/>
                  <w:vMerge w:val="continue"/>
                  <w:tcBorders>
                    <w:tl2br w:val="nil"/>
                    <w:tr2bl w:val="nil"/>
                  </w:tcBorders>
                  <w:noWrap w:val="0"/>
                  <w:vAlign w:val="center"/>
                </w:tcPr>
                <w:p w14:paraId="74065E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708" w:type="pct"/>
                  <w:tcBorders>
                    <w:tl2br w:val="nil"/>
                    <w:tr2bl w:val="nil"/>
                  </w:tcBorders>
                  <w:noWrap w:val="0"/>
                  <w:vAlign w:val="center"/>
                </w:tcPr>
                <w:p w14:paraId="563EEA55">
                  <w:pPr>
                    <w:topLinePunct/>
                    <w:adjustRightInd w:val="0"/>
                    <w:snapToGrid w:val="0"/>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废活性炭</w:t>
                  </w:r>
                </w:p>
              </w:tc>
              <w:tc>
                <w:tcPr>
                  <w:tcW w:w="733" w:type="pct"/>
                  <w:vMerge w:val="continue"/>
                  <w:tcBorders>
                    <w:tl2br w:val="nil"/>
                    <w:tr2bl w:val="nil"/>
                  </w:tcBorders>
                  <w:noWrap w:val="0"/>
                  <w:vAlign w:val="center"/>
                </w:tcPr>
                <w:p w14:paraId="4E0EAF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607" w:type="pct"/>
                  <w:tcBorders>
                    <w:tl2br w:val="nil"/>
                    <w:tr2bl w:val="nil"/>
                  </w:tcBorders>
                  <w:noWrap w:val="0"/>
                  <w:vAlign w:val="center"/>
                </w:tcPr>
                <w:p w14:paraId="627DB6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固</w:t>
                  </w:r>
                </w:p>
              </w:tc>
              <w:tc>
                <w:tcPr>
                  <w:tcW w:w="519" w:type="pct"/>
                  <w:tcBorders>
                    <w:tl2br w:val="nil"/>
                    <w:tr2bl w:val="nil"/>
                  </w:tcBorders>
                  <w:noWrap w:val="0"/>
                  <w:vAlign w:val="center"/>
                </w:tcPr>
                <w:p w14:paraId="106496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桶装</w:t>
                  </w:r>
                </w:p>
              </w:tc>
              <w:tc>
                <w:tcPr>
                  <w:tcW w:w="648" w:type="pct"/>
                  <w:tcBorders>
                    <w:tl2br w:val="nil"/>
                    <w:tr2bl w:val="nil"/>
                  </w:tcBorders>
                  <w:noWrap w:val="0"/>
                  <w:vAlign w:val="center"/>
                </w:tcPr>
                <w:p w14:paraId="3DEA49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r>
                    <w:rPr>
                      <w:rFonts w:hint="eastAsia" w:cs="Times New Roman"/>
                      <w:color w:val="auto"/>
                      <w:kern w:val="2"/>
                      <w:sz w:val="21"/>
                      <w:szCs w:val="21"/>
                      <w:highlight w:val="none"/>
                      <w:lang w:val="en-US" w:eastAsia="zh-CN" w:bidi="ar-SA"/>
                    </w:rPr>
                    <w:t>3.592</w:t>
                  </w:r>
                </w:p>
              </w:tc>
              <w:tc>
                <w:tcPr>
                  <w:tcW w:w="521" w:type="pct"/>
                  <w:vMerge w:val="continue"/>
                  <w:tcBorders>
                    <w:tl2br w:val="nil"/>
                    <w:tr2bl w:val="nil"/>
                  </w:tcBorders>
                  <w:noWrap w:val="0"/>
                  <w:vAlign w:val="center"/>
                </w:tcPr>
                <w:p w14:paraId="0D8F7D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809" w:type="pct"/>
                  <w:vMerge w:val="continue"/>
                  <w:tcBorders>
                    <w:tl2br w:val="nil"/>
                    <w:tr2bl w:val="nil"/>
                  </w:tcBorders>
                  <w:noWrap w:val="0"/>
                  <w:vAlign w:val="center"/>
                </w:tcPr>
                <w:p w14:paraId="64E5E0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195991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4190" w:type="pct"/>
                  <w:gridSpan w:val="7"/>
                  <w:tcBorders>
                    <w:tl2br w:val="nil"/>
                    <w:tr2bl w:val="nil"/>
                  </w:tcBorders>
                  <w:noWrap w:val="0"/>
                  <w:vAlign w:val="center"/>
                </w:tcPr>
                <w:p w14:paraId="08DEE2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合计</w:t>
                  </w:r>
                </w:p>
              </w:tc>
              <w:tc>
                <w:tcPr>
                  <w:tcW w:w="809" w:type="pct"/>
                  <w:tcBorders>
                    <w:tl2br w:val="nil"/>
                    <w:tr2bl w:val="nil"/>
                  </w:tcBorders>
                  <w:noWrap w:val="0"/>
                  <w:vAlign w:val="center"/>
                </w:tcPr>
                <w:p w14:paraId="71D81D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0.03</w:t>
                  </w:r>
                  <w:r>
                    <w:rPr>
                      <w:rFonts w:hint="eastAsia" w:cs="Times New Roman"/>
                      <w:color w:val="auto"/>
                      <w:kern w:val="2"/>
                      <w:sz w:val="21"/>
                      <w:szCs w:val="21"/>
                      <w:highlight w:val="none"/>
                      <w:lang w:val="en-US" w:eastAsia="zh-CN" w:bidi="ar-SA"/>
                    </w:rPr>
                    <w:t>7</w:t>
                  </w:r>
                </w:p>
              </w:tc>
            </w:tr>
          </w:tbl>
          <w:p w14:paraId="2A8CF8D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val="en-US" w:eastAsia="zh-CN"/>
              </w:rPr>
              <w:t>注：</w:t>
            </w:r>
            <w:r>
              <w:rPr>
                <w:rFonts w:hint="eastAsia" w:ascii="Times New Roman" w:hAnsi="Times New Roman" w:eastAsia="宋体" w:cs="Times New Roman"/>
                <w:color w:val="auto"/>
                <w:sz w:val="18"/>
                <w:szCs w:val="18"/>
                <w:highlight w:val="none"/>
                <w:lang w:val="en-US" w:eastAsia="zh-CN"/>
              </w:rPr>
              <w:t>本次技改项目危险废物依托现有危废库暂存，故本次风险计算以叠加现有项目危废量。</w:t>
            </w:r>
          </w:p>
          <w:p w14:paraId="7DCBEB2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imes New Roman"/>
                <w:color w:val="auto"/>
                <w:sz w:val="18"/>
                <w:szCs w:val="18"/>
                <w:highlight w:val="none"/>
                <w:lang w:val="en-US" w:eastAsia="zh-CN"/>
              </w:rPr>
            </w:pPr>
          </w:p>
          <w:p w14:paraId="28216542">
            <w:pPr>
              <w:tabs>
                <w:tab w:val="left" w:pos="420"/>
              </w:tabs>
              <w:adjustRightInd w:val="0"/>
              <w:snapToGrid w:val="0"/>
              <w:spacing w:line="360" w:lineRule="auto"/>
              <w:ind w:firstLine="513" w:firstLineChars="214"/>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综上所述，本项目所使用的原辅材料 Q=0.03</w:t>
            </w:r>
            <w:r>
              <w:rPr>
                <w:rFonts w:hint="eastAsia" w:cs="Times New Roman"/>
                <w:color w:val="auto"/>
                <w:sz w:val="24"/>
                <w:highlight w:val="none"/>
                <w:lang w:val="en-US" w:eastAsia="zh-CN"/>
              </w:rPr>
              <w:t>7</w:t>
            </w:r>
            <w:r>
              <w:rPr>
                <w:rFonts w:hint="eastAsia" w:ascii="Times New Roman" w:hAnsi="Times New Roman" w:eastAsia="宋体" w:cs="Times New Roman"/>
                <w:color w:val="auto"/>
                <w:sz w:val="24"/>
                <w:highlight w:val="none"/>
                <w:lang w:val="en-US" w:eastAsia="zh-CN"/>
              </w:rPr>
              <w:t>，属于Q＜1，根据《建设项目环境影响报告表编制技术指南（污染影响类）（试行）》可知，本项目无需进行风险专项评价。</w:t>
            </w:r>
          </w:p>
          <w:p w14:paraId="02935A90">
            <w:pPr>
              <w:spacing w:line="360" w:lineRule="auto"/>
              <w:ind w:firstLine="480"/>
              <w:rPr>
                <w:rFonts w:hint="default" w:ascii="Times New Roman" w:hAnsi="Times New Roman" w:eastAsia="宋体" w:cs="叶根友毛笔行书2.0版"/>
                <w:b/>
                <w:bCs/>
                <w:color w:val="auto"/>
                <w:sz w:val="24"/>
                <w:szCs w:val="24"/>
                <w:highlight w:val="none"/>
                <w:lang w:val="en-US" w:eastAsia="zh-CN"/>
              </w:rPr>
            </w:pPr>
            <w:r>
              <w:rPr>
                <w:rFonts w:hint="eastAsia" w:ascii="Times New Roman" w:hAnsi="Times New Roman" w:cs="叶根友毛笔行书2.0版"/>
                <w:b/>
                <w:bCs/>
                <w:color w:val="auto"/>
                <w:sz w:val="24"/>
                <w:szCs w:val="24"/>
                <w:highlight w:val="none"/>
                <w:lang w:val="en-US" w:eastAsia="zh-CN"/>
              </w:rPr>
              <w:t>（2）可能出现的环境风险源</w:t>
            </w:r>
          </w:p>
          <w:p w14:paraId="28B6EC0E">
            <w:pPr>
              <w:tabs>
                <w:tab w:val="left" w:pos="420"/>
              </w:tabs>
              <w:adjustRightInd w:val="0"/>
              <w:snapToGrid w:val="0"/>
              <w:spacing w:line="360" w:lineRule="auto"/>
              <w:ind w:firstLine="513" w:firstLineChars="214"/>
              <w:rPr>
                <w:color w:val="auto"/>
                <w:kern w:val="0"/>
                <w:sz w:val="24"/>
                <w:highlight w:val="none"/>
              </w:rPr>
            </w:pPr>
            <w:r>
              <w:rPr>
                <w:rFonts w:hint="eastAsia" w:ascii="Times New Roman" w:hAnsi="Times New Roman" w:eastAsia="宋体" w:cs="Times New Roman"/>
                <w:color w:val="auto"/>
                <w:sz w:val="24"/>
                <w:highlight w:val="none"/>
                <w:lang w:val="en-US" w:eastAsia="zh-CN"/>
              </w:rPr>
              <w:t>项目可能会出现的环境风险源主要为：废气设备事故排放、火灾/爆炸引发的伴生、次生环境影响及液体泄漏引发的环境风险</w:t>
            </w:r>
            <w:bookmarkStart w:id="9" w:name="_Toc364674605"/>
            <w:bookmarkStart w:id="10" w:name="_Toc520576207"/>
            <w:bookmarkStart w:id="11" w:name="_Toc520576327"/>
            <w:bookmarkStart w:id="12" w:name="_Toc520576016"/>
            <w:bookmarkStart w:id="13" w:name="_Toc520575884"/>
            <w:bookmarkStart w:id="14" w:name="_Toc354927452"/>
            <w:bookmarkStart w:id="15" w:name="_Toc343180192"/>
            <w:r>
              <w:rPr>
                <w:color w:val="auto"/>
                <w:kern w:val="0"/>
                <w:sz w:val="24"/>
                <w:highlight w:val="none"/>
              </w:rPr>
              <w:t>。</w:t>
            </w:r>
          </w:p>
          <w:p w14:paraId="640EE2B9">
            <w:pPr>
              <w:tabs>
                <w:tab w:val="left" w:pos="420"/>
              </w:tabs>
              <w:adjustRightInd w:val="0"/>
              <w:snapToGrid w:val="0"/>
              <w:spacing w:line="360" w:lineRule="auto"/>
              <w:ind w:firstLine="516" w:firstLineChars="214"/>
              <w:rPr>
                <w:rFonts w:hint="eastAsia" w:eastAsia="宋体"/>
                <w:b/>
                <w:bCs/>
                <w:color w:val="auto"/>
                <w:sz w:val="24"/>
                <w:highlight w:val="none"/>
                <w:lang w:eastAsia="zh-CN"/>
              </w:rPr>
            </w:pPr>
            <w:r>
              <w:rPr>
                <w:rFonts w:hint="eastAsia"/>
                <w:b/>
                <w:bCs/>
                <w:color w:val="auto"/>
                <w:sz w:val="24"/>
                <w:highlight w:val="none"/>
                <w:lang w:val="en-US" w:eastAsia="zh-CN"/>
              </w:rPr>
              <w:t>（3）</w:t>
            </w:r>
            <w:r>
              <w:rPr>
                <w:b/>
                <w:bCs/>
                <w:color w:val="auto"/>
                <w:sz w:val="24"/>
                <w:highlight w:val="none"/>
              </w:rPr>
              <w:t>环境风险</w:t>
            </w:r>
            <w:bookmarkEnd w:id="9"/>
            <w:bookmarkEnd w:id="10"/>
            <w:bookmarkEnd w:id="11"/>
            <w:bookmarkEnd w:id="12"/>
            <w:bookmarkEnd w:id="13"/>
            <w:bookmarkEnd w:id="14"/>
            <w:bookmarkEnd w:id="15"/>
            <w:r>
              <w:rPr>
                <w:rFonts w:hint="eastAsia"/>
                <w:b/>
                <w:bCs/>
                <w:color w:val="auto"/>
                <w:sz w:val="24"/>
                <w:highlight w:val="none"/>
                <w:lang w:val="en-US" w:eastAsia="zh-CN"/>
              </w:rPr>
              <w:t>防范措施</w:t>
            </w:r>
          </w:p>
          <w:p w14:paraId="330ABECA">
            <w:pPr>
              <w:adjustRightInd w:val="0"/>
              <w:snapToGrid w:val="0"/>
              <w:spacing w:line="360" w:lineRule="auto"/>
              <w:ind w:firstLine="480" w:firstLineChars="200"/>
              <w:rPr>
                <w:color w:val="auto"/>
                <w:sz w:val="24"/>
                <w:highlight w:val="none"/>
              </w:rPr>
            </w:pPr>
            <w:r>
              <w:rPr>
                <w:color w:val="auto"/>
                <w:sz w:val="24"/>
                <w:highlight w:val="none"/>
              </w:rPr>
              <w:t>①</w:t>
            </w:r>
            <w:r>
              <w:rPr>
                <w:rFonts w:hint="eastAsia"/>
                <w:color w:val="auto"/>
                <w:sz w:val="24"/>
                <w:highlight w:val="none"/>
                <w:lang w:val="en-US" w:eastAsia="zh-CN"/>
              </w:rPr>
              <w:t>危废库</w:t>
            </w:r>
            <w:r>
              <w:rPr>
                <w:color w:val="auto"/>
                <w:sz w:val="24"/>
                <w:highlight w:val="none"/>
              </w:rPr>
              <w:t>管理</w:t>
            </w:r>
          </w:p>
          <w:p w14:paraId="4C7FC91F">
            <w:pPr>
              <w:adjustRightInd w:val="0"/>
              <w:snapToGrid w:val="0"/>
              <w:spacing w:line="360" w:lineRule="auto"/>
              <w:ind w:firstLine="480" w:firstLineChars="200"/>
              <w:rPr>
                <w:color w:val="auto"/>
                <w:sz w:val="24"/>
                <w:highlight w:val="none"/>
              </w:rPr>
            </w:pPr>
            <w:r>
              <w:rPr>
                <w:color w:val="auto"/>
                <w:sz w:val="24"/>
                <w:highlight w:val="none"/>
              </w:rPr>
              <w:t>项目对危险废物的收集和管理，应采用以下措施：</w:t>
            </w:r>
          </w:p>
          <w:p w14:paraId="1E56A027">
            <w:pPr>
              <w:adjustRightInd w:val="0"/>
              <w:snapToGrid w:val="0"/>
              <w:spacing w:line="360" w:lineRule="auto"/>
              <w:ind w:firstLine="480" w:firstLineChars="200"/>
              <w:rPr>
                <w:color w:val="auto"/>
                <w:sz w:val="24"/>
                <w:highlight w:val="none"/>
              </w:rPr>
            </w:pPr>
            <w:r>
              <w:rPr>
                <w:rFonts w:hint="eastAsia"/>
                <w:color w:val="auto"/>
                <w:sz w:val="24"/>
                <w:highlight w:val="none"/>
                <w:lang w:val="en-US" w:eastAsia="zh-CN"/>
              </w:rPr>
              <w:t>A.</w:t>
            </w:r>
            <w:r>
              <w:rPr>
                <w:color w:val="auto"/>
                <w:sz w:val="24"/>
                <w:highlight w:val="none"/>
              </w:rPr>
              <w:t>将生产过程产生的危险废物存放于专用容器中，并贴上废物分类专用标签，临时堆放在危险废物暂存间中，累计一定数量后由有资质单位专用运输车辆外运统一处置。</w:t>
            </w:r>
          </w:p>
          <w:p w14:paraId="76E559A6">
            <w:pPr>
              <w:adjustRightInd w:val="0"/>
              <w:snapToGrid w:val="0"/>
              <w:spacing w:line="360" w:lineRule="auto"/>
              <w:ind w:firstLine="480" w:firstLineChars="200"/>
              <w:rPr>
                <w:color w:val="auto"/>
                <w:sz w:val="24"/>
                <w:highlight w:val="none"/>
              </w:rPr>
            </w:pPr>
            <w:r>
              <w:rPr>
                <w:rFonts w:hint="eastAsia"/>
                <w:color w:val="auto"/>
                <w:sz w:val="24"/>
                <w:highlight w:val="none"/>
                <w:lang w:val="en-US" w:eastAsia="zh-CN"/>
              </w:rPr>
              <w:t>B.</w:t>
            </w:r>
            <w:r>
              <w:rPr>
                <w:color w:val="auto"/>
                <w:sz w:val="24"/>
                <w:highlight w:val="none"/>
              </w:rPr>
              <w:t>危险废物全部暂存于危险暂存间内，做到防风、防雨、防晒。</w:t>
            </w:r>
          </w:p>
          <w:p w14:paraId="05633A83">
            <w:pPr>
              <w:adjustRightInd w:val="0"/>
              <w:snapToGrid w:val="0"/>
              <w:spacing w:line="360" w:lineRule="auto"/>
              <w:ind w:firstLine="480" w:firstLineChars="200"/>
              <w:rPr>
                <w:color w:val="auto"/>
                <w:sz w:val="24"/>
                <w:highlight w:val="none"/>
              </w:rPr>
            </w:pPr>
            <w:r>
              <w:rPr>
                <w:rFonts w:hint="eastAsia"/>
                <w:color w:val="auto"/>
                <w:sz w:val="24"/>
                <w:highlight w:val="none"/>
                <w:lang w:val="en-US" w:eastAsia="zh-CN"/>
              </w:rPr>
              <w:t>C.</w:t>
            </w:r>
            <w:r>
              <w:rPr>
                <w:color w:val="auto"/>
                <w:sz w:val="24"/>
                <w:highlight w:val="none"/>
              </w:rPr>
              <w:t>危险废物暂存间地面基础必须防渗，防渗层为至少1米厚粘土层（渗透系数≤10</w:t>
            </w:r>
            <w:r>
              <w:rPr>
                <w:rFonts w:hint="eastAsia"/>
                <w:color w:val="auto"/>
                <w:sz w:val="24"/>
                <w:highlight w:val="none"/>
                <w:lang w:eastAsia="zh-CN"/>
              </w:rPr>
              <w:t>—</w:t>
            </w:r>
            <w:r>
              <w:rPr>
                <w:color w:val="auto"/>
                <w:sz w:val="24"/>
                <w:highlight w:val="none"/>
                <w:vertAlign w:val="superscript"/>
              </w:rPr>
              <w:t>7</w:t>
            </w:r>
            <w:r>
              <w:rPr>
                <w:color w:val="auto"/>
                <w:sz w:val="24"/>
                <w:highlight w:val="none"/>
              </w:rPr>
              <w:t>cm/s），或2mm厚高密度聚乙烯，或至少2mm厚的</w:t>
            </w:r>
            <w:r>
              <w:rPr>
                <w:rFonts w:hint="eastAsia"/>
                <w:color w:val="auto"/>
                <w:sz w:val="24"/>
                <w:highlight w:val="none"/>
                <w:lang w:eastAsia="zh-CN"/>
              </w:rPr>
              <w:t>其他人工</w:t>
            </w:r>
            <w:r>
              <w:rPr>
                <w:color w:val="auto"/>
                <w:sz w:val="24"/>
                <w:highlight w:val="none"/>
              </w:rPr>
              <w:t>材料。</w:t>
            </w:r>
          </w:p>
          <w:p w14:paraId="7B51FC98">
            <w:pPr>
              <w:adjustRightInd w:val="0"/>
              <w:snapToGrid w:val="0"/>
              <w:spacing w:line="360" w:lineRule="auto"/>
              <w:ind w:firstLine="480" w:firstLineChars="200"/>
              <w:rPr>
                <w:color w:val="auto"/>
                <w:sz w:val="24"/>
                <w:highlight w:val="none"/>
              </w:rPr>
            </w:pPr>
            <w:r>
              <w:rPr>
                <w:color w:val="auto"/>
                <w:sz w:val="24"/>
                <w:highlight w:val="none"/>
              </w:rPr>
              <w:t>上述危险废物的收集和管理，项目应委派专人负责，各种废物的储存容器都应有良好的密封性，危废临时储存场所按照</w:t>
            </w:r>
            <w:r>
              <w:rPr>
                <w:rFonts w:hint="eastAsia"/>
                <w:color w:val="auto"/>
                <w:sz w:val="24"/>
                <w:highlight w:val="none"/>
              </w:rPr>
              <w:t>《危险废物贮存污染控制标准》</w:t>
            </w:r>
            <w:r>
              <w:rPr>
                <w:rFonts w:hint="eastAsia"/>
                <w:color w:val="auto"/>
                <w:sz w:val="24"/>
                <w:highlight w:val="none"/>
                <w:lang w:eastAsia="zh-CN"/>
              </w:rPr>
              <w:t>（</w:t>
            </w:r>
            <w:r>
              <w:rPr>
                <w:rFonts w:hint="eastAsia"/>
                <w:color w:val="auto"/>
                <w:sz w:val="24"/>
                <w:highlight w:val="none"/>
              </w:rPr>
              <w:t>GB</w:t>
            </w:r>
            <w:r>
              <w:rPr>
                <w:rFonts w:hint="eastAsia"/>
                <w:color w:val="auto"/>
                <w:sz w:val="24"/>
                <w:highlight w:val="none"/>
                <w:lang w:val="en-US" w:eastAsia="zh-CN"/>
              </w:rPr>
              <w:t xml:space="preserve"> </w:t>
            </w:r>
            <w:r>
              <w:rPr>
                <w:rFonts w:hint="eastAsia"/>
                <w:color w:val="auto"/>
                <w:sz w:val="24"/>
                <w:highlight w:val="none"/>
              </w:rPr>
              <w:t>18597-20</w:t>
            </w:r>
            <w:r>
              <w:rPr>
                <w:rFonts w:hint="eastAsia"/>
                <w:color w:val="auto"/>
                <w:sz w:val="24"/>
                <w:highlight w:val="none"/>
                <w:lang w:val="en-US" w:eastAsia="zh-CN"/>
              </w:rPr>
              <w:t>23</w:t>
            </w:r>
            <w:r>
              <w:rPr>
                <w:rFonts w:hint="eastAsia"/>
                <w:color w:val="auto"/>
                <w:sz w:val="24"/>
                <w:highlight w:val="none"/>
                <w:lang w:eastAsia="zh-CN"/>
              </w:rPr>
              <w:t>）</w:t>
            </w:r>
            <w:r>
              <w:rPr>
                <w:rFonts w:hint="eastAsia"/>
                <w:color w:val="auto"/>
                <w:sz w:val="24"/>
                <w:highlight w:val="none"/>
              </w:rPr>
              <w:t>中的</w:t>
            </w:r>
            <w:r>
              <w:rPr>
                <w:color w:val="auto"/>
                <w:sz w:val="24"/>
                <w:highlight w:val="none"/>
              </w:rPr>
              <w:t>相关要求进行防渗、防漏处理，安全可靠，不会受到风雨侵蚀，可有效地防止了临时存放过程中的二次污染。</w:t>
            </w:r>
          </w:p>
          <w:p w14:paraId="42BACD47">
            <w:pPr>
              <w:autoSpaceDE w:val="0"/>
              <w:autoSpaceDN w:val="0"/>
              <w:adjustRightInd w:val="0"/>
              <w:spacing w:line="360" w:lineRule="auto"/>
              <w:ind w:firstLine="480" w:firstLineChars="200"/>
              <w:jc w:val="left"/>
              <w:rPr>
                <w:rFonts w:hint="eastAsia"/>
                <w:b w:val="0"/>
                <w:bCs w:val="0"/>
                <w:color w:val="auto"/>
                <w:sz w:val="24"/>
                <w:highlight w:val="none"/>
              </w:rPr>
            </w:pPr>
            <w:r>
              <w:rPr>
                <w:rFonts w:hint="eastAsia"/>
                <w:b w:val="0"/>
                <w:bCs w:val="0"/>
                <w:color w:val="auto"/>
                <w:sz w:val="24"/>
                <w:highlight w:val="none"/>
                <w:lang w:val="en-US" w:eastAsia="zh-CN"/>
              </w:rPr>
              <w:t>②</w:t>
            </w:r>
            <w:r>
              <w:rPr>
                <w:b w:val="0"/>
                <w:bCs w:val="0"/>
                <w:color w:val="auto"/>
                <w:sz w:val="24"/>
                <w:highlight w:val="none"/>
              </w:rPr>
              <w:t>火灾风险防范措施</w:t>
            </w:r>
          </w:p>
          <w:p w14:paraId="72510EB5">
            <w:pPr>
              <w:autoSpaceDE w:val="0"/>
              <w:autoSpaceDN w:val="0"/>
              <w:adjustRightInd w:val="0"/>
              <w:spacing w:line="360" w:lineRule="auto"/>
              <w:ind w:firstLine="480" w:firstLineChars="200"/>
              <w:jc w:val="left"/>
              <w:rPr>
                <w:color w:val="auto"/>
                <w:sz w:val="24"/>
                <w:highlight w:val="none"/>
              </w:rPr>
            </w:pPr>
            <w:r>
              <w:rPr>
                <w:color w:val="auto"/>
                <w:sz w:val="24"/>
                <w:highlight w:val="none"/>
              </w:rPr>
              <w:t>总平面布置根据功能分区布置，各构筑物均按火灾危险等级要求进行设计，生产车间及原料危险贮场等地面应根据需要做防腐防渗处理。</w:t>
            </w:r>
          </w:p>
          <w:p w14:paraId="342B7B68">
            <w:pPr>
              <w:autoSpaceDE w:val="0"/>
              <w:autoSpaceDN w:val="0"/>
              <w:adjustRightInd w:val="0"/>
              <w:spacing w:line="360" w:lineRule="auto"/>
              <w:ind w:firstLine="480" w:firstLineChars="200"/>
              <w:jc w:val="left"/>
              <w:rPr>
                <w:color w:val="auto"/>
                <w:sz w:val="24"/>
                <w:highlight w:val="none"/>
              </w:rPr>
            </w:pPr>
            <w:r>
              <w:rPr>
                <w:color w:val="auto"/>
                <w:sz w:val="24"/>
                <w:highlight w:val="none"/>
              </w:rPr>
              <w:t>生产现场设置各种安全标志。</w:t>
            </w:r>
          </w:p>
          <w:p w14:paraId="0935CE37">
            <w:pPr>
              <w:autoSpaceDE w:val="0"/>
              <w:autoSpaceDN w:val="0"/>
              <w:adjustRightInd w:val="0"/>
              <w:spacing w:line="360" w:lineRule="auto"/>
              <w:ind w:firstLine="480" w:firstLineChars="200"/>
              <w:jc w:val="left"/>
              <w:rPr>
                <w:color w:val="auto"/>
                <w:sz w:val="24"/>
                <w:highlight w:val="none"/>
              </w:rPr>
            </w:pPr>
            <w:r>
              <w:rPr>
                <w:color w:val="auto"/>
                <w:sz w:val="24"/>
                <w:highlight w:val="none"/>
              </w:rPr>
              <w:t>车间应禁止明火。</w:t>
            </w:r>
          </w:p>
          <w:p w14:paraId="3CA3B12B">
            <w:pPr>
              <w:autoSpaceDE w:val="0"/>
              <w:autoSpaceDN w:val="0"/>
              <w:adjustRightInd w:val="0"/>
              <w:spacing w:line="360" w:lineRule="auto"/>
              <w:ind w:firstLine="480" w:firstLineChars="200"/>
              <w:jc w:val="left"/>
              <w:rPr>
                <w:color w:val="auto"/>
                <w:sz w:val="24"/>
                <w:highlight w:val="none"/>
              </w:rPr>
            </w:pPr>
            <w:r>
              <w:rPr>
                <w:color w:val="auto"/>
                <w:sz w:val="24"/>
                <w:highlight w:val="none"/>
              </w:rPr>
              <w:t>做好人员培训工作，要求职工持证上岗，规范操作机械设备及流程。</w:t>
            </w:r>
          </w:p>
          <w:p w14:paraId="1FAC86E0">
            <w:pPr>
              <w:autoSpaceDE w:val="0"/>
              <w:autoSpaceDN w:val="0"/>
              <w:adjustRightInd w:val="0"/>
              <w:spacing w:line="360" w:lineRule="auto"/>
              <w:ind w:firstLine="480" w:firstLineChars="200"/>
              <w:jc w:val="left"/>
              <w:rPr>
                <w:color w:val="auto"/>
                <w:sz w:val="24"/>
                <w:highlight w:val="none"/>
              </w:rPr>
            </w:pPr>
            <w:r>
              <w:rPr>
                <w:color w:val="auto"/>
                <w:sz w:val="24"/>
                <w:highlight w:val="none"/>
              </w:rPr>
              <w:t>本项目总图布置符合《建筑设计防火规范》（</w:t>
            </w:r>
            <w:r>
              <w:rPr>
                <w:rFonts w:hint="eastAsia"/>
                <w:color w:val="auto"/>
                <w:sz w:val="24"/>
                <w:highlight w:val="none"/>
                <w:lang w:eastAsia="zh-CN"/>
              </w:rPr>
              <w:t>GB 50016-2014[2018年版]）</w:t>
            </w:r>
            <w:r>
              <w:rPr>
                <w:color w:val="auto"/>
                <w:sz w:val="24"/>
                <w:highlight w:val="none"/>
              </w:rPr>
              <w:t>的有关规定。根据现场勘查结果，本项目生产车间切实做到通风、防晒、防火、防爆，并按照国家标准和国家有关规定进行维护、保养，保证符合安全运行要求。该项目设置了基本的消防系统。</w:t>
            </w:r>
          </w:p>
          <w:p w14:paraId="6671090A">
            <w:pPr>
              <w:autoSpaceDE w:val="0"/>
              <w:autoSpaceDN w:val="0"/>
              <w:adjustRightInd w:val="0"/>
              <w:spacing w:line="360" w:lineRule="auto"/>
              <w:ind w:left="420" w:leftChars="200"/>
              <w:jc w:val="left"/>
              <w:rPr>
                <w:rFonts w:hint="eastAsia"/>
                <w:b w:val="0"/>
                <w:bCs w:val="0"/>
                <w:color w:val="auto"/>
                <w:sz w:val="24"/>
                <w:highlight w:val="none"/>
              </w:rPr>
            </w:pPr>
            <w:r>
              <w:rPr>
                <w:rFonts w:hint="eastAsia"/>
                <w:b w:val="0"/>
                <w:bCs w:val="0"/>
                <w:color w:val="auto"/>
                <w:sz w:val="24"/>
                <w:highlight w:val="none"/>
                <w:lang w:val="en-US" w:eastAsia="zh-CN"/>
              </w:rPr>
              <w:t>③</w:t>
            </w:r>
            <w:r>
              <w:rPr>
                <w:rFonts w:hint="eastAsia"/>
                <w:b w:val="0"/>
                <w:bCs w:val="0"/>
                <w:color w:val="auto"/>
                <w:sz w:val="24"/>
                <w:highlight w:val="none"/>
              </w:rPr>
              <w:t>废气治理设施故障</w:t>
            </w:r>
            <w:r>
              <w:rPr>
                <w:b w:val="0"/>
                <w:bCs w:val="0"/>
                <w:color w:val="auto"/>
                <w:sz w:val="24"/>
                <w:highlight w:val="none"/>
              </w:rPr>
              <w:t>风险防范措施</w:t>
            </w:r>
          </w:p>
          <w:p w14:paraId="2B45055B">
            <w:pPr>
              <w:autoSpaceDE w:val="0"/>
              <w:autoSpaceDN w:val="0"/>
              <w:adjustRightInd w:val="0"/>
              <w:spacing w:line="360" w:lineRule="auto"/>
              <w:ind w:firstLine="480" w:firstLineChars="200"/>
              <w:jc w:val="left"/>
              <w:rPr>
                <w:color w:val="auto"/>
                <w:sz w:val="24"/>
                <w:highlight w:val="none"/>
              </w:rPr>
            </w:pPr>
            <w:r>
              <w:rPr>
                <w:color w:val="auto"/>
                <w:sz w:val="24"/>
                <w:highlight w:val="none"/>
              </w:rPr>
              <w:t>各生产环节严格执行生产管理的有关规定，加强设备的检修及保养，提高管理人员素质，并设置机器事故应急措施及管理制度，确保设备长期处于良好状态，使设备达到预期的处理效果；</w:t>
            </w:r>
          </w:p>
          <w:p w14:paraId="0667B978">
            <w:pPr>
              <w:adjustRightInd w:val="0"/>
              <w:snapToGrid w:val="0"/>
              <w:spacing w:line="360" w:lineRule="auto"/>
              <w:ind w:firstLine="480" w:firstLineChars="200"/>
              <w:rPr>
                <w:rFonts w:hint="eastAsia" w:eastAsia="宋体"/>
                <w:color w:val="auto"/>
                <w:sz w:val="24"/>
                <w:highlight w:val="none"/>
                <w:lang w:eastAsia="zh-CN"/>
              </w:rPr>
            </w:pPr>
            <w:r>
              <w:rPr>
                <w:color w:val="auto"/>
                <w:sz w:val="24"/>
                <w:highlight w:val="none"/>
              </w:rPr>
              <w:t>现场作业人员定时记录废气处理状况</w:t>
            </w:r>
            <w:r>
              <w:rPr>
                <w:rFonts w:hint="eastAsia"/>
                <w:color w:val="auto"/>
                <w:sz w:val="24"/>
                <w:highlight w:val="none"/>
                <w:lang w:eastAsia="zh-CN"/>
              </w:rPr>
              <w:t>，</w:t>
            </w:r>
            <w:r>
              <w:rPr>
                <w:color w:val="auto"/>
                <w:sz w:val="24"/>
                <w:highlight w:val="none"/>
              </w:rPr>
              <w:t>对废气处理设施进行点检工作，并派专人巡视，遇不良工作状况立即停止车间相关作业，维修正常后再开始作业，杜绝事故性废气直排，并及时呈报单位主管；治理设施等发生故障时，应及时维修，如情况严重，应停止生产直至系统运作正常；定期对废气排放口的污染物浓度进行监测，加强环境保护管理。</w:t>
            </w:r>
          </w:p>
          <w:p w14:paraId="1E961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kern w:val="2"/>
                <w:sz w:val="24"/>
                <w:szCs w:val="21"/>
                <w:highlight w:val="none"/>
                <w:lang w:val="en-US" w:eastAsia="zh-CN" w:bidi="ar"/>
              </w:rPr>
            </w:pPr>
          </w:p>
          <w:p w14:paraId="16B115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07BB61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777FEE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3D8CAB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3FC74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31A0D6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295FE5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00FB8E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53812C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140050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38A5B1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23E545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FF0000"/>
                <w:kern w:val="2"/>
                <w:sz w:val="24"/>
                <w:szCs w:val="21"/>
                <w:highlight w:val="none"/>
                <w:lang w:val="en-US" w:eastAsia="zh-CN" w:bidi="ar"/>
              </w:rPr>
            </w:pPr>
          </w:p>
          <w:p w14:paraId="148AF1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FF0000"/>
                <w:kern w:val="2"/>
                <w:sz w:val="24"/>
                <w:szCs w:val="21"/>
                <w:highlight w:val="none"/>
                <w:lang w:val="en-US" w:eastAsia="zh-CN" w:bidi="ar"/>
              </w:rPr>
            </w:pPr>
          </w:p>
        </w:tc>
      </w:tr>
    </w:tbl>
    <w:p w14:paraId="37B000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FF0000"/>
          <w:sz w:val="24"/>
          <w:szCs w:val="32"/>
          <w:highlight w:val="none"/>
          <w:lang w:val="en-US" w:eastAsia="zh-CN"/>
        </w:rPr>
        <w:sectPr>
          <w:pgSz w:w="11907" w:h="16840"/>
          <w:pgMar w:top="1417" w:right="1417" w:bottom="1417" w:left="1417" w:header="851" w:footer="851" w:gutter="0"/>
          <w:pgBorders>
            <w:top w:val="none" w:sz="0" w:space="0"/>
            <w:left w:val="none" w:sz="0" w:space="0"/>
            <w:bottom w:val="none" w:sz="0" w:space="0"/>
            <w:right w:val="none" w:sz="0" w:space="0"/>
          </w:pgBorders>
          <w:cols w:space="720" w:num="1"/>
          <w:docGrid w:linePitch="312" w:charSpace="0"/>
        </w:sectPr>
      </w:pPr>
    </w:p>
    <w:p w14:paraId="68EFE77B">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360" w:lineRule="auto"/>
        <w:ind w:right="0" w:rightChars="0" w:firstLine="0" w:firstLineChars="0"/>
        <w:jc w:val="center"/>
        <w:textAlignment w:val="auto"/>
        <w:outlineLvl w:val="0"/>
        <w:rPr>
          <w:rFonts w:hint="eastAsia" w:ascii="Times New Roman" w:hAnsi="Times New Roman" w:eastAsia="宋体" w:cs="Times New Roman"/>
          <w:b/>
          <w:bCs/>
          <w:color w:val="auto"/>
          <w:kern w:val="2"/>
          <w:sz w:val="30"/>
          <w:szCs w:val="30"/>
          <w:lang w:val="en-US" w:eastAsia="zh-CN"/>
        </w:rPr>
      </w:pPr>
      <w:bookmarkStart w:id="16" w:name="_Toc13076"/>
      <w:r>
        <w:rPr>
          <w:rFonts w:hint="eastAsia" w:ascii="Times New Roman" w:hAnsi="Times New Roman" w:eastAsia="宋体" w:cs="Times New Roman"/>
          <w:b/>
          <w:bCs/>
          <w:color w:val="auto"/>
          <w:kern w:val="2"/>
          <w:sz w:val="30"/>
          <w:szCs w:val="30"/>
          <w:lang w:val="en-US" w:eastAsia="zh-CN"/>
        </w:rPr>
        <w:t>五、</w:t>
      </w:r>
      <w:bookmarkStart w:id="17" w:name="_Hlk54167917"/>
      <w:r>
        <w:rPr>
          <w:rFonts w:hint="eastAsia" w:ascii="Times New Roman" w:hAnsi="Times New Roman" w:eastAsia="宋体" w:cs="Times New Roman"/>
          <w:b/>
          <w:bCs/>
          <w:color w:val="auto"/>
          <w:kern w:val="2"/>
          <w:sz w:val="30"/>
          <w:szCs w:val="30"/>
          <w:lang w:val="en-US" w:eastAsia="zh-CN"/>
        </w:rPr>
        <w:t>环境保护措施监督检查清单</w:t>
      </w:r>
      <w:bookmarkEnd w:id="16"/>
      <w:bookmarkEnd w:id="17"/>
    </w:p>
    <w:tbl>
      <w:tblPr>
        <w:tblStyle w:val="36"/>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368"/>
        <w:gridCol w:w="1033"/>
        <w:gridCol w:w="3040"/>
        <w:gridCol w:w="2569"/>
      </w:tblGrid>
      <w:tr w14:paraId="640EC8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tcBorders>
              <w:tl2br w:val="single" w:color="auto" w:sz="4" w:space="0"/>
            </w:tcBorders>
            <w:noWrap w:val="0"/>
            <w:vAlign w:val="top"/>
          </w:tcPr>
          <w:p w14:paraId="79314F0F">
            <w:pPr>
              <w:adjustRightInd w:val="0"/>
              <w:snapToGrid w:val="0"/>
              <w:jc w:val="righ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内容</w:t>
            </w:r>
          </w:p>
          <w:p w14:paraId="5C34D54A">
            <w:pPr>
              <w:adjustRightInd w:val="0"/>
              <w:snapToGrid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要素</w:t>
            </w:r>
          </w:p>
        </w:tc>
        <w:tc>
          <w:tcPr>
            <w:tcW w:w="736" w:type="pct"/>
            <w:noWrap w:val="0"/>
            <w:vAlign w:val="center"/>
          </w:tcPr>
          <w:p w14:paraId="749DE9D6">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排放口</w:t>
            </w:r>
            <w:r>
              <w:rPr>
                <w:rFonts w:hint="eastAsia"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编号、名称</w:t>
            </w:r>
            <w:r>
              <w:rPr>
                <w:rFonts w:hint="eastAsia"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/污染源</w:t>
            </w:r>
          </w:p>
        </w:tc>
        <w:tc>
          <w:tcPr>
            <w:tcW w:w="556" w:type="pct"/>
            <w:noWrap w:val="0"/>
            <w:vAlign w:val="center"/>
          </w:tcPr>
          <w:p w14:paraId="509126BB">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污染物项目</w:t>
            </w:r>
          </w:p>
        </w:tc>
        <w:tc>
          <w:tcPr>
            <w:tcW w:w="1636" w:type="pct"/>
            <w:noWrap w:val="0"/>
            <w:vAlign w:val="center"/>
          </w:tcPr>
          <w:p w14:paraId="16CFB848">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环境保护措施</w:t>
            </w:r>
          </w:p>
        </w:tc>
        <w:tc>
          <w:tcPr>
            <w:tcW w:w="1383" w:type="pct"/>
            <w:noWrap w:val="0"/>
            <w:vAlign w:val="center"/>
          </w:tcPr>
          <w:p w14:paraId="7A8ED2DB">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执行标准</w:t>
            </w:r>
          </w:p>
        </w:tc>
      </w:tr>
      <w:tr w14:paraId="740B5A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vMerge w:val="restart"/>
            <w:noWrap w:val="0"/>
            <w:vAlign w:val="center"/>
          </w:tcPr>
          <w:p w14:paraId="51CF2EAB">
            <w:pPr>
              <w:adjustRightInd w:val="0"/>
              <w:snapToGrid w:val="0"/>
              <w:jc w:val="center"/>
              <w:rPr>
                <w:rFonts w:hint="default" w:ascii="Times New Roman" w:hAnsi="Times New Roman" w:eastAsia="宋体" w:cs="Times New Roman"/>
                <w:b/>
                <w:bCs/>
                <w:color w:val="FF0000"/>
                <w:sz w:val="24"/>
                <w:szCs w:val="24"/>
                <w:highlight w:val="none"/>
              </w:rPr>
            </w:pPr>
            <w:r>
              <w:rPr>
                <w:rFonts w:hint="default" w:ascii="Times New Roman" w:hAnsi="Times New Roman" w:eastAsia="宋体" w:cs="Times New Roman"/>
                <w:b/>
                <w:bCs/>
                <w:color w:val="auto"/>
                <w:sz w:val="24"/>
                <w:szCs w:val="24"/>
                <w:highlight w:val="none"/>
              </w:rPr>
              <w:t>大气环境</w:t>
            </w:r>
          </w:p>
        </w:tc>
        <w:tc>
          <w:tcPr>
            <w:tcW w:w="736" w:type="pct"/>
            <w:noWrap w:val="0"/>
            <w:vAlign w:val="center"/>
          </w:tcPr>
          <w:p w14:paraId="5E5020EC">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rPr>
              <w:t>DA001</w:t>
            </w:r>
            <w:r>
              <w:rPr>
                <w:rFonts w:hint="eastAsia" w:cs="Times New Roman"/>
                <w:color w:val="auto"/>
                <w:kern w:val="0"/>
                <w:sz w:val="24"/>
                <w:szCs w:val="24"/>
                <w:highlight w:val="none"/>
                <w:lang w:val="en-US" w:eastAsia="zh-CN"/>
              </w:rPr>
              <w:t>、1#排气筒排放口/</w:t>
            </w:r>
            <w:r>
              <w:rPr>
                <w:rFonts w:hint="default" w:ascii="Times New Roman" w:hAnsi="Times New Roman" w:eastAsia="宋体" w:cs="Times New Roman"/>
                <w:b w:val="0"/>
                <w:bCs w:val="0"/>
                <w:color w:val="auto"/>
                <w:kern w:val="0"/>
                <w:sz w:val="24"/>
                <w:szCs w:val="24"/>
                <w:highlight w:val="none"/>
                <w:lang w:val="en-US" w:eastAsia="zh-CN"/>
              </w:rPr>
              <w:t>熔化</w:t>
            </w:r>
          </w:p>
        </w:tc>
        <w:tc>
          <w:tcPr>
            <w:tcW w:w="556" w:type="pct"/>
            <w:noWrap w:val="0"/>
            <w:vAlign w:val="center"/>
          </w:tcPr>
          <w:p w14:paraId="125A633C">
            <w:pPr>
              <w:adjustRightInd w:val="0"/>
              <w:snapToGrid w:val="0"/>
              <w:jc w:val="center"/>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颗粒物</w:t>
            </w:r>
          </w:p>
        </w:tc>
        <w:tc>
          <w:tcPr>
            <w:tcW w:w="1636" w:type="pct"/>
            <w:noWrap w:val="0"/>
            <w:vAlign w:val="center"/>
          </w:tcPr>
          <w:p w14:paraId="38034880">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集气罩收集+“布袋除尘”+15m高的排气筒（DA001）</w:t>
            </w:r>
          </w:p>
        </w:tc>
        <w:tc>
          <w:tcPr>
            <w:tcW w:w="1383" w:type="pct"/>
            <w:vMerge w:val="restart"/>
            <w:noWrap w:val="0"/>
            <w:vAlign w:val="center"/>
          </w:tcPr>
          <w:p w14:paraId="35EE1C4E">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颗粒物执行《铸造工业大气污染物排放标准》</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lang w:val="en-US" w:eastAsia="zh-CN"/>
              </w:rPr>
              <w:t>GB</w:t>
            </w:r>
            <w:r>
              <w:rPr>
                <w:rFonts w:hint="eastAsia"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lang w:val="en-US" w:eastAsia="zh-CN"/>
              </w:rPr>
              <w:t>39726-2020）表1大气污染物排放限值；非甲烷总烃执行《大气污染物综合排放标准》（GB</w:t>
            </w:r>
            <w:r>
              <w:rPr>
                <w:rFonts w:hint="eastAsia"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lang w:val="en-US" w:eastAsia="zh-CN"/>
              </w:rPr>
              <w:t>16297-1996）中表2大气污染物项目排放限值</w:t>
            </w:r>
          </w:p>
        </w:tc>
      </w:tr>
      <w:tr w14:paraId="517BC5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vMerge w:val="continue"/>
            <w:noWrap w:val="0"/>
            <w:vAlign w:val="center"/>
          </w:tcPr>
          <w:p w14:paraId="73204A8B">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b/>
                <w:bCs/>
                <w:color w:val="FF0000"/>
                <w:sz w:val="24"/>
                <w:szCs w:val="24"/>
                <w:highlight w:val="none"/>
              </w:rPr>
            </w:pPr>
          </w:p>
        </w:tc>
        <w:tc>
          <w:tcPr>
            <w:tcW w:w="736" w:type="pct"/>
            <w:noWrap w:val="0"/>
            <w:vAlign w:val="center"/>
          </w:tcPr>
          <w:p w14:paraId="0205B9DB">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DA002</w:t>
            </w:r>
            <w:r>
              <w:rPr>
                <w:rFonts w:hint="eastAsia" w:cs="Times New Roman"/>
                <w:color w:val="auto"/>
                <w:kern w:val="0"/>
                <w:sz w:val="24"/>
                <w:szCs w:val="24"/>
                <w:highlight w:val="none"/>
                <w:lang w:val="en-US" w:eastAsia="zh-CN"/>
              </w:rPr>
              <w:t>、2#排气筒排放口/</w:t>
            </w:r>
          </w:p>
          <w:p w14:paraId="0926CFC4">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砂处理</w:t>
            </w:r>
          </w:p>
        </w:tc>
        <w:tc>
          <w:tcPr>
            <w:tcW w:w="556" w:type="pct"/>
            <w:noWrap w:val="0"/>
            <w:vAlign w:val="center"/>
          </w:tcPr>
          <w:p w14:paraId="2459D2D7">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olor w:val="auto"/>
                <w:kern w:val="0"/>
                <w:sz w:val="24"/>
                <w:szCs w:val="24"/>
                <w:highlight w:val="none"/>
                <w:lang w:val="en-US" w:eastAsia="zh-CN"/>
              </w:rPr>
              <w:t>颗粒物</w:t>
            </w:r>
          </w:p>
        </w:tc>
        <w:tc>
          <w:tcPr>
            <w:tcW w:w="1636" w:type="pct"/>
            <w:noWrap w:val="0"/>
            <w:vAlign w:val="center"/>
          </w:tcPr>
          <w:p w14:paraId="6435ED2F">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砂处理废气</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lang w:val="en-US" w:eastAsia="zh-CN"/>
              </w:rPr>
              <w:t>吸风收集后</w:t>
            </w:r>
            <w:r>
              <w:rPr>
                <w:rFonts w:hint="eastAsia" w:ascii="Times New Roman" w:hAnsi="Times New Roman" w:eastAsia="宋体" w:cs="Times New Roman"/>
                <w:bCs/>
                <w:color w:val="auto"/>
                <w:sz w:val="24"/>
                <w:szCs w:val="24"/>
                <w:highlight w:val="none"/>
                <w:lang w:val="en-US" w:eastAsia="zh-CN"/>
              </w:rPr>
              <w:t>+现有“布袋除尘装置”</w:t>
            </w:r>
            <w:r>
              <w:rPr>
                <w:rFonts w:hint="default" w:ascii="Times New Roman" w:hAnsi="Times New Roman" w:eastAsia="宋体" w:cs="Times New Roman"/>
                <w:bCs/>
                <w:color w:val="auto"/>
                <w:sz w:val="24"/>
                <w:szCs w:val="24"/>
                <w:highlight w:val="none"/>
                <w:lang w:val="en-US" w:eastAsia="zh-CN"/>
              </w:rPr>
              <w:t>处理</w:t>
            </w:r>
            <w:r>
              <w:rPr>
                <w:rFonts w:hint="eastAsia" w:ascii="Times New Roman" w:hAnsi="Times New Roman" w:eastAsia="宋体" w:cs="Times New Roman"/>
                <w:bCs/>
                <w:color w:val="auto"/>
                <w:sz w:val="24"/>
                <w:szCs w:val="24"/>
                <w:highlight w:val="none"/>
                <w:lang w:val="en-US" w:eastAsia="zh-CN"/>
              </w:rPr>
              <w:t>+15m高的排气筒（DA002）</w:t>
            </w:r>
          </w:p>
        </w:tc>
        <w:tc>
          <w:tcPr>
            <w:tcW w:w="1383" w:type="pct"/>
            <w:vMerge w:val="continue"/>
            <w:noWrap w:val="0"/>
            <w:vAlign w:val="center"/>
          </w:tcPr>
          <w:p w14:paraId="2AC40784">
            <w:pPr>
              <w:adjustRightInd w:val="0"/>
              <w:snapToGrid w:val="0"/>
              <w:jc w:val="center"/>
              <w:rPr>
                <w:rFonts w:hint="default" w:ascii="Times New Roman" w:hAnsi="Times New Roman" w:eastAsia="宋体" w:cs="Times New Roman"/>
                <w:bCs/>
                <w:color w:val="auto"/>
                <w:sz w:val="24"/>
                <w:szCs w:val="24"/>
                <w:highlight w:val="none"/>
                <w:lang w:val="en-US" w:eastAsia="zh-CN"/>
              </w:rPr>
            </w:pPr>
          </w:p>
        </w:tc>
      </w:tr>
      <w:tr w14:paraId="676F23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vMerge w:val="continue"/>
            <w:noWrap w:val="0"/>
            <w:vAlign w:val="center"/>
          </w:tcPr>
          <w:p w14:paraId="4AA78507">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b/>
                <w:bCs/>
                <w:color w:val="FF0000"/>
                <w:sz w:val="24"/>
                <w:szCs w:val="24"/>
                <w:highlight w:val="none"/>
              </w:rPr>
            </w:pPr>
          </w:p>
        </w:tc>
        <w:tc>
          <w:tcPr>
            <w:tcW w:w="736" w:type="pct"/>
            <w:noWrap w:val="0"/>
            <w:vAlign w:val="center"/>
          </w:tcPr>
          <w:p w14:paraId="27650BD0">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kern w:val="0"/>
                <w:sz w:val="24"/>
                <w:szCs w:val="24"/>
                <w:highlight w:val="none"/>
                <w:lang w:val="en-US" w:eastAsia="zh-CN"/>
              </w:rPr>
              <w:t>DA003</w:t>
            </w:r>
            <w:r>
              <w:rPr>
                <w:rFonts w:hint="eastAsia" w:cs="Times New Roman"/>
                <w:color w:val="auto"/>
                <w:kern w:val="0"/>
                <w:sz w:val="24"/>
                <w:szCs w:val="24"/>
                <w:highlight w:val="none"/>
                <w:lang w:val="en-US" w:eastAsia="zh-CN"/>
              </w:rPr>
              <w:t>、3#排气筒排放口/</w:t>
            </w:r>
            <w:r>
              <w:rPr>
                <w:rFonts w:hint="eastAsia" w:ascii="Times New Roman" w:hAnsi="Times New Roman" w:eastAsia="宋体" w:cs="Times New Roman"/>
                <w:color w:val="auto"/>
                <w:sz w:val="24"/>
                <w:szCs w:val="24"/>
                <w:highlight w:val="none"/>
                <w:lang w:val="en-US" w:eastAsia="zh-CN"/>
              </w:rPr>
              <w:t>打磨</w:t>
            </w:r>
          </w:p>
        </w:tc>
        <w:tc>
          <w:tcPr>
            <w:tcW w:w="556" w:type="pct"/>
            <w:noWrap w:val="0"/>
            <w:vAlign w:val="center"/>
          </w:tcPr>
          <w:p w14:paraId="11F76AE2">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颗粒物</w:t>
            </w:r>
          </w:p>
        </w:tc>
        <w:tc>
          <w:tcPr>
            <w:tcW w:w="1636" w:type="pct"/>
            <w:noWrap w:val="0"/>
            <w:vAlign w:val="center"/>
          </w:tcPr>
          <w:p w14:paraId="267552E6">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打磨粉尘：吸风收集+布袋除尘装置处理+15米高排气筒（DA003）</w:t>
            </w:r>
          </w:p>
        </w:tc>
        <w:tc>
          <w:tcPr>
            <w:tcW w:w="1383" w:type="pct"/>
            <w:vMerge w:val="continue"/>
            <w:noWrap w:val="0"/>
            <w:vAlign w:val="center"/>
          </w:tcPr>
          <w:p w14:paraId="2BB9B0E1">
            <w:pPr>
              <w:adjustRightInd w:val="0"/>
              <w:snapToGrid w:val="0"/>
              <w:jc w:val="center"/>
              <w:rPr>
                <w:rFonts w:hint="default" w:ascii="Times New Roman" w:hAnsi="Times New Roman" w:eastAsia="宋体" w:cs="Times New Roman"/>
                <w:bCs/>
                <w:color w:val="auto"/>
                <w:sz w:val="24"/>
                <w:szCs w:val="24"/>
                <w:highlight w:val="none"/>
                <w:lang w:val="en-US" w:eastAsia="zh-CN"/>
              </w:rPr>
            </w:pPr>
          </w:p>
        </w:tc>
      </w:tr>
      <w:tr w14:paraId="15DBBE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vMerge w:val="continue"/>
            <w:noWrap w:val="0"/>
            <w:vAlign w:val="center"/>
          </w:tcPr>
          <w:p w14:paraId="59EBD4C4">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b/>
                <w:bCs/>
                <w:color w:val="FF0000"/>
                <w:sz w:val="24"/>
                <w:szCs w:val="24"/>
                <w:highlight w:val="none"/>
              </w:rPr>
            </w:pPr>
          </w:p>
        </w:tc>
        <w:tc>
          <w:tcPr>
            <w:tcW w:w="736" w:type="pct"/>
            <w:noWrap w:val="0"/>
            <w:vAlign w:val="center"/>
          </w:tcPr>
          <w:p w14:paraId="56CB4A9A">
            <w:pPr>
              <w:keepNext w:val="0"/>
              <w:keepLines w:val="0"/>
              <w:pageBreakBefore w:val="0"/>
              <w:widowControl/>
              <w:kinsoku/>
              <w:wordWrap/>
              <w:overflowPunct/>
              <w:topLinePunct w:val="0"/>
              <w:autoSpaceDE/>
              <w:autoSpaceDN/>
              <w:bidi w:val="0"/>
              <w:spacing w:line="340" w:lineRule="exact"/>
              <w:jc w:val="center"/>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DA00</w:t>
            </w:r>
            <w:r>
              <w:rPr>
                <w:rFonts w:hint="eastAsia" w:ascii="Times New Roman" w:hAnsi="Times New Roman" w:eastAsia="宋体" w:cs="Times New Roman"/>
                <w:color w:val="auto"/>
                <w:kern w:val="0"/>
                <w:sz w:val="24"/>
                <w:szCs w:val="24"/>
                <w:highlight w:val="none"/>
                <w:lang w:val="en-US" w:eastAsia="zh-CN"/>
              </w:rPr>
              <w:t>4</w:t>
            </w:r>
            <w:r>
              <w:rPr>
                <w:rFonts w:hint="eastAsia" w:cs="Times New Roman"/>
                <w:color w:val="auto"/>
                <w:kern w:val="0"/>
                <w:sz w:val="24"/>
                <w:szCs w:val="24"/>
                <w:highlight w:val="none"/>
                <w:lang w:val="en-US" w:eastAsia="zh-CN"/>
              </w:rPr>
              <w:t>、4#排气筒排放口/</w:t>
            </w:r>
            <w:r>
              <w:rPr>
                <w:rFonts w:hint="eastAsia" w:ascii="Times New Roman" w:hAnsi="Times New Roman" w:eastAsia="宋体" w:cs="Times New Roman"/>
                <w:color w:val="auto"/>
                <w:kern w:val="0"/>
                <w:sz w:val="24"/>
                <w:szCs w:val="24"/>
                <w:highlight w:val="none"/>
                <w:lang w:val="en-US" w:eastAsia="zh-CN"/>
              </w:rPr>
              <w:t>制芯（射芯）、浇铸</w:t>
            </w:r>
          </w:p>
        </w:tc>
        <w:tc>
          <w:tcPr>
            <w:tcW w:w="556" w:type="pct"/>
            <w:noWrap w:val="0"/>
            <w:vAlign w:val="center"/>
          </w:tcPr>
          <w:p w14:paraId="7578B8B3">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颗粒物、非甲烷总烃</w:t>
            </w:r>
          </w:p>
        </w:tc>
        <w:tc>
          <w:tcPr>
            <w:tcW w:w="1636" w:type="pct"/>
            <w:noWrap w:val="0"/>
            <w:vAlign w:val="center"/>
          </w:tcPr>
          <w:p w14:paraId="20CE5BB7">
            <w:pPr>
              <w:adjustRightInd w:val="0"/>
              <w:snapToGrid w:val="0"/>
              <w:jc w:val="center"/>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制芯（射芯）废气：集气罩收集+“布袋除尘器+二级活性炭吸附”处理+15米高排气筒（DA00</w:t>
            </w:r>
            <w:r>
              <w:rPr>
                <w:rFonts w:hint="eastAsia" w:cs="Times New Roman"/>
                <w:bCs/>
                <w:color w:val="auto"/>
                <w:sz w:val="24"/>
                <w:szCs w:val="24"/>
                <w:highlight w:val="none"/>
                <w:lang w:val="en-US" w:eastAsia="zh-CN"/>
              </w:rPr>
              <w:t>4</w:t>
            </w:r>
            <w:r>
              <w:rPr>
                <w:rFonts w:hint="eastAsia" w:ascii="Times New Roman" w:hAnsi="Times New Roman" w:eastAsia="宋体" w:cs="Times New Roman"/>
                <w:bCs/>
                <w:color w:val="auto"/>
                <w:sz w:val="24"/>
                <w:szCs w:val="24"/>
                <w:highlight w:val="none"/>
                <w:lang w:val="en-US" w:eastAsia="zh-CN"/>
              </w:rPr>
              <w:t>）</w:t>
            </w:r>
          </w:p>
          <w:p w14:paraId="2A1EF94A">
            <w:pPr>
              <w:adjustRightInd w:val="0"/>
              <w:snapToGrid w:val="0"/>
              <w:jc w:val="center"/>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浇铸废气：区域</w:t>
            </w:r>
            <w:r>
              <w:rPr>
                <w:rFonts w:hint="eastAsia" w:cs="Times New Roman"/>
                <w:bCs/>
                <w:color w:val="auto"/>
                <w:sz w:val="24"/>
                <w:szCs w:val="24"/>
                <w:highlight w:val="none"/>
                <w:lang w:val="en-US" w:eastAsia="zh-CN"/>
              </w:rPr>
              <w:t>侧吸</w:t>
            </w:r>
            <w:r>
              <w:rPr>
                <w:rFonts w:hint="eastAsia" w:ascii="Times New Roman" w:hAnsi="Times New Roman" w:eastAsia="宋体" w:cs="Times New Roman"/>
                <w:bCs/>
                <w:color w:val="auto"/>
                <w:sz w:val="24"/>
                <w:szCs w:val="24"/>
                <w:highlight w:val="none"/>
                <w:lang w:val="en-US" w:eastAsia="zh-CN"/>
              </w:rPr>
              <w:t>收集+“布袋除尘器+二级活性炭吸附”装置+15米高排气筒（DA00</w:t>
            </w:r>
            <w:r>
              <w:rPr>
                <w:rFonts w:hint="eastAsia" w:cs="Times New Roman"/>
                <w:bCs/>
                <w:color w:val="auto"/>
                <w:sz w:val="24"/>
                <w:szCs w:val="24"/>
                <w:highlight w:val="none"/>
                <w:lang w:val="en-US" w:eastAsia="zh-CN"/>
              </w:rPr>
              <w:t>4</w:t>
            </w:r>
            <w:r>
              <w:rPr>
                <w:rFonts w:hint="eastAsia" w:ascii="Times New Roman" w:hAnsi="Times New Roman" w:eastAsia="宋体" w:cs="Times New Roman"/>
                <w:bCs/>
                <w:color w:val="auto"/>
                <w:sz w:val="24"/>
                <w:szCs w:val="24"/>
                <w:highlight w:val="none"/>
                <w:lang w:val="en-US" w:eastAsia="zh-CN"/>
              </w:rPr>
              <w:t>）</w:t>
            </w:r>
          </w:p>
        </w:tc>
        <w:tc>
          <w:tcPr>
            <w:tcW w:w="1383" w:type="pct"/>
            <w:vMerge w:val="continue"/>
            <w:noWrap w:val="0"/>
            <w:vAlign w:val="center"/>
          </w:tcPr>
          <w:p w14:paraId="69AD8838">
            <w:pPr>
              <w:adjustRightInd w:val="0"/>
              <w:snapToGrid w:val="0"/>
              <w:jc w:val="center"/>
              <w:rPr>
                <w:rFonts w:hint="default" w:ascii="Times New Roman" w:hAnsi="Times New Roman" w:eastAsia="宋体" w:cs="Times New Roman"/>
                <w:bCs/>
                <w:color w:val="auto"/>
                <w:sz w:val="24"/>
                <w:szCs w:val="24"/>
                <w:highlight w:val="none"/>
                <w:lang w:val="en-US" w:eastAsia="zh-CN"/>
              </w:rPr>
            </w:pPr>
          </w:p>
        </w:tc>
      </w:tr>
      <w:tr w14:paraId="40A1F5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vMerge w:val="continue"/>
            <w:noWrap w:val="0"/>
            <w:vAlign w:val="center"/>
          </w:tcPr>
          <w:p w14:paraId="5DD11175">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b/>
                <w:bCs/>
                <w:color w:val="FF0000"/>
                <w:sz w:val="24"/>
                <w:szCs w:val="24"/>
                <w:highlight w:val="none"/>
              </w:rPr>
            </w:pPr>
          </w:p>
        </w:tc>
        <w:tc>
          <w:tcPr>
            <w:tcW w:w="736" w:type="pct"/>
            <w:noWrap w:val="0"/>
            <w:vAlign w:val="center"/>
          </w:tcPr>
          <w:p w14:paraId="401DD7C6">
            <w:pPr>
              <w:keepNext w:val="0"/>
              <w:keepLines w:val="0"/>
              <w:pageBreakBefore w:val="0"/>
              <w:widowControl/>
              <w:kinsoku/>
              <w:wordWrap/>
              <w:overflowPunct/>
              <w:topLinePunct w:val="0"/>
              <w:autoSpaceDE/>
              <w:autoSpaceDN/>
              <w:bidi w:val="0"/>
              <w:spacing w:line="340" w:lineRule="exact"/>
              <w:jc w:val="center"/>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DA00</w:t>
            </w:r>
            <w:r>
              <w:rPr>
                <w:rFonts w:hint="eastAsia" w:ascii="Times New Roman" w:hAnsi="Times New Roman" w:eastAsia="宋体" w:cs="Times New Roman"/>
                <w:color w:val="auto"/>
                <w:kern w:val="0"/>
                <w:sz w:val="24"/>
                <w:szCs w:val="24"/>
                <w:highlight w:val="none"/>
                <w:lang w:val="en-US" w:eastAsia="zh-CN"/>
              </w:rPr>
              <w:t>5</w:t>
            </w:r>
            <w:r>
              <w:rPr>
                <w:rFonts w:hint="eastAsia" w:cs="Times New Roman"/>
                <w:color w:val="auto"/>
                <w:kern w:val="0"/>
                <w:sz w:val="24"/>
                <w:szCs w:val="24"/>
                <w:highlight w:val="none"/>
                <w:lang w:val="en-US" w:eastAsia="zh-CN"/>
              </w:rPr>
              <w:t>、5#排气筒排放口/</w:t>
            </w:r>
            <w:r>
              <w:rPr>
                <w:rFonts w:hint="eastAsia" w:ascii="Times New Roman" w:hAnsi="Times New Roman" w:eastAsia="宋体" w:cs="Times New Roman"/>
                <w:color w:val="auto"/>
                <w:kern w:val="0"/>
                <w:sz w:val="24"/>
                <w:szCs w:val="24"/>
                <w:highlight w:val="none"/>
                <w:lang w:val="en-US" w:eastAsia="zh-CN"/>
              </w:rPr>
              <w:t>抛丸</w:t>
            </w:r>
          </w:p>
        </w:tc>
        <w:tc>
          <w:tcPr>
            <w:tcW w:w="556" w:type="pct"/>
            <w:noWrap w:val="0"/>
            <w:vAlign w:val="center"/>
          </w:tcPr>
          <w:p w14:paraId="4A113428">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颗粒物</w:t>
            </w:r>
          </w:p>
        </w:tc>
        <w:tc>
          <w:tcPr>
            <w:tcW w:w="1636" w:type="pct"/>
            <w:noWrap w:val="0"/>
            <w:vAlign w:val="center"/>
          </w:tcPr>
          <w:p w14:paraId="412B1E19">
            <w:pPr>
              <w:adjustRightInd w:val="0"/>
              <w:snapToGrid w:val="0"/>
              <w:jc w:val="center"/>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立式抛丸机</w:t>
            </w:r>
            <w:r>
              <w:rPr>
                <w:rFonts w:hint="eastAsia" w:ascii="Times New Roman" w:hAnsi="Times New Roman" w:eastAsia="宋体" w:cs="Times New Roman"/>
                <w:bCs/>
                <w:color w:val="auto"/>
                <w:sz w:val="24"/>
                <w:szCs w:val="24"/>
                <w:highlight w:val="none"/>
                <w:lang w:val="en-US" w:eastAsia="zh-CN"/>
              </w:rPr>
              <w:t>抛丸粉尘：吸风收集+自带布袋除尘器处理+15米高排气筒（DA00</w:t>
            </w:r>
            <w:r>
              <w:rPr>
                <w:rFonts w:hint="eastAsia" w:cs="Times New Roman"/>
                <w:bCs/>
                <w:color w:val="auto"/>
                <w:sz w:val="24"/>
                <w:szCs w:val="24"/>
                <w:highlight w:val="none"/>
                <w:lang w:val="en-US" w:eastAsia="zh-CN"/>
              </w:rPr>
              <w:t>5</w:t>
            </w:r>
            <w:r>
              <w:rPr>
                <w:rFonts w:hint="eastAsia" w:ascii="Times New Roman" w:hAnsi="Times New Roman" w:eastAsia="宋体" w:cs="Times New Roman"/>
                <w:bCs/>
                <w:color w:val="auto"/>
                <w:sz w:val="24"/>
                <w:szCs w:val="24"/>
                <w:highlight w:val="none"/>
                <w:lang w:val="en-US" w:eastAsia="zh-CN"/>
              </w:rPr>
              <w:t>）</w:t>
            </w:r>
          </w:p>
        </w:tc>
        <w:tc>
          <w:tcPr>
            <w:tcW w:w="1383" w:type="pct"/>
            <w:vMerge w:val="continue"/>
            <w:noWrap w:val="0"/>
            <w:vAlign w:val="center"/>
          </w:tcPr>
          <w:p w14:paraId="765E5D01">
            <w:pPr>
              <w:adjustRightInd w:val="0"/>
              <w:snapToGrid w:val="0"/>
              <w:jc w:val="center"/>
              <w:rPr>
                <w:rFonts w:hint="default" w:ascii="Times New Roman" w:hAnsi="Times New Roman" w:eastAsia="宋体" w:cs="Times New Roman"/>
                <w:bCs/>
                <w:color w:val="auto"/>
                <w:sz w:val="24"/>
                <w:szCs w:val="24"/>
                <w:highlight w:val="none"/>
                <w:lang w:val="en-US" w:eastAsia="zh-CN"/>
              </w:rPr>
            </w:pPr>
          </w:p>
        </w:tc>
      </w:tr>
      <w:tr w14:paraId="039B59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vMerge w:val="continue"/>
            <w:noWrap w:val="0"/>
            <w:vAlign w:val="center"/>
          </w:tcPr>
          <w:p w14:paraId="43E83422">
            <w:pPr>
              <w:keepNext w:val="0"/>
              <w:keepLines w:val="0"/>
              <w:pageBreakBefore w:val="0"/>
              <w:widowControl/>
              <w:kinsoku/>
              <w:wordWrap/>
              <w:overflowPunct/>
              <w:topLinePunct w:val="0"/>
              <w:autoSpaceDE/>
              <w:autoSpaceDN/>
              <w:bidi w:val="0"/>
              <w:spacing w:line="340" w:lineRule="exact"/>
              <w:jc w:val="center"/>
              <w:textAlignment w:val="auto"/>
              <w:rPr>
                <w:rFonts w:hint="default" w:ascii="Times New Roman" w:hAnsi="Times New Roman" w:eastAsia="宋体" w:cs="Times New Roman"/>
                <w:b/>
                <w:bCs/>
                <w:color w:val="FF0000"/>
                <w:sz w:val="24"/>
                <w:szCs w:val="24"/>
                <w:highlight w:val="none"/>
              </w:rPr>
            </w:pPr>
          </w:p>
        </w:tc>
        <w:tc>
          <w:tcPr>
            <w:tcW w:w="736" w:type="pct"/>
            <w:noWrap w:val="0"/>
            <w:vAlign w:val="center"/>
          </w:tcPr>
          <w:p w14:paraId="5C4C2B21">
            <w:pPr>
              <w:keepNext w:val="0"/>
              <w:keepLines w:val="0"/>
              <w:pageBreakBefore w:val="0"/>
              <w:widowControl/>
              <w:kinsoku/>
              <w:wordWrap/>
              <w:overflowPunct/>
              <w:topLinePunct w:val="0"/>
              <w:autoSpaceDE/>
              <w:autoSpaceDN/>
              <w:bidi w:val="0"/>
              <w:spacing w:line="340" w:lineRule="exact"/>
              <w:jc w:val="center"/>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DA00</w:t>
            </w:r>
            <w:r>
              <w:rPr>
                <w:rFonts w:hint="eastAsia" w:ascii="Times New Roman" w:hAnsi="Times New Roman" w:eastAsia="宋体" w:cs="Times New Roman"/>
                <w:color w:val="auto"/>
                <w:kern w:val="0"/>
                <w:sz w:val="24"/>
                <w:szCs w:val="24"/>
                <w:highlight w:val="none"/>
                <w:lang w:val="en-US" w:eastAsia="zh-CN"/>
              </w:rPr>
              <w:t>6</w:t>
            </w:r>
            <w:r>
              <w:rPr>
                <w:rFonts w:hint="eastAsia" w:cs="Times New Roman"/>
                <w:color w:val="auto"/>
                <w:kern w:val="0"/>
                <w:sz w:val="24"/>
                <w:szCs w:val="24"/>
                <w:highlight w:val="none"/>
                <w:lang w:val="en-US" w:eastAsia="zh-CN"/>
              </w:rPr>
              <w:t>、6#排气筒排放口/</w:t>
            </w:r>
            <w:r>
              <w:rPr>
                <w:rFonts w:hint="eastAsia" w:ascii="Times New Roman" w:hAnsi="Times New Roman" w:eastAsia="宋体" w:cs="Times New Roman"/>
                <w:color w:val="auto"/>
                <w:kern w:val="0"/>
                <w:sz w:val="24"/>
                <w:szCs w:val="24"/>
                <w:highlight w:val="none"/>
                <w:lang w:val="en-US" w:eastAsia="zh-CN"/>
              </w:rPr>
              <w:t>抛丸</w:t>
            </w:r>
          </w:p>
        </w:tc>
        <w:tc>
          <w:tcPr>
            <w:tcW w:w="556" w:type="pct"/>
            <w:noWrap w:val="0"/>
            <w:vAlign w:val="center"/>
          </w:tcPr>
          <w:p w14:paraId="272C31C7">
            <w:pPr>
              <w:adjustRightInd w:val="0"/>
              <w:snapToGrid w:val="0"/>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颗粒物</w:t>
            </w:r>
          </w:p>
        </w:tc>
        <w:tc>
          <w:tcPr>
            <w:tcW w:w="1636" w:type="pct"/>
            <w:noWrap w:val="0"/>
            <w:vAlign w:val="center"/>
          </w:tcPr>
          <w:p w14:paraId="081D1E52">
            <w:pPr>
              <w:adjustRightInd w:val="0"/>
              <w:snapToGrid w:val="0"/>
              <w:jc w:val="center"/>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卧</w:t>
            </w:r>
            <w:r>
              <w:rPr>
                <w:rFonts w:hint="eastAsia" w:ascii="Times New Roman" w:hAnsi="Times New Roman" w:eastAsia="宋体" w:cs="Times New Roman"/>
                <w:bCs/>
                <w:color w:val="auto"/>
                <w:sz w:val="24"/>
                <w:szCs w:val="24"/>
                <w:highlight w:val="none"/>
                <w:lang w:val="en-US" w:eastAsia="zh-CN"/>
              </w:rPr>
              <w:t>式抛丸机抛丸粉尘：吸风收集+自带布袋除尘器处理+15米高排气筒（DA00</w:t>
            </w:r>
            <w:r>
              <w:rPr>
                <w:rFonts w:hint="eastAsia" w:cs="Times New Roman"/>
                <w:bCs/>
                <w:color w:val="auto"/>
                <w:sz w:val="24"/>
                <w:szCs w:val="24"/>
                <w:highlight w:val="none"/>
                <w:lang w:val="en-US" w:eastAsia="zh-CN"/>
              </w:rPr>
              <w:t>6</w:t>
            </w:r>
            <w:r>
              <w:rPr>
                <w:rFonts w:hint="eastAsia" w:ascii="Times New Roman" w:hAnsi="Times New Roman" w:eastAsia="宋体" w:cs="Times New Roman"/>
                <w:bCs/>
                <w:color w:val="auto"/>
                <w:sz w:val="24"/>
                <w:szCs w:val="24"/>
                <w:highlight w:val="none"/>
                <w:lang w:val="en-US" w:eastAsia="zh-CN"/>
              </w:rPr>
              <w:t>）</w:t>
            </w:r>
          </w:p>
        </w:tc>
        <w:tc>
          <w:tcPr>
            <w:tcW w:w="1383" w:type="pct"/>
            <w:vMerge w:val="continue"/>
            <w:noWrap w:val="0"/>
            <w:vAlign w:val="center"/>
          </w:tcPr>
          <w:p w14:paraId="3B5A5DC2">
            <w:pPr>
              <w:adjustRightInd w:val="0"/>
              <w:snapToGrid w:val="0"/>
              <w:jc w:val="center"/>
              <w:rPr>
                <w:rFonts w:hint="default" w:ascii="Times New Roman" w:hAnsi="Times New Roman" w:eastAsia="宋体" w:cs="Times New Roman"/>
                <w:bCs/>
                <w:color w:val="auto"/>
                <w:sz w:val="24"/>
                <w:szCs w:val="24"/>
                <w:highlight w:val="none"/>
                <w:lang w:val="en-US" w:eastAsia="zh-CN"/>
              </w:rPr>
            </w:pPr>
          </w:p>
        </w:tc>
      </w:tr>
      <w:tr w14:paraId="2D06D3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0" w:hRule="atLeast"/>
          <w:jc w:val="center"/>
        </w:trPr>
        <w:tc>
          <w:tcPr>
            <w:tcW w:w="687" w:type="pct"/>
            <w:vMerge w:val="continue"/>
            <w:noWrap w:val="0"/>
            <w:vAlign w:val="center"/>
          </w:tcPr>
          <w:p w14:paraId="19734D02">
            <w:pPr>
              <w:adjustRightInd w:val="0"/>
              <w:snapToGrid w:val="0"/>
              <w:jc w:val="center"/>
              <w:rPr>
                <w:rFonts w:hint="default" w:ascii="Times New Roman" w:hAnsi="Times New Roman" w:eastAsia="宋体" w:cs="Times New Roman"/>
                <w:b/>
                <w:bCs/>
                <w:color w:val="FF0000"/>
                <w:sz w:val="24"/>
                <w:szCs w:val="24"/>
                <w:highlight w:val="none"/>
              </w:rPr>
            </w:pPr>
          </w:p>
        </w:tc>
        <w:tc>
          <w:tcPr>
            <w:tcW w:w="736" w:type="pct"/>
            <w:noWrap w:val="0"/>
            <w:vAlign w:val="center"/>
          </w:tcPr>
          <w:p w14:paraId="0C0AB391">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无组织排放</w:t>
            </w:r>
          </w:p>
        </w:tc>
        <w:tc>
          <w:tcPr>
            <w:tcW w:w="556" w:type="pct"/>
            <w:noWrap w:val="0"/>
            <w:vAlign w:val="center"/>
          </w:tcPr>
          <w:p w14:paraId="060EDE76">
            <w:pPr>
              <w:adjustRightInd w:val="0"/>
              <w:snapToGrid w:val="0"/>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b w:val="0"/>
                <w:bCs w:val="0"/>
                <w:color w:val="auto"/>
                <w:kern w:val="0"/>
                <w:sz w:val="24"/>
                <w:szCs w:val="24"/>
                <w:highlight w:val="none"/>
                <w:lang w:val="en-US" w:eastAsia="zh-CN"/>
              </w:rPr>
              <w:t>颗粒物、</w:t>
            </w:r>
            <w:r>
              <w:rPr>
                <w:rFonts w:hint="default" w:ascii="Times New Roman" w:hAnsi="Times New Roman" w:eastAsia="宋体" w:cs="Times New Roman"/>
                <w:b w:val="0"/>
                <w:bCs w:val="0"/>
                <w:color w:val="auto"/>
                <w:sz w:val="24"/>
                <w:szCs w:val="24"/>
                <w:highlight w:val="none"/>
                <w:lang w:val="en-US" w:eastAsia="zh-CN"/>
              </w:rPr>
              <w:t>非甲烷总烃</w:t>
            </w:r>
            <w:r>
              <w:rPr>
                <w:rFonts w:hint="eastAsia" w:cs="Times New Roman"/>
                <w:b w:val="0"/>
                <w:bCs w:val="0"/>
                <w:color w:val="auto"/>
                <w:sz w:val="24"/>
                <w:szCs w:val="24"/>
                <w:highlight w:val="none"/>
                <w:lang w:val="en-US" w:eastAsia="zh-CN"/>
              </w:rPr>
              <w:t>、甲醛</w:t>
            </w:r>
          </w:p>
        </w:tc>
        <w:tc>
          <w:tcPr>
            <w:tcW w:w="1636" w:type="pct"/>
            <w:noWrap w:val="0"/>
            <w:vAlign w:val="center"/>
          </w:tcPr>
          <w:p w14:paraId="0F0A1F8A">
            <w:pPr>
              <w:adjustRightInd w:val="0"/>
              <w:snapToGrid w:val="0"/>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自然沉降+</w:t>
            </w:r>
            <w:r>
              <w:rPr>
                <w:rFonts w:hint="default" w:ascii="Times New Roman" w:hAnsi="Times New Roman" w:eastAsia="宋体" w:cs="Times New Roman"/>
                <w:color w:val="auto"/>
                <w:sz w:val="24"/>
                <w:szCs w:val="24"/>
                <w:highlight w:val="none"/>
                <w:lang w:val="en-US" w:eastAsia="zh-CN"/>
              </w:rPr>
              <w:t>厂房阻隔</w:t>
            </w:r>
          </w:p>
        </w:tc>
        <w:tc>
          <w:tcPr>
            <w:tcW w:w="1383" w:type="pct"/>
            <w:noWrap w:val="0"/>
            <w:vAlign w:val="center"/>
          </w:tcPr>
          <w:p w14:paraId="300AC840">
            <w:pPr>
              <w:adjustRightInd w:val="0"/>
              <w:snapToGrid w:val="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无组织废气厂区内及厂界执行《大气污染物综合排放标准》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GB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16297-1996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中浓度限值要求，车间外厂</w:t>
            </w:r>
            <w:r>
              <w:rPr>
                <w:rFonts w:hint="default" w:ascii="Times New Roman" w:hAnsi="Times New Roman" w:eastAsia="宋体" w:cs="Times New Roman"/>
                <w:b w:val="0"/>
                <w:bCs w:val="0"/>
                <w:color w:val="auto"/>
                <w:sz w:val="24"/>
                <w:szCs w:val="24"/>
                <w:highlight w:val="none"/>
                <w:lang w:val="en-US" w:eastAsia="zh-CN"/>
              </w:rPr>
              <w:t>区</w:t>
            </w:r>
            <w:r>
              <w:rPr>
                <w:rFonts w:hint="default" w:ascii="Times New Roman" w:hAnsi="Times New Roman" w:eastAsia="宋体" w:cs="Times New Roman"/>
                <w:b w:val="0"/>
                <w:bCs w:val="0"/>
                <w:color w:val="auto"/>
                <w:sz w:val="24"/>
                <w:szCs w:val="24"/>
                <w:highlight w:val="none"/>
              </w:rPr>
              <w:t>内的非甲烷总烃计执行《挥发性有机物无组织排放控制标准》（GB</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37822-2019）厂区内（车间外）特别排放限值</w:t>
            </w:r>
          </w:p>
        </w:tc>
      </w:tr>
      <w:tr w14:paraId="7EE3F6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1E45F96F">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地表水环境</w:t>
            </w:r>
          </w:p>
        </w:tc>
        <w:tc>
          <w:tcPr>
            <w:tcW w:w="736" w:type="pct"/>
            <w:noWrap w:val="0"/>
            <w:vAlign w:val="center"/>
          </w:tcPr>
          <w:p w14:paraId="62A8E05E">
            <w:pPr>
              <w:pStyle w:val="102"/>
              <w:spacing w:line="24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DW001</w:t>
            </w:r>
          </w:p>
          <w:p w14:paraId="3ACF684C">
            <w:pPr>
              <w:pStyle w:val="102"/>
              <w:spacing w:line="24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olor w:val="auto"/>
                <w:kern w:val="2"/>
                <w:sz w:val="24"/>
                <w:szCs w:val="24"/>
                <w:highlight w:val="none"/>
                <w:lang w:val="en-US" w:eastAsia="zh-CN" w:bidi="ar-SA"/>
              </w:rPr>
              <w:t>厂区污水总排口/生活污水</w:t>
            </w:r>
          </w:p>
        </w:tc>
        <w:tc>
          <w:tcPr>
            <w:tcW w:w="556" w:type="pct"/>
            <w:noWrap w:val="0"/>
            <w:vAlign w:val="center"/>
          </w:tcPr>
          <w:p w14:paraId="42D6B01B">
            <w:pPr>
              <w:pStyle w:val="102"/>
              <w:spacing w:line="24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COD</w:t>
            </w:r>
            <w:r>
              <w:rPr>
                <w:rFonts w:hint="default" w:ascii="Times New Roman" w:hAnsi="Times New Roman" w:eastAsia="宋体" w:cs="Times New Roman"/>
                <w:bCs/>
                <w:color w:val="auto"/>
                <w:sz w:val="24"/>
                <w:szCs w:val="24"/>
                <w:highlight w:val="none"/>
                <w:vertAlign w:val="subscript"/>
              </w:rPr>
              <w:t>Cr</w:t>
            </w:r>
            <w:r>
              <w:rPr>
                <w:rFonts w:hint="default" w:ascii="Times New Roman" w:hAnsi="Times New Roman" w:eastAsia="宋体" w:cs="Times New Roman"/>
                <w:bCs/>
                <w:color w:val="auto"/>
                <w:sz w:val="24"/>
                <w:szCs w:val="24"/>
                <w:highlight w:val="none"/>
              </w:rPr>
              <w:t>、BOD</w:t>
            </w:r>
            <w:r>
              <w:rPr>
                <w:rFonts w:hint="default" w:ascii="Times New Roman" w:hAnsi="Times New Roman" w:eastAsia="宋体" w:cs="Times New Roman"/>
                <w:bCs/>
                <w:color w:val="auto"/>
                <w:sz w:val="24"/>
                <w:szCs w:val="24"/>
                <w:highlight w:val="none"/>
                <w:vertAlign w:val="subscript"/>
              </w:rPr>
              <w:t>5</w:t>
            </w:r>
            <w:r>
              <w:rPr>
                <w:rFonts w:hint="default" w:ascii="Times New Roman" w:hAnsi="Times New Roman" w:eastAsia="宋体" w:cs="Times New Roman"/>
                <w:bCs/>
                <w:color w:val="auto"/>
                <w:sz w:val="24"/>
                <w:szCs w:val="24"/>
                <w:highlight w:val="none"/>
              </w:rPr>
              <w:t>、SS、氨氮</w:t>
            </w:r>
          </w:p>
        </w:tc>
        <w:tc>
          <w:tcPr>
            <w:tcW w:w="1636" w:type="pct"/>
            <w:noWrap w:val="0"/>
            <w:vAlign w:val="center"/>
          </w:tcPr>
          <w:p w14:paraId="1F56D360">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olor w:val="auto"/>
                <w:sz w:val="24"/>
                <w:szCs w:val="24"/>
                <w:highlight w:val="none"/>
              </w:rPr>
              <w:t>接</w:t>
            </w:r>
            <w:r>
              <w:rPr>
                <w:rFonts w:hint="default" w:ascii="Times New Roman" w:hAnsi="Times New Roman" w:eastAsia="宋体" w:cs="Times New Roman"/>
                <w:b w:val="0"/>
                <w:bCs w:val="0"/>
                <w:color w:val="auto"/>
                <w:sz w:val="24"/>
                <w:szCs w:val="24"/>
                <w:highlight w:val="none"/>
                <w:lang w:val="en-US" w:eastAsia="zh-CN"/>
              </w:rPr>
              <w:t>市政</w:t>
            </w:r>
            <w:r>
              <w:rPr>
                <w:rFonts w:hint="default" w:ascii="Times New Roman" w:hAnsi="Times New Roman" w:eastAsia="宋体" w:cs="Times New Roman"/>
                <w:b w:val="0"/>
                <w:bCs w:val="0"/>
                <w:color w:val="auto"/>
                <w:sz w:val="24"/>
                <w:szCs w:val="24"/>
                <w:highlight w:val="none"/>
              </w:rPr>
              <w:t>污水管网，进入</w:t>
            </w:r>
            <w:r>
              <w:rPr>
                <w:rFonts w:hint="eastAsia" w:ascii="Times New Roman" w:hAnsi="Times New Roman" w:eastAsia="宋体" w:cs="Times New Roman"/>
                <w:b w:val="0"/>
                <w:bCs w:val="0"/>
                <w:color w:val="auto"/>
                <w:sz w:val="24"/>
                <w:szCs w:val="24"/>
                <w:highlight w:val="none"/>
                <w:lang w:val="en-US" w:eastAsia="zh-CN"/>
              </w:rPr>
              <w:t>新河镇污水处理厂</w:t>
            </w:r>
            <w:r>
              <w:rPr>
                <w:rFonts w:hint="default" w:ascii="Times New Roman" w:hAnsi="Times New Roman" w:eastAsia="宋体" w:cs="Times New Roman"/>
                <w:b w:val="0"/>
                <w:bCs w:val="0"/>
                <w:color w:val="auto"/>
                <w:sz w:val="24"/>
                <w:szCs w:val="24"/>
                <w:highlight w:val="none"/>
              </w:rPr>
              <w:t>进一步处理</w:t>
            </w:r>
          </w:p>
        </w:tc>
        <w:tc>
          <w:tcPr>
            <w:tcW w:w="1383" w:type="pct"/>
            <w:noWrap w:val="0"/>
            <w:vAlign w:val="center"/>
          </w:tcPr>
          <w:p w14:paraId="1532A345">
            <w:pPr>
              <w:pStyle w:val="98"/>
              <w:adjustRightInd w:val="0"/>
              <w:snapToGrid w:val="0"/>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新河镇污水处理厂</w:t>
            </w:r>
            <w:r>
              <w:rPr>
                <w:rFonts w:hint="default" w:ascii="Times New Roman" w:hAnsi="Times New Roman" w:eastAsia="宋体" w:cs="Times New Roman"/>
                <w:color w:val="auto"/>
                <w:sz w:val="24"/>
                <w:szCs w:val="24"/>
                <w:highlight w:val="none"/>
                <w:lang w:val="en-US" w:eastAsia="zh-CN"/>
              </w:rPr>
              <w:t>接管标准、《污水综合排放标准》（GB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8978-1996）表4中三级标准</w:t>
            </w:r>
          </w:p>
        </w:tc>
      </w:tr>
      <w:tr w14:paraId="6004B0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49E8FEF8">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声环境</w:t>
            </w:r>
          </w:p>
        </w:tc>
        <w:tc>
          <w:tcPr>
            <w:tcW w:w="736" w:type="pct"/>
            <w:noWrap w:val="0"/>
            <w:vAlign w:val="center"/>
          </w:tcPr>
          <w:p w14:paraId="02F5F4D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设备运行噪声</w:t>
            </w:r>
          </w:p>
        </w:tc>
        <w:tc>
          <w:tcPr>
            <w:tcW w:w="556" w:type="pct"/>
            <w:noWrap w:val="0"/>
            <w:vAlign w:val="center"/>
          </w:tcPr>
          <w:p w14:paraId="01CA89FD">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w:t>
            </w:r>
          </w:p>
        </w:tc>
        <w:tc>
          <w:tcPr>
            <w:tcW w:w="1636" w:type="pct"/>
            <w:noWrap w:val="0"/>
            <w:vAlign w:val="center"/>
          </w:tcPr>
          <w:p w14:paraId="01DAF138">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采取消声、减震、隔声等措施</w:t>
            </w:r>
          </w:p>
        </w:tc>
        <w:tc>
          <w:tcPr>
            <w:tcW w:w="1383" w:type="pct"/>
            <w:noWrap w:val="0"/>
            <w:vAlign w:val="center"/>
          </w:tcPr>
          <w:p w14:paraId="3AC5740E">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olor w:val="auto"/>
                <w:sz w:val="24"/>
                <w:szCs w:val="24"/>
                <w:highlight w:val="none"/>
              </w:rPr>
              <w:t>《工业企业厂界环境噪声排放标准》（GB</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12348-2008）中</w:t>
            </w:r>
            <w:r>
              <w:rPr>
                <w:rFonts w:hint="default" w:ascii="Times New Roman" w:hAnsi="Times New Roman" w:eastAsia="宋体"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rPr>
              <w:t>标准</w:t>
            </w:r>
          </w:p>
        </w:tc>
      </w:tr>
      <w:tr w14:paraId="1D94C7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749A7CFC">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电磁辐射</w:t>
            </w:r>
          </w:p>
        </w:tc>
        <w:tc>
          <w:tcPr>
            <w:tcW w:w="4312" w:type="pct"/>
            <w:gridSpan w:val="4"/>
            <w:noWrap w:val="0"/>
            <w:vAlign w:val="center"/>
          </w:tcPr>
          <w:p w14:paraId="391F8E32">
            <w:pPr>
              <w:adjustRightInd w:val="0"/>
              <w:snapToGrid w:val="0"/>
              <w:jc w:val="left"/>
              <w:rPr>
                <w:rFonts w:hint="default" w:ascii="Times New Roman" w:hAnsi="Times New Roman" w:eastAsia="宋体" w:cs="Times New Roman"/>
                <w:color w:val="FF0000"/>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本项目不涉及。</w:t>
            </w:r>
          </w:p>
        </w:tc>
      </w:tr>
      <w:tr w14:paraId="52F11A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51AA5256">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固体废物</w:t>
            </w:r>
          </w:p>
        </w:tc>
        <w:tc>
          <w:tcPr>
            <w:tcW w:w="4312" w:type="pct"/>
            <w:gridSpan w:val="4"/>
            <w:noWrap w:val="0"/>
            <w:vAlign w:val="center"/>
          </w:tcPr>
          <w:p w14:paraId="6B223B27">
            <w:pPr>
              <w:adjustRightInd w:val="0"/>
              <w:snapToGrid w:val="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固体废物的产生情况及处置去向：</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875"/>
              <w:gridCol w:w="1288"/>
              <w:gridCol w:w="1325"/>
              <w:gridCol w:w="2152"/>
              <w:gridCol w:w="1138"/>
            </w:tblGrid>
            <w:tr w14:paraId="24B1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vMerge w:val="restart"/>
                  <w:noWrap w:val="0"/>
                  <w:vAlign w:val="center"/>
                </w:tcPr>
                <w:p w14:paraId="53AB88BF">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固体废物名称</w:t>
                  </w:r>
                </w:p>
              </w:tc>
              <w:tc>
                <w:tcPr>
                  <w:tcW w:w="828" w:type="pct"/>
                  <w:vMerge w:val="restart"/>
                  <w:noWrap w:val="0"/>
                  <w:vAlign w:val="center"/>
                </w:tcPr>
                <w:p w14:paraId="4586D95F">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固废属性</w:t>
                  </w:r>
                </w:p>
              </w:tc>
              <w:tc>
                <w:tcPr>
                  <w:tcW w:w="851" w:type="pct"/>
                  <w:vMerge w:val="restart"/>
                  <w:noWrap w:val="0"/>
                  <w:vAlign w:val="center"/>
                </w:tcPr>
                <w:p w14:paraId="4A4CC136">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产生量t/a</w:t>
                  </w:r>
                </w:p>
              </w:tc>
              <w:tc>
                <w:tcPr>
                  <w:tcW w:w="2114" w:type="pct"/>
                  <w:gridSpan w:val="2"/>
                  <w:noWrap w:val="0"/>
                  <w:vAlign w:val="center"/>
                </w:tcPr>
                <w:p w14:paraId="29495437">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处置措施</w:t>
                  </w:r>
                </w:p>
              </w:tc>
            </w:tr>
            <w:tr w14:paraId="06EC8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vMerge w:val="continue"/>
                  <w:noWrap w:val="0"/>
                  <w:vAlign w:val="center"/>
                </w:tcPr>
                <w:p w14:paraId="5AE4F4FC">
                  <w:pPr>
                    <w:jc w:val="center"/>
                    <w:rPr>
                      <w:rFonts w:hint="default" w:ascii="Times New Roman" w:hAnsi="Times New Roman" w:eastAsia="宋体" w:cs="Times New Roman"/>
                      <w:b/>
                      <w:bCs/>
                      <w:color w:val="auto"/>
                      <w:sz w:val="21"/>
                      <w:szCs w:val="21"/>
                      <w:highlight w:val="none"/>
                    </w:rPr>
                  </w:pPr>
                </w:p>
              </w:tc>
              <w:tc>
                <w:tcPr>
                  <w:tcW w:w="828" w:type="pct"/>
                  <w:vMerge w:val="continue"/>
                  <w:noWrap w:val="0"/>
                  <w:vAlign w:val="center"/>
                </w:tcPr>
                <w:p w14:paraId="12B77789">
                  <w:pPr>
                    <w:jc w:val="center"/>
                    <w:rPr>
                      <w:rFonts w:hint="default" w:ascii="Times New Roman" w:hAnsi="Times New Roman" w:eastAsia="宋体" w:cs="Times New Roman"/>
                      <w:b/>
                      <w:bCs/>
                      <w:color w:val="auto"/>
                      <w:sz w:val="21"/>
                      <w:szCs w:val="21"/>
                      <w:highlight w:val="none"/>
                    </w:rPr>
                  </w:pPr>
                </w:p>
              </w:tc>
              <w:tc>
                <w:tcPr>
                  <w:tcW w:w="851" w:type="pct"/>
                  <w:vMerge w:val="continue"/>
                  <w:noWrap w:val="0"/>
                  <w:vAlign w:val="center"/>
                </w:tcPr>
                <w:p w14:paraId="71493487">
                  <w:pPr>
                    <w:jc w:val="center"/>
                    <w:rPr>
                      <w:rFonts w:hint="default" w:ascii="Times New Roman" w:hAnsi="Times New Roman" w:eastAsia="宋体" w:cs="Times New Roman"/>
                      <w:b/>
                      <w:bCs/>
                      <w:color w:val="auto"/>
                      <w:sz w:val="21"/>
                      <w:szCs w:val="21"/>
                      <w:highlight w:val="none"/>
                    </w:rPr>
                  </w:pPr>
                </w:p>
              </w:tc>
              <w:tc>
                <w:tcPr>
                  <w:tcW w:w="1383" w:type="pct"/>
                  <w:noWrap w:val="0"/>
                  <w:vAlign w:val="center"/>
                </w:tcPr>
                <w:p w14:paraId="30665047">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工艺</w:t>
                  </w:r>
                </w:p>
              </w:tc>
              <w:tc>
                <w:tcPr>
                  <w:tcW w:w="731" w:type="pct"/>
                  <w:noWrap w:val="0"/>
                  <w:vAlign w:val="center"/>
                </w:tcPr>
                <w:p w14:paraId="6785B2B9">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处置量</w:t>
                  </w:r>
                </w:p>
              </w:tc>
            </w:tr>
            <w:tr w14:paraId="764F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5286DD31">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废砂</w:t>
                  </w:r>
                </w:p>
              </w:tc>
              <w:tc>
                <w:tcPr>
                  <w:tcW w:w="828" w:type="pct"/>
                  <w:vMerge w:val="restart"/>
                  <w:noWrap w:val="0"/>
                  <w:vAlign w:val="center"/>
                </w:tcPr>
                <w:p w14:paraId="02B60C59">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一般工业固废</w:t>
                  </w:r>
                </w:p>
              </w:tc>
              <w:tc>
                <w:tcPr>
                  <w:tcW w:w="851" w:type="pct"/>
                  <w:noWrap w:val="0"/>
                  <w:vAlign w:val="center"/>
                </w:tcPr>
                <w:p w14:paraId="3EAEADAD">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35</w:t>
                  </w:r>
                  <w:r>
                    <w:rPr>
                      <w:rFonts w:hint="eastAsia" w:ascii="Times New Roman" w:hAnsi="Times New Roman" w:eastAsia="宋体" w:cs="Times New Roman"/>
                      <w:b w:val="0"/>
                      <w:bCs/>
                      <w:color w:val="auto"/>
                      <w:sz w:val="21"/>
                      <w:szCs w:val="21"/>
                      <w:highlight w:val="none"/>
                      <w:lang w:val="en-US" w:eastAsia="zh-CN"/>
                    </w:rPr>
                    <w:t>0</w:t>
                  </w:r>
                </w:p>
              </w:tc>
              <w:tc>
                <w:tcPr>
                  <w:tcW w:w="1383" w:type="pct"/>
                  <w:noWrap w:val="0"/>
                  <w:vAlign w:val="center"/>
                </w:tcPr>
                <w:p w14:paraId="13036C40">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委托废砂处理公司回收处理</w:t>
                  </w:r>
                </w:p>
              </w:tc>
              <w:tc>
                <w:tcPr>
                  <w:tcW w:w="731" w:type="pct"/>
                  <w:noWrap w:val="0"/>
                  <w:vAlign w:val="center"/>
                </w:tcPr>
                <w:p w14:paraId="1F27987F">
                  <w:pPr>
                    <w:pStyle w:val="116"/>
                    <w:tabs>
                      <w:tab w:val="left" w:pos="0"/>
                    </w:tabs>
                    <w:spacing w:line="240" w:lineRule="auto"/>
                    <w:ind w:firstLine="0" w:firstLineChars="0"/>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35</w:t>
                  </w:r>
                  <w:r>
                    <w:rPr>
                      <w:rFonts w:hint="eastAsia" w:ascii="Times New Roman" w:hAnsi="Times New Roman" w:eastAsia="宋体" w:cs="Times New Roman"/>
                      <w:b w:val="0"/>
                      <w:bCs/>
                      <w:color w:val="auto"/>
                      <w:sz w:val="21"/>
                      <w:szCs w:val="21"/>
                      <w:highlight w:val="none"/>
                      <w:lang w:val="en-US" w:eastAsia="zh-CN"/>
                    </w:rPr>
                    <w:t>0</w:t>
                  </w:r>
                </w:p>
              </w:tc>
            </w:tr>
            <w:tr w14:paraId="05D6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5AA07576">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废浇冒口</w:t>
                  </w:r>
                </w:p>
              </w:tc>
              <w:tc>
                <w:tcPr>
                  <w:tcW w:w="828" w:type="pct"/>
                  <w:vMerge w:val="continue"/>
                  <w:noWrap w:val="0"/>
                  <w:vAlign w:val="center"/>
                </w:tcPr>
                <w:p w14:paraId="5A307FAF">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0D586B33">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0.5</w:t>
                  </w:r>
                </w:p>
              </w:tc>
              <w:tc>
                <w:tcPr>
                  <w:tcW w:w="1383" w:type="pct"/>
                  <w:vMerge w:val="restart"/>
                  <w:noWrap w:val="0"/>
                  <w:vAlign w:val="center"/>
                </w:tcPr>
                <w:p w14:paraId="33BD72AB">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color w:val="auto"/>
                      <w:sz w:val="21"/>
                      <w:szCs w:val="21"/>
                      <w:highlight w:val="none"/>
                    </w:rPr>
                    <w:t>回用于生产</w:t>
                  </w:r>
                </w:p>
              </w:tc>
              <w:tc>
                <w:tcPr>
                  <w:tcW w:w="731" w:type="pct"/>
                  <w:noWrap w:val="0"/>
                  <w:vAlign w:val="center"/>
                </w:tcPr>
                <w:p w14:paraId="05EFFA18">
                  <w:pPr>
                    <w:pStyle w:val="116"/>
                    <w:tabs>
                      <w:tab w:val="left" w:pos="0"/>
                    </w:tabs>
                    <w:spacing w:line="240" w:lineRule="auto"/>
                    <w:ind w:firstLine="0" w:firstLineChars="0"/>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0.5</w:t>
                  </w:r>
                </w:p>
              </w:tc>
            </w:tr>
            <w:tr w14:paraId="042DB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23C27C18">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边角料</w:t>
                  </w:r>
                </w:p>
              </w:tc>
              <w:tc>
                <w:tcPr>
                  <w:tcW w:w="828" w:type="pct"/>
                  <w:vMerge w:val="continue"/>
                  <w:noWrap w:val="0"/>
                  <w:vAlign w:val="center"/>
                </w:tcPr>
                <w:p w14:paraId="34959262">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612DF2CA">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1</w:t>
                  </w:r>
                </w:p>
              </w:tc>
              <w:tc>
                <w:tcPr>
                  <w:tcW w:w="1383" w:type="pct"/>
                  <w:vMerge w:val="continue"/>
                  <w:noWrap w:val="0"/>
                  <w:vAlign w:val="center"/>
                </w:tcPr>
                <w:p w14:paraId="605F0B43">
                  <w:pPr>
                    <w:jc w:val="center"/>
                    <w:rPr>
                      <w:rFonts w:hint="default" w:ascii="Times New Roman" w:hAnsi="Times New Roman" w:eastAsia="宋体" w:cs="Times New Roman"/>
                      <w:b w:val="0"/>
                      <w:bCs w:val="0"/>
                      <w:color w:val="auto"/>
                      <w:sz w:val="21"/>
                      <w:szCs w:val="21"/>
                      <w:highlight w:val="none"/>
                    </w:rPr>
                  </w:pPr>
                </w:p>
              </w:tc>
              <w:tc>
                <w:tcPr>
                  <w:tcW w:w="731" w:type="pct"/>
                  <w:noWrap w:val="0"/>
                  <w:vAlign w:val="center"/>
                </w:tcPr>
                <w:p w14:paraId="68592C5D">
                  <w:pPr>
                    <w:pStyle w:val="116"/>
                    <w:tabs>
                      <w:tab w:val="left" w:pos="0"/>
                    </w:tabs>
                    <w:spacing w:line="240" w:lineRule="auto"/>
                    <w:ind w:firstLine="0" w:firstLineChars="0"/>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1</w:t>
                  </w:r>
                </w:p>
              </w:tc>
            </w:tr>
            <w:tr w14:paraId="6D518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5C3D3C76">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不合格品</w:t>
                  </w:r>
                </w:p>
              </w:tc>
              <w:tc>
                <w:tcPr>
                  <w:tcW w:w="828" w:type="pct"/>
                  <w:vMerge w:val="continue"/>
                  <w:noWrap w:val="0"/>
                  <w:vAlign w:val="center"/>
                </w:tcPr>
                <w:p w14:paraId="75B4BF18">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63E307DB">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1383" w:type="pct"/>
                  <w:vMerge w:val="continue"/>
                  <w:noWrap w:val="0"/>
                  <w:vAlign w:val="center"/>
                </w:tcPr>
                <w:p w14:paraId="353A1C5B">
                  <w:pPr>
                    <w:jc w:val="center"/>
                    <w:rPr>
                      <w:rFonts w:hint="default" w:ascii="Times New Roman" w:hAnsi="Times New Roman" w:eastAsia="宋体" w:cs="Times New Roman"/>
                      <w:b w:val="0"/>
                      <w:bCs w:val="0"/>
                      <w:color w:val="auto"/>
                      <w:sz w:val="21"/>
                      <w:szCs w:val="21"/>
                      <w:highlight w:val="none"/>
                    </w:rPr>
                  </w:pPr>
                </w:p>
              </w:tc>
              <w:tc>
                <w:tcPr>
                  <w:tcW w:w="731" w:type="pct"/>
                  <w:noWrap w:val="0"/>
                  <w:vAlign w:val="center"/>
                </w:tcPr>
                <w:p w14:paraId="719434E7">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r>
            <w:tr w14:paraId="28FF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60AF206B">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炉渣</w:t>
                  </w:r>
                </w:p>
              </w:tc>
              <w:tc>
                <w:tcPr>
                  <w:tcW w:w="828" w:type="pct"/>
                  <w:vMerge w:val="continue"/>
                  <w:noWrap w:val="0"/>
                  <w:vAlign w:val="center"/>
                </w:tcPr>
                <w:p w14:paraId="0B42422A">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26483200">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1383" w:type="pct"/>
                  <w:vMerge w:val="restart"/>
                  <w:noWrap w:val="0"/>
                  <w:vAlign w:val="center"/>
                </w:tcPr>
                <w:p w14:paraId="22FCDC4D">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收集后外售综合利用</w:t>
                  </w:r>
                </w:p>
              </w:tc>
              <w:tc>
                <w:tcPr>
                  <w:tcW w:w="731" w:type="pct"/>
                  <w:noWrap w:val="0"/>
                  <w:vAlign w:val="center"/>
                </w:tcPr>
                <w:p w14:paraId="1B4EDBAB">
                  <w:pPr>
                    <w:pStyle w:val="116"/>
                    <w:tabs>
                      <w:tab w:val="left" w:pos="0"/>
                    </w:tabs>
                    <w:spacing w:line="240" w:lineRule="auto"/>
                    <w:ind w:firstLine="0" w:firstLineChars="0"/>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r>
            <w:tr w14:paraId="7D29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501E7B6A">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废包装材料</w:t>
                  </w:r>
                </w:p>
              </w:tc>
              <w:tc>
                <w:tcPr>
                  <w:tcW w:w="828" w:type="pct"/>
                  <w:vMerge w:val="continue"/>
                  <w:noWrap w:val="0"/>
                  <w:vAlign w:val="center"/>
                </w:tcPr>
                <w:p w14:paraId="55E61121">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74E1371B">
                  <w:pPr>
                    <w:pStyle w:val="116"/>
                    <w:tabs>
                      <w:tab w:val="left" w:pos="0"/>
                    </w:tabs>
                    <w:spacing w:line="240" w:lineRule="auto"/>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0.1</w:t>
                  </w:r>
                </w:p>
              </w:tc>
              <w:tc>
                <w:tcPr>
                  <w:tcW w:w="1383" w:type="pct"/>
                  <w:vMerge w:val="continue"/>
                  <w:noWrap w:val="0"/>
                  <w:vAlign w:val="center"/>
                </w:tcPr>
                <w:p w14:paraId="4C8BE1EA">
                  <w:pPr>
                    <w:jc w:val="center"/>
                    <w:rPr>
                      <w:rFonts w:hint="default" w:ascii="Times New Roman" w:hAnsi="Times New Roman" w:eastAsia="宋体" w:cs="Times New Roman"/>
                      <w:color w:val="auto"/>
                      <w:sz w:val="21"/>
                      <w:szCs w:val="21"/>
                      <w:highlight w:val="none"/>
                    </w:rPr>
                  </w:pPr>
                </w:p>
              </w:tc>
              <w:tc>
                <w:tcPr>
                  <w:tcW w:w="731" w:type="pct"/>
                  <w:noWrap w:val="0"/>
                  <w:vAlign w:val="center"/>
                </w:tcPr>
                <w:p w14:paraId="0AC089BF">
                  <w:pPr>
                    <w:pStyle w:val="116"/>
                    <w:tabs>
                      <w:tab w:val="left" w:pos="0"/>
                    </w:tabs>
                    <w:spacing w:line="240" w:lineRule="auto"/>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0.1</w:t>
                  </w:r>
                </w:p>
              </w:tc>
            </w:tr>
            <w:tr w14:paraId="4BDE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09A0B883">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收集粉尘</w:t>
                  </w:r>
                </w:p>
              </w:tc>
              <w:tc>
                <w:tcPr>
                  <w:tcW w:w="828" w:type="pct"/>
                  <w:vMerge w:val="continue"/>
                  <w:noWrap w:val="0"/>
                  <w:vAlign w:val="center"/>
                </w:tcPr>
                <w:p w14:paraId="00D4C80C">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65BFF0E1">
                  <w:pPr>
                    <w:pStyle w:val="116"/>
                    <w:tabs>
                      <w:tab w:val="left" w:pos="0"/>
                    </w:tabs>
                    <w:spacing w:line="240" w:lineRule="auto"/>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21"/>
                      <w:highlight w:val="none"/>
                      <w:lang w:val="en-US" w:eastAsia="zh-CN"/>
                    </w:rPr>
                    <w:t>216.858</w:t>
                  </w:r>
                </w:p>
              </w:tc>
              <w:tc>
                <w:tcPr>
                  <w:tcW w:w="1383" w:type="pct"/>
                  <w:vMerge w:val="continue"/>
                  <w:noWrap w:val="0"/>
                  <w:vAlign w:val="center"/>
                </w:tcPr>
                <w:p w14:paraId="19B8496B">
                  <w:pPr>
                    <w:jc w:val="center"/>
                    <w:rPr>
                      <w:rFonts w:hint="default" w:ascii="Times New Roman" w:hAnsi="Times New Roman" w:eastAsia="宋体" w:cs="Times New Roman"/>
                      <w:color w:val="auto"/>
                      <w:sz w:val="21"/>
                      <w:szCs w:val="21"/>
                      <w:highlight w:val="none"/>
                    </w:rPr>
                  </w:pPr>
                </w:p>
              </w:tc>
              <w:tc>
                <w:tcPr>
                  <w:tcW w:w="731" w:type="pct"/>
                  <w:noWrap w:val="0"/>
                  <w:vAlign w:val="center"/>
                </w:tcPr>
                <w:p w14:paraId="19234791">
                  <w:pPr>
                    <w:pStyle w:val="116"/>
                    <w:tabs>
                      <w:tab w:val="left" w:pos="0"/>
                    </w:tabs>
                    <w:spacing w:line="240" w:lineRule="auto"/>
                    <w:ind w:firstLine="0" w:firstLine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color w:val="auto"/>
                      <w:sz w:val="21"/>
                      <w:szCs w:val="21"/>
                      <w:highlight w:val="none"/>
                      <w:lang w:val="en-US" w:eastAsia="zh-CN"/>
                    </w:rPr>
                    <w:t>216.858</w:t>
                  </w:r>
                </w:p>
              </w:tc>
            </w:tr>
            <w:tr w14:paraId="505AB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763A6B22">
                  <w:pPr>
                    <w:topLinePunct/>
                    <w:adjustRightInd w:val="0"/>
                    <w:snapToGrid w:val="0"/>
                    <w:spacing w:line="240" w:lineRule="auto"/>
                    <w:jc w:val="center"/>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废机油</w:t>
                  </w:r>
                </w:p>
              </w:tc>
              <w:tc>
                <w:tcPr>
                  <w:tcW w:w="828" w:type="pct"/>
                  <w:vMerge w:val="restart"/>
                  <w:noWrap w:val="0"/>
                  <w:vAlign w:val="center"/>
                </w:tcPr>
                <w:p w14:paraId="7CE578A7">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危险废物</w:t>
                  </w:r>
                </w:p>
              </w:tc>
              <w:tc>
                <w:tcPr>
                  <w:tcW w:w="851" w:type="pct"/>
                  <w:noWrap w:val="0"/>
                  <w:vAlign w:val="center"/>
                </w:tcPr>
                <w:p w14:paraId="063D4822">
                  <w:pPr>
                    <w:topLinePunct/>
                    <w:adjustRightInd w:val="0"/>
                    <w:snapToGrid w:val="0"/>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color w:val="auto"/>
                      <w:kern w:val="0"/>
                      <w:sz w:val="21"/>
                      <w:szCs w:val="21"/>
                      <w:highlight w:val="none"/>
                      <w:lang w:val="en-US" w:eastAsia="zh-CN"/>
                    </w:rPr>
                    <w:t>0.05</w:t>
                  </w:r>
                </w:p>
              </w:tc>
              <w:tc>
                <w:tcPr>
                  <w:tcW w:w="1383" w:type="pct"/>
                  <w:vMerge w:val="restart"/>
                  <w:noWrap w:val="0"/>
                  <w:vAlign w:val="center"/>
                </w:tcPr>
                <w:p w14:paraId="6817BA71">
                  <w:pPr>
                    <w:jc w:val="center"/>
                    <w:rPr>
                      <w:rFonts w:hint="default" w:ascii="Times New Roman" w:hAnsi="Times New Roman" w:eastAsia="宋体" w:cs="Times New Roman"/>
                      <w:b w:val="0"/>
                      <w:bCs w:val="0"/>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委托</w:t>
                  </w:r>
                  <w:r>
                    <w:rPr>
                      <w:rFonts w:hint="default" w:ascii="Times New Roman" w:hAnsi="Times New Roman" w:eastAsia="宋体" w:cs="Times New Roman"/>
                      <w:b w:val="0"/>
                      <w:bCs w:val="0"/>
                      <w:color w:val="auto"/>
                      <w:sz w:val="21"/>
                      <w:szCs w:val="21"/>
                      <w:highlight w:val="none"/>
                    </w:rPr>
                    <w:t>有资质单位处理</w:t>
                  </w:r>
                </w:p>
              </w:tc>
              <w:tc>
                <w:tcPr>
                  <w:tcW w:w="731" w:type="pct"/>
                  <w:noWrap w:val="0"/>
                  <w:vAlign w:val="center"/>
                </w:tcPr>
                <w:p w14:paraId="54C27DC3">
                  <w:pPr>
                    <w:topLinePunct/>
                    <w:adjustRightInd w:val="0"/>
                    <w:snapToGrid w:val="0"/>
                    <w:spacing w:line="240" w:lineRule="auto"/>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color w:val="auto"/>
                      <w:kern w:val="0"/>
                      <w:sz w:val="21"/>
                      <w:szCs w:val="21"/>
                      <w:highlight w:val="none"/>
                      <w:lang w:val="en-US" w:eastAsia="zh-CN"/>
                    </w:rPr>
                    <w:t>0.05</w:t>
                  </w:r>
                </w:p>
              </w:tc>
            </w:tr>
            <w:tr w14:paraId="02F7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36CD21FA">
                  <w:pPr>
                    <w:topLinePunct/>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废切削液</w:t>
                  </w:r>
                </w:p>
              </w:tc>
              <w:tc>
                <w:tcPr>
                  <w:tcW w:w="828" w:type="pct"/>
                  <w:vMerge w:val="continue"/>
                  <w:noWrap w:val="0"/>
                  <w:vAlign w:val="center"/>
                </w:tcPr>
                <w:p w14:paraId="5062F5F7">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5BA186D8">
                  <w:pPr>
                    <w:topLinePunct/>
                    <w:adjustRightInd w:val="0"/>
                    <w:snapToGrid w:val="0"/>
                    <w:spacing w:line="240" w:lineRule="auto"/>
                    <w:jc w:val="center"/>
                    <w:rPr>
                      <w:rFonts w:hint="default" w:ascii="Times New Roman" w:hAnsi="Times New Roman" w:eastAsia="宋体"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0.2</w:t>
                  </w:r>
                </w:p>
              </w:tc>
              <w:tc>
                <w:tcPr>
                  <w:tcW w:w="1383" w:type="pct"/>
                  <w:vMerge w:val="continue"/>
                  <w:noWrap w:val="0"/>
                  <w:vAlign w:val="center"/>
                </w:tcPr>
                <w:p w14:paraId="3B939581">
                  <w:pPr>
                    <w:jc w:val="center"/>
                    <w:rPr>
                      <w:rFonts w:hint="eastAsia" w:ascii="Times New Roman" w:hAnsi="Times New Roman" w:eastAsia="宋体" w:cs="Times New Roman"/>
                      <w:b w:val="0"/>
                      <w:bCs w:val="0"/>
                      <w:color w:val="auto"/>
                      <w:sz w:val="21"/>
                      <w:szCs w:val="21"/>
                      <w:highlight w:val="none"/>
                      <w:lang w:val="en-US" w:eastAsia="zh-CN"/>
                    </w:rPr>
                  </w:pPr>
                </w:p>
              </w:tc>
              <w:tc>
                <w:tcPr>
                  <w:tcW w:w="731" w:type="pct"/>
                  <w:noWrap w:val="0"/>
                  <w:vAlign w:val="center"/>
                </w:tcPr>
                <w:p w14:paraId="43C214B2">
                  <w:pPr>
                    <w:topLinePunct/>
                    <w:adjustRightInd w:val="0"/>
                    <w:snapToGrid w:val="0"/>
                    <w:spacing w:line="240" w:lineRule="auto"/>
                    <w:jc w:val="center"/>
                    <w:rPr>
                      <w:rFonts w:hint="default" w:ascii="Times New Roman" w:hAnsi="Times New Roman" w:eastAsia="宋体"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0.2</w:t>
                  </w:r>
                </w:p>
              </w:tc>
            </w:tr>
            <w:tr w14:paraId="223C4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jc w:val="center"/>
              </w:trPr>
              <w:tc>
                <w:tcPr>
                  <w:tcW w:w="1205" w:type="pct"/>
                  <w:noWrap w:val="0"/>
                  <w:vAlign w:val="center"/>
                </w:tcPr>
                <w:p w14:paraId="16831F36">
                  <w:pPr>
                    <w:topLinePunct/>
                    <w:adjustRightInd w:val="0"/>
                    <w:snapToGrid w:val="0"/>
                    <w:spacing w:line="240" w:lineRule="auto"/>
                    <w:jc w:val="center"/>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废活性炭</w:t>
                  </w:r>
                </w:p>
              </w:tc>
              <w:tc>
                <w:tcPr>
                  <w:tcW w:w="828" w:type="pct"/>
                  <w:vMerge w:val="continue"/>
                  <w:noWrap w:val="0"/>
                  <w:vAlign w:val="center"/>
                </w:tcPr>
                <w:p w14:paraId="6AB42EEF">
                  <w:pPr>
                    <w:jc w:val="center"/>
                    <w:rPr>
                      <w:rFonts w:hint="default" w:ascii="Times New Roman" w:hAnsi="Times New Roman" w:eastAsia="宋体" w:cs="Times New Roman"/>
                      <w:b w:val="0"/>
                      <w:bCs w:val="0"/>
                      <w:color w:val="auto"/>
                      <w:sz w:val="21"/>
                      <w:szCs w:val="21"/>
                      <w:highlight w:val="none"/>
                    </w:rPr>
                  </w:pPr>
                </w:p>
              </w:tc>
              <w:tc>
                <w:tcPr>
                  <w:tcW w:w="851" w:type="pct"/>
                  <w:noWrap w:val="0"/>
                  <w:vAlign w:val="center"/>
                </w:tcPr>
                <w:p w14:paraId="7B389582">
                  <w:pPr>
                    <w:topLinePunct/>
                    <w:adjustRightInd w:val="0"/>
                    <w:snapToGrid w:val="0"/>
                    <w:spacing w:line="240" w:lineRule="auto"/>
                    <w:jc w:val="center"/>
                    <w:rPr>
                      <w:rFonts w:hint="default" w:ascii="Times New Roman" w:hAnsi="Times New Roman" w:eastAsia="宋体" w:cs="Times New Roman"/>
                      <w:b w:val="0"/>
                      <w:bCs w:val="0"/>
                      <w:color w:val="auto"/>
                      <w:sz w:val="21"/>
                      <w:szCs w:val="21"/>
                      <w:highlight w:val="none"/>
                      <w:lang w:val="en-US"/>
                    </w:rPr>
                  </w:pPr>
                  <w:r>
                    <w:rPr>
                      <w:rFonts w:hint="eastAsia" w:ascii="Times New Roman" w:hAnsi="Times New Roman" w:eastAsia="宋体" w:cs="Times New Roman"/>
                      <w:b w:val="0"/>
                      <w:bCs/>
                      <w:color w:val="auto"/>
                      <w:kern w:val="0"/>
                      <w:sz w:val="21"/>
                      <w:szCs w:val="21"/>
                      <w:highlight w:val="none"/>
                      <w:lang w:val="en-US" w:eastAsia="zh-CN"/>
                    </w:rPr>
                    <w:t>1</w:t>
                  </w:r>
                  <w:r>
                    <w:rPr>
                      <w:rFonts w:hint="eastAsia" w:cs="Times New Roman"/>
                      <w:b w:val="0"/>
                      <w:bCs/>
                      <w:color w:val="auto"/>
                      <w:kern w:val="0"/>
                      <w:sz w:val="21"/>
                      <w:szCs w:val="21"/>
                      <w:highlight w:val="none"/>
                      <w:lang w:val="en-US" w:eastAsia="zh-CN"/>
                    </w:rPr>
                    <w:t>3.592</w:t>
                  </w:r>
                </w:p>
              </w:tc>
              <w:tc>
                <w:tcPr>
                  <w:tcW w:w="1383" w:type="pct"/>
                  <w:vMerge w:val="continue"/>
                  <w:noWrap w:val="0"/>
                  <w:vAlign w:val="center"/>
                </w:tcPr>
                <w:p w14:paraId="5AFC7B7C">
                  <w:pPr>
                    <w:jc w:val="center"/>
                    <w:rPr>
                      <w:rFonts w:hint="default" w:ascii="Times New Roman" w:hAnsi="Times New Roman" w:eastAsia="宋体" w:cs="Times New Roman"/>
                      <w:b w:val="0"/>
                      <w:bCs w:val="0"/>
                      <w:color w:val="auto"/>
                      <w:sz w:val="21"/>
                      <w:szCs w:val="21"/>
                      <w:highlight w:val="none"/>
                    </w:rPr>
                  </w:pPr>
                </w:p>
              </w:tc>
              <w:tc>
                <w:tcPr>
                  <w:tcW w:w="731" w:type="pct"/>
                  <w:noWrap w:val="0"/>
                  <w:vAlign w:val="center"/>
                </w:tcPr>
                <w:p w14:paraId="149934FA">
                  <w:pPr>
                    <w:topLinePunct/>
                    <w:adjustRightInd w:val="0"/>
                    <w:snapToGrid w:val="0"/>
                    <w:spacing w:line="240" w:lineRule="auto"/>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color w:val="auto"/>
                      <w:kern w:val="0"/>
                      <w:sz w:val="21"/>
                      <w:szCs w:val="21"/>
                      <w:highlight w:val="none"/>
                      <w:lang w:val="en-US" w:eastAsia="zh-CN"/>
                    </w:rPr>
                    <w:t>1</w:t>
                  </w:r>
                  <w:r>
                    <w:rPr>
                      <w:rFonts w:hint="eastAsia" w:cs="Times New Roman"/>
                      <w:b w:val="0"/>
                      <w:bCs/>
                      <w:color w:val="auto"/>
                      <w:kern w:val="0"/>
                      <w:sz w:val="21"/>
                      <w:szCs w:val="21"/>
                      <w:highlight w:val="none"/>
                      <w:lang w:val="en-US" w:eastAsia="zh-CN"/>
                    </w:rPr>
                    <w:t>3.592</w:t>
                  </w:r>
                </w:p>
              </w:tc>
            </w:tr>
          </w:tbl>
          <w:p w14:paraId="5A8408A1">
            <w:pPr>
              <w:adjustRightInd w:val="0"/>
              <w:snapToGrid w:val="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项目不新增生活垃圾。</w:t>
            </w:r>
          </w:p>
          <w:p w14:paraId="4F71A2B3">
            <w:pPr>
              <w:adjustRightInd w:val="0"/>
              <w:snapToGrid w:val="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项目设备维护保养使用机油、润滑油产生的废油桶依托安徽江南泵阀集团有限公司进行委托处理，不在池州市锋达金属铸造有限公司内暂存，故本环评不将废油桶</w:t>
            </w:r>
            <w:r>
              <w:rPr>
                <w:rFonts w:hint="eastAsia" w:cs="Times New Roman"/>
                <w:color w:val="auto"/>
                <w:sz w:val="24"/>
                <w:szCs w:val="24"/>
                <w:highlight w:val="none"/>
                <w:lang w:val="en-US" w:eastAsia="zh-CN"/>
              </w:rPr>
              <w:t>计为</w:t>
            </w:r>
            <w:r>
              <w:rPr>
                <w:rFonts w:hint="eastAsia" w:ascii="Times New Roman" w:hAnsi="Times New Roman" w:eastAsia="宋体" w:cs="Times New Roman"/>
                <w:color w:val="auto"/>
                <w:sz w:val="24"/>
                <w:szCs w:val="24"/>
                <w:highlight w:val="none"/>
                <w:lang w:val="en-US" w:eastAsia="zh-CN"/>
              </w:rPr>
              <w:t>危废。</w:t>
            </w:r>
          </w:p>
          <w:p w14:paraId="32C52850">
            <w:pPr>
              <w:adjustRightInd w:val="0"/>
              <w:snapToGrid w:val="0"/>
              <w:jc w:val="both"/>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项目年使用脱模剂0.3t/a（约3桶），产生的废包装桶由供应商带走，故本环评不将废包装桶计危废</w:t>
            </w:r>
            <w:r>
              <w:rPr>
                <w:rFonts w:hint="eastAsia" w:cs="Times New Roman"/>
                <w:color w:val="auto"/>
                <w:sz w:val="24"/>
                <w:szCs w:val="24"/>
                <w:highlight w:val="none"/>
                <w:lang w:val="en-US" w:eastAsia="zh-CN"/>
              </w:rPr>
              <w:t>。</w:t>
            </w:r>
          </w:p>
        </w:tc>
      </w:tr>
      <w:tr w14:paraId="4F0F97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4CD10392">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土壤及地下水污染防治措施</w:t>
            </w:r>
          </w:p>
        </w:tc>
        <w:tc>
          <w:tcPr>
            <w:tcW w:w="4312" w:type="pct"/>
            <w:gridSpan w:val="4"/>
            <w:noWrap w:val="0"/>
            <w:vAlign w:val="center"/>
          </w:tcPr>
          <w:p w14:paraId="0430EEE8">
            <w:pPr>
              <w:adjustRightInd w:val="0"/>
              <w:snapToGrid w:val="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危险废物暂存间为重点防渗区，防渗层为至少lm厚粘土层</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渗透系数≤10</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vertAlign w:val="superscript"/>
              </w:rPr>
              <w:t>7</w:t>
            </w:r>
            <w:r>
              <w:rPr>
                <w:rFonts w:hint="default" w:ascii="Times New Roman" w:hAnsi="Times New Roman" w:eastAsia="宋体" w:cs="Times New Roman"/>
                <w:color w:val="auto"/>
                <w:sz w:val="24"/>
                <w:szCs w:val="24"/>
                <w:highlight w:val="none"/>
              </w:rPr>
              <w:t>cm/s</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，或2mm厚高密度聚乙烯，或至少2mm厚的</w:t>
            </w:r>
            <w:r>
              <w:rPr>
                <w:rFonts w:hint="eastAsia" w:cs="Times New Roman"/>
                <w:color w:val="auto"/>
                <w:sz w:val="24"/>
                <w:szCs w:val="24"/>
                <w:highlight w:val="none"/>
                <w:lang w:eastAsia="zh-CN"/>
              </w:rPr>
              <w:t>其他人工</w:t>
            </w:r>
            <w:r>
              <w:rPr>
                <w:rFonts w:hint="default" w:ascii="Times New Roman" w:hAnsi="Times New Roman" w:eastAsia="宋体" w:cs="Times New Roman"/>
                <w:color w:val="auto"/>
                <w:sz w:val="24"/>
                <w:szCs w:val="24"/>
                <w:highlight w:val="none"/>
              </w:rPr>
              <w:t>材料，渗透系数≤10</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vertAlign w:val="superscript"/>
              </w:rPr>
              <w:t>10</w:t>
            </w:r>
            <w:r>
              <w:rPr>
                <w:rFonts w:hint="default" w:ascii="Times New Roman" w:hAnsi="Times New Roman" w:eastAsia="宋体" w:cs="Times New Roman"/>
                <w:color w:val="auto"/>
                <w:sz w:val="24"/>
                <w:szCs w:val="24"/>
                <w:highlight w:val="none"/>
              </w:rPr>
              <w:t>cm/s；其他区域均进行水泥地面硬底化。</w:t>
            </w:r>
          </w:p>
        </w:tc>
      </w:tr>
      <w:tr w14:paraId="35434A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4653E4FD">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生态保护措施</w:t>
            </w:r>
          </w:p>
        </w:tc>
        <w:tc>
          <w:tcPr>
            <w:tcW w:w="4312" w:type="pct"/>
            <w:gridSpan w:val="4"/>
            <w:noWrap w:val="0"/>
            <w:vAlign w:val="center"/>
          </w:tcPr>
          <w:p w14:paraId="659796E6">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无</w:t>
            </w:r>
          </w:p>
        </w:tc>
      </w:tr>
      <w:tr w14:paraId="56BE57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65A28EC9">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环境风险防范措施</w:t>
            </w:r>
          </w:p>
        </w:tc>
        <w:tc>
          <w:tcPr>
            <w:tcW w:w="4312" w:type="pct"/>
            <w:gridSpan w:val="4"/>
            <w:noWrap w:val="0"/>
            <w:vAlign w:val="center"/>
          </w:tcPr>
          <w:p w14:paraId="0D92E627">
            <w:pPr>
              <w:widowControl/>
              <w:adjustRightInd w:val="0"/>
              <w:snapToGrid w:val="0"/>
              <w:jc w:val="lef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（1）危险废物贮存间的设置须满足《危险废物贮存污染控制标准》（GB</w:t>
            </w:r>
            <w:r>
              <w:rPr>
                <w:rFonts w:hint="eastAsia"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18597-20</w:t>
            </w:r>
            <w:r>
              <w:rPr>
                <w:rFonts w:hint="eastAsia" w:ascii="Times New Roman" w:hAnsi="Times New Roman" w:eastAsia="宋体" w:cs="Times New Roman"/>
                <w:bCs/>
                <w:color w:val="auto"/>
                <w:sz w:val="24"/>
                <w:szCs w:val="24"/>
                <w:highlight w:val="none"/>
                <w:lang w:val="en-US" w:eastAsia="zh-CN"/>
              </w:rPr>
              <w:t>23</w:t>
            </w:r>
            <w:r>
              <w:rPr>
                <w:rFonts w:hint="default" w:ascii="Times New Roman" w:hAnsi="Times New Roman" w:eastAsia="宋体" w:cs="Times New Roman"/>
                <w:bCs/>
                <w:color w:val="auto"/>
                <w:sz w:val="24"/>
                <w:szCs w:val="24"/>
                <w:highlight w:val="none"/>
              </w:rPr>
              <w:t>）要求；废机油须密封储存，尤其是贮存间内部地面硬底化处理，周围设置围堰，做到防风、防雨、防晒、防渗透；及时办理转移手续，尽可能减少现场贮存量和缩短贮存周期。</w:t>
            </w:r>
          </w:p>
          <w:p w14:paraId="526BEB35">
            <w:pPr>
              <w:widowControl/>
              <w:adjustRightInd w:val="0"/>
              <w:snapToGrid w:val="0"/>
              <w:jc w:val="lef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（2）建立环境风险应急预案，开展环境应急预案的培训、宣传和必要的应急演练。</w:t>
            </w:r>
          </w:p>
          <w:p w14:paraId="51EB20B5">
            <w:pPr>
              <w:widowControl/>
              <w:adjustRightInd w:val="0"/>
              <w:snapToGrid w:val="0"/>
              <w:jc w:val="lef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（3）加强用火管理，厂区内严禁烟火，配备一定数量的干粉等灭火器，并定期检查确保其</w:t>
            </w:r>
            <w:r>
              <w:rPr>
                <w:rFonts w:hint="eastAsia" w:cs="Times New Roman"/>
                <w:bCs/>
                <w:color w:val="auto"/>
                <w:sz w:val="24"/>
                <w:szCs w:val="24"/>
                <w:highlight w:val="none"/>
                <w:lang w:eastAsia="zh-CN"/>
              </w:rPr>
              <w:t>可以</w:t>
            </w:r>
            <w:r>
              <w:rPr>
                <w:rFonts w:hint="default" w:ascii="Times New Roman" w:hAnsi="Times New Roman" w:eastAsia="宋体" w:cs="Times New Roman"/>
                <w:bCs/>
                <w:color w:val="auto"/>
                <w:sz w:val="24"/>
                <w:szCs w:val="24"/>
                <w:highlight w:val="none"/>
              </w:rPr>
              <w:t>正常使用，加强电气设备及线路检查，防止线路和设备老化</w:t>
            </w:r>
            <w:r>
              <w:rPr>
                <w:rFonts w:hint="eastAsia" w:cs="Times New Roman"/>
                <w:bCs/>
                <w:color w:val="auto"/>
                <w:sz w:val="24"/>
                <w:szCs w:val="24"/>
                <w:highlight w:val="none"/>
                <w:lang w:eastAsia="zh-CN"/>
              </w:rPr>
              <w:t>造成</w:t>
            </w:r>
            <w:r>
              <w:rPr>
                <w:rFonts w:hint="default" w:ascii="Times New Roman" w:hAnsi="Times New Roman" w:eastAsia="宋体" w:cs="Times New Roman"/>
                <w:bCs/>
                <w:color w:val="auto"/>
                <w:sz w:val="24"/>
                <w:szCs w:val="24"/>
                <w:highlight w:val="none"/>
              </w:rPr>
              <w:t>引发事故</w:t>
            </w:r>
          </w:p>
          <w:p w14:paraId="2C1F4E33">
            <w:pPr>
              <w:widowControl/>
              <w:adjustRightInd w:val="0"/>
              <w:snapToGrid w:val="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（4</w:t>
            </w:r>
            <w:r>
              <w:rPr>
                <w:rFonts w:hint="eastAsia" w:cs="Times New Roman"/>
                <w:bCs/>
                <w:color w:val="auto"/>
                <w:sz w:val="24"/>
                <w:szCs w:val="24"/>
                <w:highlight w:val="none"/>
                <w:lang w:eastAsia="zh-CN"/>
              </w:rPr>
              <w:t>）制</w:t>
            </w:r>
            <w:r>
              <w:rPr>
                <w:rFonts w:hint="default" w:ascii="Times New Roman" w:hAnsi="Times New Roman" w:eastAsia="宋体" w:cs="Times New Roman"/>
                <w:bCs/>
                <w:color w:val="auto"/>
                <w:sz w:val="24"/>
                <w:szCs w:val="24"/>
                <w:highlight w:val="none"/>
              </w:rPr>
              <w:t>定严格的生产操作规程，加强作业工人的安全教育，杜绝工作失误造成的事故。</w:t>
            </w:r>
          </w:p>
        </w:tc>
      </w:tr>
      <w:tr w14:paraId="431D8E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7" w:type="pct"/>
            <w:noWrap w:val="0"/>
            <w:vAlign w:val="center"/>
          </w:tcPr>
          <w:p w14:paraId="33428024">
            <w:pPr>
              <w:adjustRightInd w:val="0"/>
              <w:snapToGrid w:val="0"/>
              <w:jc w:val="center"/>
              <w:rPr>
                <w:rFonts w:hint="default" w:ascii="Times New Roman" w:hAnsi="Times New Roman" w:eastAsia="宋体" w:cs="Times New Roman"/>
                <w:b/>
                <w:bCs/>
                <w:color w:val="auto"/>
                <w:spacing w:val="-8"/>
                <w:sz w:val="24"/>
                <w:szCs w:val="24"/>
                <w:highlight w:val="none"/>
              </w:rPr>
            </w:pPr>
            <w:r>
              <w:rPr>
                <w:rFonts w:hint="default" w:ascii="Times New Roman" w:hAnsi="Times New Roman" w:eastAsia="宋体" w:cs="Times New Roman"/>
                <w:b/>
                <w:bCs/>
                <w:color w:val="auto"/>
                <w:sz w:val="24"/>
                <w:szCs w:val="24"/>
                <w:highlight w:val="none"/>
              </w:rPr>
              <w:t>其他环境管理要求</w:t>
            </w:r>
          </w:p>
        </w:tc>
        <w:tc>
          <w:tcPr>
            <w:tcW w:w="4312" w:type="pct"/>
            <w:gridSpan w:val="4"/>
            <w:noWrap w:val="0"/>
            <w:vAlign w:val="center"/>
          </w:tcPr>
          <w:p w14:paraId="63D17021">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r>
    </w:tbl>
    <w:p w14:paraId="1BDA53D1">
      <w:pPr>
        <w:pStyle w:val="31"/>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outlineLvl w:val="0"/>
        <w:rPr>
          <w:rFonts w:hint="eastAsia" w:ascii="Times New Roman" w:hAnsi="Times New Roman" w:eastAsia="宋体" w:cs="Times New Roman"/>
          <w:b/>
          <w:bCs/>
          <w:color w:val="FF0000"/>
          <w:kern w:val="2"/>
          <w:sz w:val="30"/>
          <w:szCs w:val="30"/>
          <w:lang w:val="en-US" w:eastAsia="zh-CN" w:bidi="ar-SA"/>
        </w:rPr>
      </w:pPr>
      <w:r>
        <w:rPr>
          <w:rFonts w:ascii="Times New Roman" w:hAnsi="Times New Roman"/>
          <w:snapToGrid w:val="0"/>
          <w:color w:val="FF0000"/>
          <w:highlight w:val="none"/>
        </w:rPr>
        <w:br w:type="page"/>
      </w:r>
      <w:bookmarkStart w:id="18" w:name="_Toc14625"/>
      <w:r>
        <w:rPr>
          <w:rFonts w:hint="eastAsia" w:ascii="Times New Roman" w:hAnsi="Times New Roman" w:eastAsia="宋体" w:cs="Times New Roman"/>
          <w:b/>
          <w:bCs/>
          <w:color w:val="auto"/>
          <w:kern w:val="2"/>
          <w:sz w:val="30"/>
          <w:szCs w:val="30"/>
          <w:lang w:val="en-US" w:eastAsia="zh-CN" w:bidi="ar-SA"/>
        </w:rPr>
        <w:t>六、结论</w:t>
      </w:r>
      <w:bookmarkEnd w:id="18"/>
    </w:p>
    <w:tbl>
      <w:tblPr>
        <w:tblStyle w:val="3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3ABBB5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0E6D86B2">
            <w:pPr>
              <w:spacing w:line="360" w:lineRule="auto"/>
              <w:ind w:firstLine="480" w:firstLineChars="200"/>
              <w:jc w:val="both"/>
              <w:rPr>
                <w:rFonts w:hint="default" w:ascii="Times New Roman" w:hAnsi="Times New Roman" w:cs="Times New Roman"/>
                <w:color w:val="FF0000"/>
                <w:sz w:val="24"/>
                <w:highlight w:val="none"/>
              </w:rPr>
            </w:pPr>
            <w:r>
              <w:rPr>
                <w:rFonts w:hint="eastAsia" w:ascii="Times New Roman" w:hAnsi="Times New Roman" w:cs="Times New Roman"/>
                <w:color w:val="auto"/>
                <w:sz w:val="24"/>
                <w:highlight w:val="none"/>
                <w:lang w:val="en-US" w:eastAsia="zh-CN"/>
              </w:rPr>
              <w:t>技改</w:t>
            </w:r>
            <w:r>
              <w:rPr>
                <w:rFonts w:hint="default" w:ascii="Times New Roman" w:hAnsi="Times New Roman" w:cs="Times New Roman"/>
                <w:color w:val="auto"/>
                <w:sz w:val="24"/>
                <w:highlight w:val="none"/>
              </w:rPr>
              <w:t>项目建设符合国家产业政策及相关规划，建设单位在落实本次环评提出的各项污染治理措施，切实落实废水、废气、固体废物收</w:t>
            </w:r>
            <w:r>
              <w:rPr>
                <w:rFonts w:hint="eastAsia" w:ascii="宋体" w:cs="宋体"/>
                <w:color w:val="auto"/>
                <w:sz w:val="24"/>
                <w:highlight w:val="none"/>
              </w:rPr>
              <w:t>集治理措施。并加强对工作人员的环保培训，增强职工的环保</w:t>
            </w:r>
            <w:r>
              <w:rPr>
                <w:rFonts w:hint="eastAsia" w:ascii="宋体" w:cs="宋体"/>
                <w:color w:val="auto"/>
                <w:sz w:val="24"/>
                <w:highlight w:val="none"/>
                <w:lang w:eastAsia="zh-CN"/>
              </w:rPr>
              <w:t>意识</w:t>
            </w:r>
            <w:r>
              <w:rPr>
                <w:rFonts w:hint="eastAsia" w:ascii="宋体" w:cs="宋体"/>
                <w:color w:val="auto"/>
                <w:sz w:val="24"/>
                <w:highlight w:val="none"/>
              </w:rPr>
              <w:t>。本项目运营期产生的废气、废水、固体废弃物均能得到妥善</w:t>
            </w:r>
            <w:r>
              <w:rPr>
                <w:rFonts w:hint="eastAsia" w:ascii="宋体" w:cs="宋体"/>
                <w:color w:val="auto"/>
                <w:sz w:val="24"/>
                <w:highlight w:val="none"/>
                <w:lang w:eastAsia="zh-CN"/>
              </w:rPr>
              <w:t>地</w:t>
            </w:r>
            <w:r>
              <w:rPr>
                <w:rFonts w:hint="eastAsia" w:ascii="宋体" w:cs="宋体"/>
                <w:color w:val="auto"/>
                <w:sz w:val="24"/>
                <w:highlight w:val="none"/>
              </w:rPr>
              <w:t>处理，对环境影响较小。因此，从</w:t>
            </w:r>
            <w:r>
              <w:rPr>
                <w:rFonts w:hint="eastAsia" w:ascii="宋体" w:cs="宋体"/>
                <w:color w:val="auto"/>
                <w:sz w:val="24"/>
                <w:highlight w:val="none"/>
                <w:lang w:val="en-US" w:eastAsia="zh-CN"/>
              </w:rPr>
              <w:t>环境影响</w:t>
            </w:r>
            <w:r>
              <w:rPr>
                <w:rFonts w:hint="eastAsia" w:ascii="宋体" w:cs="宋体"/>
                <w:color w:val="auto"/>
                <w:sz w:val="24"/>
                <w:highlight w:val="none"/>
              </w:rPr>
              <w:t>角度而言，本项目建设</w:t>
            </w:r>
            <w:r>
              <w:rPr>
                <w:rFonts w:hint="eastAsia" w:ascii="宋体" w:cs="宋体"/>
                <w:color w:val="auto"/>
                <w:sz w:val="24"/>
                <w:highlight w:val="none"/>
                <w:lang w:val="en-US" w:eastAsia="zh-CN"/>
              </w:rPr>
              <w:t>建议</w:t>
            </w:r>
            <w:r>
              <w:rPr>
                <w:rFonts w:hint="eastAsia" w:ascii="宋体" w:cs="宋体"/>
                <w:color w:val="auto"/>
                <w:sz w:val="24"/>
                <w:highlight w:val="none"/>
              </w:rPr>
              <w:t>可行。</w:t>
            </w:r>
          </w:p>
        </w:tc>
      </w:tr>
    </w:tbl>
    <w:p w14:paraId="643037A1">
      <w:pPr>
        <w:pStyle w:val="31"/>
        <w:adjustRightInd w:val="0"/>
        <w:snapToGrid w:val="0"/>
        <w:spacing w:before="0" w:beforeAutospacing="0" w:after="0" w:afterAutospacing="0"/>
        <w:rPr>
          <w:b/>
          <w:color w:val="FF0000"/>
          <w:highlight w:val="none"/>
        </w:rPr>
        <w:sectPr>
          <w:footerReference r:id="rId8" w:type="default"/>
          <w:pgSz w:w="11905" w:h="16838"/>
          <w:pgMar w:top="1417" w:right="1417" w:bottom="1417" w:left="1417" w:header="850" w:footer="850" w:gutter="0"/>
          <w:pgBorders>
            <w:top w:val="none" w:sz="0" w:space="0"/>
            <w:left w:val="none" w:sz="0" w:space="0"/>
            <w:bottom w:val="none" w:sz="0" w:space="0"/>
            <w:right w:val="none" w:sz="0" w:space="0"/>
          </w:pgBorders>
          <w:cols w:space="720" w:num="1"/>
          <w:docGrid w:linePitch="326" w:charSpace="0"/>
        </w:sectPr>
      </w:pPr>
    </w:p>
    <w:p w14:paraId="33892F4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9"/>
        <w:rPr>
          <w:rFonts w:hint="default" w:ascii="Times New Roman" w:hAnsi="Times New Roman" w:eastAsia="宋体" w:cs="Times New Roman"/>
          <w:b/>
          <w:bCs/>
          <w:color w:val="auto"/>
          <w:kern w:val="2"/>
          <w:sz w:val="24"/>
          <w:szCs w:val="24"/>
          <w:lang w:eastAsia="zh-CN" w:bidi="ar-SA"/>
        </w:rPr>
      </w:pPr>
      <w:r>
        <w:rPr>
          <w:rFonts w:hint="eastAsia" w:ascii="Times New Roman" w:hAnsi="Times New Roman" w:eastAsia="宋体" w:cs="Times New Roman"/>
          <w:b/>
          <w:bCs/>
          <w:color w:val="auto"/>
          <w:kern w:val="2"/>
          <w:sz w:val="24"/>
          <w:szCs w:val="24"/>
          <w:lang w:val="en-US" w:eastAsia="zh-CN" w:bidi="ar-SA"/>
        </w:rPr>
        <w:t>附表</w:t>
      </w:r>
      <w:r>
        <w:rPr>
          <w:rFonts w:hint="default" w:ascii="Times New Roman" w:hAnsi="Times New Roman" w:eastAsia="宋体" w:cs="Times New Roman"/>
          <w:b/>
          <w:bCs/>
          <w:color w:val="auto"/>
          <w:kern w:val="2"/>
          <w:sz w:val="24"/>
          <w:szCs w:val="24"/>
          <w:lang w:eastAsia="zh-CN" w:bidi="ar-SA"/>
        </w:rPr>
        <w:t>1：</w:t>
      </w:r>
    </w:p>
    <w:p w14:paraId="1CE75277">
      <w:pPr>
        <w:pStyle w:val="31"/>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outlineLvl w:val="9"/>
        <w:rPr>
          <w:rFonts w:hint="eastAsia" w:ascii="宋体" w:hAnsi="宋体" w:eastAsia="宋体" w:cs="宋体"/>
          <w:b/>
          <w:bCs/>
          <w:snapToGrid w:val="0"/>
          <w:color w:val="auto"/>
          <w:sz w:val="32"/>
          <w:szCs w:val="32"/>
          <w:highlight w:val="none"/>
        </w:rPr>
      </w:pPr>
      <w:r>
        <w:rPr>
          <w:rFonts w:hint="eastAsia" w:ascii="宋体" w:hAnsi="宋体" w:eastAsia="宋体" w:cs="宋体"/>
          <w:b/>
          <w:bCs/>
          <w:snapToGrid w:val="0"/>
          <w:color w:val="auto"/>
          <w:sz w:val="32"/>
          <w:szCs w:val="32"/>
          <w:highlight w:val="none"/>
        </w:rPr>
        <w:t>建设项目污染物排放量汇总表</w:t>
      </w:r>
    </w:p>
    <w:tbl>
      <w:tblPr>
        <w:tblStyle w:val="3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19"/>
        <w:gridCol w:w="2399"/>
        <w:gridCol w:w="1368"/>
        <w:gridCol w:w="996"/>
        <w:gridCol w:w="1701"/>
        <w:gridCol w:w="1559"/>
        <w:gridCol w:w="1417"/>
        <w:gridCol w:w="1707"/>
        <w:gridCol w:w="1422"/>
      </w:tblGrid>
      <w:tr w14:paraId="4BA7AB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tcBorders>
              <w:tl2br w:val="single" w:color="auto" w:sz="4" w:space="0"/>
            </w:tcBorders>
            <w:noWrap w:val="0"/>
            <w:tcMar>
              <w:left w:w="28" w:type="dxa"/>
              <w:right w:w="28" w:type="dxa"/>
            </w:tcMar>
            <w:vAlign w:val="center"/>
          </w:tcPr>
          <w:p w14:paraId="34B03CC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right"/>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项目</w:t>
            </w:r>
          </w:p>
          <w:p w14:paraId="715DA35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left"/>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分类</w:t>
            </w:r>
          </w:p>
        </w:tc>
        <w:tc>
          <w:tcPr>
            <w:tcW w:w="2399" w:type="dxa"/>
            <w:noWrap w:val="0"/>
            <w:tcMar>
              <w:left w:w="28" w:type="dxa"/>
              <w:right w:w="28" w:type="dxa"/>
            </w:tcMar>
            <w:vAlign w:val="center"/>
          </w:tcPr>
          <w:p w14:paraId="18AE300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污染物名称</w:t>
            </w:r>
          </w:p>
        </w:tc>
        <w:tc>
          <w:tcPr>
            <w:tcW w:w="1368" w:type="dxa"/>
            <w:noWrap w:val="0"/>
            <w:tcMar>
              <w:left w:w="28" w:type="dxa"/>
              <w:right w:w="28" w:type="dxa"/>
            </w:tcMar>
            <w:vAlign w:val="center"/>
          </w:tcPr>
          <w:p w14:paraId="2A0C1C8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现有工程排放量（固体废物产生量）</w:t>
            </w:r>
            <w:r>
              <w:rPr>
                <w:rFonts w:hint="default" w:ascii="Times New Roman" w:hAnsi="Times New Roman" w:eastAsia="宋体" w:cs="Times New Roman"/>
                <w:b/>
                <w:bCs/>
                <w:snapToGrid w:val="0"/>
                <w:color w:val="auto"/>
                <w:spacing w:val="-6"/>
                <w:kern w:val="21"/>
                <w:sz w:val="21"/>
                <w:szCs w:val="21"/>
                <w:highlight w:val="none"/>
              </w:rPr>
              <w:fldChar w:fldCharType="begin"/>
            </w:r>
            <w:r>
              <w:rPr>
                <w:rFonts w:hint="default" w:ascii="Times New Roman" w:hAnsi="Times New Roman" w:eastAsia="宋体" w:cs="Times New Roman"/>
                <w:b/>
                <w:bCs/>
                <w:snapToGrid w:val="0"/>
                <w:color w:val="auto"/>
                <w:spacing w:val="-6"/>
                <w:kern w:val="21"/>
                <w:sz w:val="21"/>
                <w:szCs w:val="21"/>
                <w:highlight w:val="none"/>
              </w:rPr>
              <w:instrText xml:space="preserve"> = 1 \* GB3 \* MERGEFORMAT </w:instrText>
            </w:r>
            <w:r>
              <w:rPr>
                <w:rFonts w:hint="default" w:ascii="Times New Roman" w:hAnsi="Times New Roman" w:eastAsia="宋体" w:cs="Times New Roman"/>
                <w:b/>
                <w:bCs/>
                <w:snapToGrid w:val="0"/>
                <w:color w:val="auto"/>
                <w:spacing w:val="-6"/>
                <w:kern w:val="21"/>
                <w:sz w:val="21"/>
                <w:szCs w:val="21"/>
                <w:highlight w:val="none"/>
              </w:rPr>
              <w:fldChar w:fldCharType="separate"/>
            </w:r>
            <w:r>
              <w:rPr>
                <w:rFonts w:hint="default" w:ascii="Times New Roman" w:hAnsi="Times New Roman" w:eastAsia="宋体" w:cs="Times New Roman"/>
                <w:b/>
                <w:bCs/>
                <w:color w:val="auto"/>
                <w:kern w:val="2"/>
                <w:sz w:val="21"/>
                <w:szCs w:val="21"/>
                <w:highlight w:val="none"/>
              </w:rPr>
              <w:t>①</w:t>
            </w:r>
            <w:r>
              <w:rPr>
                <w:rFonts w:hint="default" w:ascii="Times New Roman" w:hAnsi="Times New Roman" w:eastAsia="宋体" w:cs="Times New Roman"/>
                <w:b/>
                <w:bCs/>
                <w:snapToGrid w:val="0"/>
                <w:color w:val="auto"/>
                <w:spacing w:val="-6"/>
                <w:kern w:val="21"/>
                <w:sz w:val="21"/>
                <w:szCs w:val="21"/>
                <w:highlight w:val="none"/>
              </w:rPr>
              <w:fldChar w:fldCharType="end"/>
            </w:r>
          </w:p>
        </w:tc>
        <w:tc>
          <w:tcPr>
            <w:tcW w:w="996" w:type="dxa"/>
            <w:noWrap w:val="0"/>
            <w:tcMar>
              <w:left w:w="28" w:type="dxa"/>
              <w:right w:w="28" w:type="dxa"/>
            </w:tcMar>
            <w:vAlign w:val="center"/>
          </w:tcPr>
          <w:p w14:paraId="7CDF3A4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现有工程许可排放量</w:t>
            </w:r>
            <w:r>
              <w:rPr>
                <w:rFonts w:hint="default" w:ascii="Times New Roman" w:hAnsi="Times New Roman" w:eastAsia="宋体" w:cs="Times New Roman"/>
                <w:b/>
                <w:bCs/>
                <w:snapToGrid w:val="0"/>
                <w:color w:val="auto"/>
                <w:spacing w:val="-6"/>
                <w:kern w:val="21"/>
                <w:sz w:val="21"/>
                <w:szCs w:val="21"/>
                <w:highlight w:val="none"/>
              </w:rPr>
              <w:fldChar w:fldCharType="begin"/>
            </w:r>
            <w:r>
              <w:rPr>
                <w:rFonts w:hint="default" w:ascii="Times New Roman" w:hAnsi="Times New Roman" w:eastAsia="宋体" w:cs="Times New Roman"/>
                <w:b/>
                <w:bCs/>
                <w:snapToGrid w:val="0"/>
                <w:color w:val="auto"/>
                <w:spacing w:val="-6"/>
                <w:kern w:val="21"/>
                <w:sz w:val="21"/>
                <w:szCs w:val="21"/>
                <w:highlight w:val="none"/>
              </w:rPr>
              <w:instrText xml:space="preserve"> = 2 \* GB3 \* MERGEFORMAT </w:instrText>
            </w:r>
            <w:r>
              <w:rPr>
                <w:rFonts w:hint="default" w:ascii="Times New Roman" w:hAnsi="Times New Roman" w:eastAsia="宋体" w:cs="Times New Roman"/>
                <w:b/>
                <w:bCs/>
                <w:snapToGrid w:val="0"/>
                <w:color w:val="auto"/>
                <w:spacing w:val="-6"/>
                <w:kern w:val="21"/>
                <w:sz w:val="21"/>
                <w:szCs w:val="21"/>
                <w:highlight w:val="none"/>
              </w:rPr>
              <w:fldChar w:fldCharType="separate"/>
            </w:r>
            <w:r>
              <w:rPr>
                <w:rFonts w:hint="default" w:ascii="Times New Roman" w:hAnsi="Times New Roman" w:eastAsia="宋体" w:cs="Times New Roman"/>
                <w:b/>
                <w:bCs/>
                <w:snapToGrid w:val="0"/>
                <w:color w:val="auto"/>
                <w:spacing w:val="-6"/>
                <w:kern w:val="21"/>
                <w:sz w:val="21"/>
                <w:szCs w:val="21"/>
                <w:highlight w:val="none"/>
              </w:rPr>
              <w:t>②</w:t>
            </w:r>
            <w:r>
              <w:rPr>
                <w:rFonts w:hint="default" w:ascii="Times New Roman" w:hAnsi="Times New Roman" w:eastAsia="宋体" w:cs="Times New Roman"/>
                <w:b/>
                <w:bCs/>
                <w:snapToGrid w:val="0"/>
                <w:color w:val="auto"/>
                <w:spacing w:val="-6"/>
                <w:kern w:val="21"/>
                <w:sz w:val="21"/>
                <w:szCs w:val="21"/>
                <w:highlight w:val="none"/>
              </w:rPr>
              <w:fldChar w:fldCharType="end"/>
            </w:r>
          </w:p>
        </w:tc>
        <w:tc>
          <w:tcPr>
            <w:tcW w:w="1701" w:type="dxa"/>
            <w:noWrap w:val="0"/>
            <w:tcMar>
              <w:left w:w="28" w:type="dxa"/>
              <w:right w:w="28" w:type="dxa"/>
            </w:tcMar>
            <w:vAlign w:val="center"/>
          </w:tcPr>
          <w:p w14:paraId="199274C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在建工程</w:t>
            </w:r>
          </w:p>
          <w:p w14:paraId="6A643BD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排放量（固体废物产生量）</w:t>
            </w:r>
            <w:r>
              <w:rPr>
                <w:rFonts w:hint="default" w:ascii="Times New Roman" w:hAnsi="Times New Roman" w:eastAsia="宋体" w:cs="Times New Roman"/>
                <w:b/>
                <w:bCs/>
                <w:snapToGrid w:val="0"/>
                <w:color w:val="auto"/>
                <w:spacing w:val="-6"/>
                <w:kern w:val="21"/>
                <w:sz w:val="21"/>
                <w:szCs w:val="21"/>
                <w:highlight w:val="none"/>
              </w:rPr>
              <w:fldChar w:fldCharType="begin"/>
            </w:r>
            <w:r>
              <w:rPr>
                <w:rFonts w:hint="default" w:ascii="Times New Roman" w:hAnsi="Times New Roman" w:eastAsia="宋体" w:cs="Times New Roman"/>
                <w:b/>
                <w:bCs/>
                <w:snapToGrid w:val="0"/>
                <w:color w:val="auto"/>
                <w:spacing w:val="-6"/>
                <w:kern w:val="21"/>
                <w:sz w:val="21"/>
                <w:szCs w:val="21"/>
                <w:highlight w:val="none"/>
              </w:rPr>
              <w:instrText xml:space="preserve"> = 3 \* GB3 \* MERGEFORMAT </w:instrText>
            </w:r>
            <w:r>
              <w:rPr>
                <w:rFonts w:hint="default" w:ascii="Times New Roman" w:hAnsi="Times New Roman" w:eastAsia="宋体" w:cs="Times New Roman"/>
                <w:b/>
                <w:bCs/>
                <w:snapToGrid w:val="0"/>
                <w:color w:val="auto"/>
                <w:spacing w:val="-6"/>
                <w:kern w:val="21"/>
                <w:sz w:val="21"/>
                <w:szCs w:val="21"/>
                <w:highlight w:val="none"/>
              </w:rPr>
              <w:fldChar w:fldCharType="separate"/>
            </w:r>
            <w:r>
              <w:rPr>
                <w:rFonts w:hint="default" w:ascii="Times New Roman" w:hAnsi="Times New Roman" w:eastAsia="宋体" w:cs="Times New Roman"/>
                <w:b/>
                <w:bCs/>
                <w:color w:val="auto"/>
                <w:kern w:val="2"/>
                <w:sz w:val="21"/>
                <w:szCs w:val="21"/>
                <w:highlight w:val="none"/>
              </w:rPr>
              <w:t>③</w:t>
            </w:r>
            <w:r>
              <w:rPr>
                <w:rFonts w:hint="default" w:ascii="Times New Roman" w:hAnsi="Times New Roman" w:eastAsia="宋体" w:cs="Times New Roman"/>
                <w:b/>
                <w:bCs/>
                <w:snapToGrid w:val="0"/>
                <w:color w:val="auto"/>
                <w:spacing w:val="-6"/>
                <w:kern w:val="21"/>
                <w:sz w:val="21"/>
                <w:szCs w:val="21"/>
                <w:highlight w:val="none"/>
              </w:rPr>
              <w:fldChar w:fldCharType="end"/>
            </w:r>
          </w:p>
        </w:tc>
        <w:tc>
          <w:tcPr>
            <w:tcW w:w="1559" w:type="dxa"/>
            <w:noWrap w:val="0"/>
            <w:tcMar>
              <w:left w:w="28" w:type="dxa"/>
              <w:right w:w="28" w:type="dxa"/>
            </w:tcMar>
            <w:vAlign w:val="center"/>
          </w:tcPr>
          <w:p w14:paraId="5B59362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本项目</w:t>
            </w:r>
          </w:p>
          <w:p w14:paraId="151C8FC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排放量（固体废物产生量）</w:t>
            </w:r>
            <w:r>
              <w:rPr>
                <w:rFonts w:hint="default" w:ascii="Times New Roman" w:hAnsi="Times New Roman" w:eastAsia="宋体" w:cs="Times New Roman"/>
                <w:b/>
                <w:bCs/>
                <w:snapToGrid w:val="0"/>
                <w:color w:val="auto"/>
                <w:spacing w:val="-6"/>
                <w:kern w:val="21"/>
                <w:sz w:val="21"/>
                <w:szCs w:val="21"/>
                <w:highlight w:val="none"/>
              </w:rPr>
              <w:fldChar w:fldCharType="begin"/>
            </w:r>
            <w:r>
              <w:rPr>
                <w:rFonts w:hint="default" w:ascii="Times New Roman" w:hAnsi="Times New Roman" w:eastAsia="宋体" w:cs="Times New Roman"/>
                <w:b/>
                <w:bCs/>
                <w:snapToGrid w:val="0"/>
                <w:color w:val="auto"/>
                <w:spacing w:val="-6"/>
                <w:kern w:val="21"/>
                <w:sz w:val="21"/>
                <w:szCs w:val="21"/>
                <w:highlight w:val="none"/>
              </w:rPr>
              <w:instrText xml:space="preserve"> = 4 \* GB3 \* MERGEFORMAT </w:instrText>
            </w:r>
            <w:r>
              <w:rPr>
                <w:rFonts w:hint="default" w:ascii="Times New Roman" w:hAnsi="Times New Roman" w:eastAsia="宋体" w:cs="Times New Roman"/>
                <w:b/>
                <w:bCs/>
                <w:snapToGrid w:val="0"/>
                <w:color w:val="auto"/>
                <w:spacing w:val="-6"/>
                <w:kern w:val="21"/>
                <w:sz w:val="21"/>
                <w:szCs w:val="21"/>
                <w:highlight w:val="none"/>
              </w:rPr>
              <w:fldChar w:fldCharType="separate"/>
            </w:r>
            <w:r>
              <w:rPr>
                <w:rFonts w:hint="default" w:ascii="Times New Roman" w:hAnsi="Times New Roman" w:eastAsia="宋体" w:cs="Times New Roman"/>
                <w:b/>
                <w:bCs/>
                <w:color w:val="auto"/>
                <w:kern w:val="2"/>
                <w:sz w:val="21"/>
                <w:szCs w:val="21"/>
                <w:highlight w:val="none"/>
              </w:rPr>
              <w:t>④</w:t>
            </w:r>
            <w:r>
              <w:rPr>
                <w:rFonts w:hint="default" w:ascii="Times New Roman" w:hAnsi="Times New Roman" w:eastAsia="宋体" w:cs="Times New Roman"/>
                <w:b/>
                <w:bCs/>
                <w:snapToGrid w:val="0"/>
                <w:color w:val="auto"/>
                <w:spacing w:val="-6"/>
                <w:kern w:val="21"/>
                <w:sz w:val="21"/>
                <w:szCs w:val="21"/>
                <w:highlight w:val="none"/>
              </w:rPr>
              <w:fldChar w:fldCharType="end"/>
            </w:r>
          </w:p>
        </w:tc>
        <w:tc>
          <w:tcPr>
            <w:tcW w:w="1417" w:type="dxa"/>
            <w:noWrap w:val="0"/>
            <w:tcMar>
              <w:left w:w="28" w:type="dxa"/>
              <w:right w:w="28" w:type="dxa"/>
            </w:tcMar>
            <w:vAlign w:val="center"/>
          </w:tcPr>
          <w:p w14:paraId="5D7C409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16"/>
                <w:kern w:val="21"/>
                <w:sz w:val="21"/>
                <w:szCs w:val="21"/>
                <w:highlight w:val="none"/>
              </w:rPr>
            </w:pPr>
            <w:r>
              <w:rPr>
                <w:rFonts w:hint="default" w:ascii="Times New Roman" w:hAnsi="Times New Roman" w:eastAsia="宋体" w:cs="Times New Roman"/>
                <w:b/>
                <w:bCs/>
                <w:snapToGrid w:val="0"/>
                <w:color w:val="auto"/>
                <w:spacing w:val="-16"/>
                <w:kern w:val="21"/>
                <w:sz w:val="21"/>
                <w:szCs w:val="21"/>
                <w:highlight w:val="none"/>
              </w:rPr>
              <w:t>以新带老削减量（新建项目不填）</w:t>
            </w:r>
            <w:r>
              <w:rPr>
                <w:rFonts w:hint="default" w:ascii="Times New Roman" w:hAnsi="Times New Roman" w:eastAsia="宋体" w:cs="Times New Roman"/>
                <w:b/>
                <w:bCs/>
                <w:snapToGrid w:val="0"/>
                <w:color w:val="auto"/>
                <w:spacing w:val="-16"/>
                <w:kern w:val="21"/>
                <w:sz w:val="21"/>
                <w:szCs w:val="21"/>
                <w:highlight w:val="none"/>
              </w:rPr>
              <w:fldChar w:fldCharType="begin"/>
            </w:r>
            <w:r>
              <w:rPr>
                <w:rFonts w:hint="default" w:ascii="Times New Roman" w:hAnsi="Times New Roman" w:eastAsia="宋体" w:cs="Times New Roman"/>
                <w:b/>
                <w:bCs/>
                <w:snapToGrid w:val="0"/>
                <w:color w:val="auto"/>
                <w:spacing w:val="-16"/>
                <w:kern w:val="21"/>
                <w:sz w:val="21"/>
                <w:szCs w:val="21"/>
                <w:highlight w:val="none"/>
              </w:rPr>
              <w:instrText xml:space="preserve"> = 5 \* GB3 \* MERGEFORMAT </w:instrText>
            </w:r>
            <w:r>
              <w:rPr>
                <w:rFonts w:hint="default" w:ascii="Times New Roman" w:hAnsi="Times New Roman" w:eastAsia="宋体" w:cs="Times New Roman"/>
                <w:b/>
                <w:bCs/>
                <w:snapToGrid w:val="0"/>
                <w:color w:val="auto"/>
                <w:spacing w:val="-16"/>
                <w:kern w:val="21"/>
                <w:sz w:val="21"/>
                <w:szCs w:val="21"/>
                <w:highlight w:val="none"/>
              </w:rPr>
              <w:fldChar w:fldCharType="separate"/>
            </w:r>
            <w:r>
              <w:rPr>
                <w:rFonts w:hint="default" w:ascii="Times New Roman" w:hAnsi="Times New Roman" w:eastAsia="宋体" w:cs="Times New Roman"/>
                <w:b/>
                <w:bCs/>
                <w:color w:val="auto"/>
                <w:kern w:val="2"/>
                <w:sz w:val="21"/>
                <w:szCs w:val="21"/>
                <w:highlight w:val="none"/>
              </w:rPr>
              <w:t>⑤</w:t>
            </w:r>
            <w:r>
              <w:rPr>
                <w:rFonts w:hint="default" w:ascii="Times New Roman" w:hAnsi="Times New Roman" w:eastAsia="宋体" w:cs="Times New Roman"/>
                <w:b/>
                <w:bCs/>
                <w:snapToGrid w:val="0"/>
                <w:color w:val="auto"/>
                <w:spacing w:val="-16"/>
                <w:kern w:val="21"/>
                <w:sz w:val="21"/>
                <w:szCs w:val="21"/>
                <w:highlight w:val="none"/>
              </w:rPr>
              <w:fldChar w:fldCharType="end"/>
            </w:r>
          </w:p>
        </w:tc>
        <w:tc>
          <w:tcPr>
            <w:tcW w:w="1707" w:type="dxa"/>
            <w:noWrap w:val="0"/>
            <w:tcMar>
              <w:left w:w="28" w:type="dxa"/>
              <w:right w:w="28" w:type="dxa"/>
            </w:tcMar>
            <w:vAlign w:val="center"/>
          </w:tcPr>
          <w:p w14:paraId="5365BD9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16"/>
                <w:kern w:val="21"/>
                <w:sz w:val="21"/>
                <w:szCs w:val="21"/>
                <w:highlight w:val="none"/>
              </w:rPr>
            </w:pPr>
            <w:r>
              <w:rPr>
                <w:rFonts w:hint="default" w:ascii="Times New Roman" w:hAnsi="Times New Roman" w:eastAsia="宋体" w:cs="Times New Roman"/>
                <w:b/>
                <w:bCs/>
                <w:snapToGrid w:val="0"/>
                <w:color w:val="auto"/>
                <w:spacing w:val="-16"/>
                <w:kern w:val="21"/>
                <w:sz w:val="21"/>
                <w:szCs w:val="21"/>
                <w:highlight w:val="none"/>
              </w:rPr>
              <w:t>本项目建成后</w:t>
            </w:r>
          </w:p>
          <w:p w14:paraId="3B1800D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16"/>
                <w:kern w:val="21"/>
                <w:sz w:val="21"/>
                <w:szCs w:val="21"/>
                <w:highlight w:val="none"/>
              </w:rPr>
            </w:pPr>
            <w:r>
              <w:rPr>
                <w:rFonts w:hint="default" w:ascii="Times New Roman" w:hAnsi="Times New Roman" w:eastAsia="宋体" w:cs="Times New Roman"/>
                <w:b/>
                <w:bCs/>
                <w:snapToGrid w:val="0"/>
                <w:color w:val="auto"/>
                <w:spacing w:val="-16"/>
                <w:kern w:val="21"/>
                <w:sz w:val="21"/>
                <w:szCs w:val="21"/>
                <w:highlight w:val="none"/>
              </w:rPr>
              <w:t>全厂排放量（固体废物产生量）</w:t>
            </w:r>
            <w:r>
              <w:rPr>
                <w:rFonts w:hint="default" w:ascii="Times New Roman" w:hAnsi="Times New Roman" w:eastAsia="宋体" w:cs="Times New Roman"/>
                <w:b/>
                <w:bCs/>
                <w:snapToGrid w:val="0"/>
                <w:color w:val="auto"/>
                <w:spacing w:val="-16"/>
                <w:kern w:val="21"/>
                <w:sz w:val="21"/>
                <w:szCs w:val="21"/>
                <w:highlight w:val="none"/>
              </w:rPr>
              <w:fldChar w:fldCharType="begin"/>
            </w:r>
            <w:r>
              <w:rPr>
                <w:rFonts w:hint="default" w:ascii="Times New Roman" w:hAnsi="Times New Roman" w:eastAsia="宋体" w:cs="Times New Roman"/>
                <w:b/>
                <w:bCs/>
                <w:snapToGrid w:val="0"/>
                <w:color w:val="auto"/>
                <w:spacing w:val="-16"/>
                <w:kern w:val="21"/>
                <w:sz w:val="21"/>
                <w:szCs w:val="21"/>
                <w:highlight w:val="none"/>
              </w:rPr>
              <w:instrText xml:space="preserve"> = 6 \* GB3 \* MERGEFORMAT </w:instrText>
            </w:r>
            <w:r>
              <w:rPr>
                <w:rFonts w:hint="default" w:ascii="Times New Roman" w:hAnsi="Times New Roman" w:eastAsia="宋体" w:cs="Times New Roman"/>
                <w:b/>
                <w:bCs/>
                <w:snapToGrid w:val="0"/>
                <w:color w:val="auto"/>
                <w:spacing w:val="-16"/>
                <w:kern w:val="21"/>
                <w:sz w:val="21"/>
                <w:szCs w:val="21"/>
                <w:highlight w:val="none"/>
              </w:rPr>
              <w:fldChar w:fldCharType="separate"/>
            </w:r>
            <w:r>
              <w:rPr>
                <w:rFonts w:hint="default" w:ascii="Times New Roman" w:hAnsi="Times New Roman" w:eastAsia="宋体" w:cs="Times New Roman"/>
                <w:b/>
                <w:bCs/>
                <w:color w:val="auto"/>
                <w:kern w:val="2"/>
                <w:sz w:val="21"/>
                <w:szCs w:val="21"/>
                <w:highlight w:val="none"/>
              </w:rPr>
              <w:t>⑥</w:t>
            </w:r>
            <w:r>
              <w:rPr>
                <w:rFonts w:hint="default" w:ascii="Times New Roman" w:hAnsi="Times New Roman" w:eastAsia="宋体" w:cs="Times New Roman"/>
                <w:b/>
                <w:bCs/>
                <w:snapToGrid w:val="0"/>
                <w:color w:val="auto"/>
                <w:spacing w:val="-16"/>
                <w:kern w:val="21"/>
                <w:sz w:val="21"/>
                <w:szCs w:val="21"/>
                <w:highlight w:val="none"/>
              </w:rPr>
              <w:fldChar w:fldCharType="end"/>
            </w:r>
          </w:p>
        </w:tc>
        <w:tc>
          <w:tcPr>
            <w:tcW w:w="1422" w:type="dxa"/>
            <w:noWrap w:val="0"/>
            <w:tcMar>
              <w:left w:w="28" w:type="dxa"/>
              <w:right w:w="28" w:type="dxa"/>
            </w:tcMar>
            <w:vAlign w:val="center"/>
          </w:tcPr>
          <w:p w14:paraId="6D09562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t>变化量</w:t>
            </w:r>
          </w:p>
          <w:p w14:paraId="6DB576E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b/>
                <w:bCs/>
                <w:snapToGrid w:val="0"/>
                <w:color w:val="auto"/>
                <w:spacing w:val="-6"/>
                <w:kern w:val="21"/>
                <w:sz w:val="21"/>
                <w:szCs w:val="21"/>
                <w:highlight w:val="none"/>
              </w:rPr>
            </w:pPr>
            <w:r>
              <w:rPr>
                <w:rFonts w:hint="default" w:ascii="Times New Roman" w:hAnsi="Times New Roman" w:eastAsia="宋体" w:cs="Times New Roman"/>
                <w:b/>
                <w:bCs/>
                <w:snapToGrid w:val="0"/>
                <w:color w:val="auto"/>
                <w:spacing w:val="-6"/>
                <w:kern w:val="21"/>
                <w:sz w:val="21"/>
                <w:szCs w:val="21"/>
                <w:highlight w:val="none"/>
              </w:rPr>
              <w:fldChar w:fldCharType="begin"/>
            </w:r>
            <w:r>
              <w:rPr>
                <w:rFonts w:hint="default" w:ascii="Times New Roman" w:hAnsi="Times New Roman" w:eastAsia="宋体" w:cs="Times New Roman"/>
                <w:b/>
                <w:bCs/>
                <w:snapToGrid w:val="0"/>
                <w:color w:val="auto"/>
                <w:spacing w:val="-6"/>
                <w:kern w:val="21"/>
                <w:sz w:val="21"/>
                <w:szCs w:val="21"/>
                <w:highlight w:val="none"/>
              </w:rPr>
              <w:instrText xml:space="preserve"> = 7 \* GB3 \* MERGEFORMAT </w:instrText>
            </w:r>
            <w:r>
              <w:rPr>
                <w:rFonts w:hint="default" w:ascii="Times New Roman" w:hAnsi="Times New Roman" w:eastAsia="宋体" w:cs="Times New Roman"/>
                <w:b/>
                <w:bCs/>
                <w:snapToGrid w:val="0"/>
                <w:color w:val="auto"/>
                <w:spacing w:val="-6"/>
                <w:kern w:val="21"/>
                <w:sz w:val="21"/>
                <w:szCs w:val="21"/>
                <w:highlight w:val="none"/>
              </w:rPr>
              <w:fldChar w:fldCharType="separate"/>
            </w:r>
            <w:r>
              <w:rPr>
                <w:rFonts w:hint="default" w:ascii="Times New Roman" w:hAnsi="Times New Roman" w:eastAsia="宋体" w:cs="Times New Roman"/>
                <w:b/>
                <w:bCs/>
                <w:color w:val="auto"/>
                <w:kern w:val="2"/>
                <w:sz w:val="21"/>
                <w:szCs w:val="21"/>
                <w:highlight w:val="none"/>
              </w:rPr>
              <w:t>⑦</w:t>
            </w:r>
            <w:r>
              <w:rPr>
                <w:rFonts w:hint="default" w:ascii="Times New Roman" w:hAnsi="Times New Roman" w:eastAsia="宋体" w:cs="Times New Roman"/>
                <w:b/>
                <w:bCs/>
                <w:snapToGrid w:val="0"/>
                <w:color w:val="auto"/>
                <w:spacing w:val="-6"/>
                <w:kern w:val="21"/>
                <w:sz w:val="21"/>
                <w:szCs w:val="21"/>
                <w:highlight w:val="none"/>
              </w:rPr>
              <w:fldChar w:fldCharType="end"/>
            </w:r>
          </w:p>
        </w:tc>
      </w:tr>
      <w:tr w14:paraId="0BE68D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restart"/>
            <w:noWrap w:val="0"/>
            <w:vAlign w:val="center"/>
          </w:tcPr>
          <w:p w14:paraId="0CFCD79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r>
              <w:rPr>
                <w:rFonts w:hint="default" w:ascii="Times New Roman" w:hAnsi="Times New Roman" w:eastAsia="宋体" w:cs="Times New Roman"/>
                <w:snapToGrid w:val="0"/>
                <w:color w:val="auto"/>
                <w:kern w:val="21"/>
                <w:sz w:val="21"/>
                <w:szCs w:val="21"/>
                <w:highlight w:val="none"/>
              </w:rPr>
              <w:t>废气</w:t>
            </w:r>
          </w:p>
        </w:tc>
        <w:tc>
          <w:tcPr>
            <w:tcW w:w="2399" w:type="dxa"/>
            <w:noWrap w:val="0"/>
            <w:vAlign w:val="center"/>
          </w:tcPr>
          <w:p w14:paraId="519B00A7">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颗粒物（有组织）</w:t>
            </w:r>
          </w:p>
        </w:tc>
        <w:tc>
          <w:tcPr>
            <w:tcW w:w="1368" w:type="dxa"/>
            <w:noWrap w:val="0"/>
            <w:vAlign w:val="center"/>
          </w:tcPr>
          <w:p w14:paraId="2315007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0.816</w:t>
            </w:r>
          </w:p>
        </w:tc>
        <w:tc>
          <w:tcPr>
            <w:tcW w:w="996" w:type="dxa"/>
            <w:shd w:val="clear" w:color="auto" w:fill="auto"/>
            <w:noWrap w:val="0"/>
            <w:vAlign w:val="center"/>
          </w:tcPr>
          <w:p w14:paraId="20008B3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0.816</w:t>
            </w:r>
          </w:p>
        </w:tc>
        <w:tc>
          <w:tcPr>
            <w:tcW w:w="1701" w:type="dxa"/>
            <w:noWrap w:val="0"/>
            <w:vAlign w:val="center"/>
          </w:tcPr>
          <w:p w14:paraId="73594DA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shd w:val="clear" w:color="auto" w:fill="auto"/>
            <w:noWrap w:val="0"/>
            <w:vAlign w:val="center"/>
          </w:tcPr>
          <w:p w14:paraId="1271704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3.5556</w:t>
            </w:r>
          </w:p>
        </w:tc>
        <w:tc>
          <w:tcPr>
            <w:tcW w:w="1417" w:type="dxa"/>
            <w:noWrap w:val="0"/>
            <w:vAlign w:val="center"/>
          </w:tcPr>
          <w:p w14:paraId="5C6C0B0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FF0000"/>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0993C5E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3.5556</w:t>
            </w:r>
          </w:p>
        </w:tc>
        <w:tc>
          <w:tcPr>
            <w:tcW w:w="1422" w:type="dxa"/>
            <w:noWrap w:val="0"/>
            <w:vAlign w:val="center"/>
          </w:tcPr>
          <w:p w14:paraId="2B26300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w:t>
            </w:r>
            <w:r>
              <w:rPr>
                <w:rFonts w:hint="eastAsia" w:ascii="Times New Roman" w:eastAsia="宋体" w:cs="Times New Roman"/>
                <w:snapToGrid w:val="0"/>
                <w:color w:val="auto"/>
                <w:kern w:val="21"/>
                <w:sz w:val="21"/>
                <w:szCs w:val="21"/>
                <w:highlight w:val="none"/>
                <w:lang w:val="en-US" w:eastAsia="zh-CN" w:bidi="ar-SA"/>
              </w:rPr>
              <w:t>2.7396</w:t>
            </w:r>
          </w:p>
        </w:tc>
      </w:tr>
      <w:tr w14:paraId="49E09E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49D9DD0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35316B4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颗粒物（无组织）</w:t>
            </w:r>
          </w:p>
        </w:tc>
        <w:tc>
          <w:tcPr>
            <w:tcW w:w="1368" w:type="dxa"/>
            <w:noWrap w:val="0"/>
            <w:vAlign w:val="center"/>
          </w:tcPr>
          <w:p w14:paraId="7193041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6.7114</w:t>
            </w:r>
          </w:p>
        </w:tc>
        <w:tc>
          <w:tcPr>
            <w:tcW w:w="996" w:type="dxa"/>
            <w:shd w:val="clear" w:color="auto" w:fill="auto"/>
            <w:noWrap w:val="0"/>
            <w:vAlign w:val="center"/>
          </w:tcPr>
          <w:p w14:paraId="0520872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6.7114</w:t>
            </w:r>
          </w:p>
        </w:tc>
        <w:tc>
          <w:tcPr>
            <w:tcW w:w="1701" w:type="dxa"/>
            <w:noWrap w:val="0"/>
            <w:vAlign w:val="center"/>
          </w:tcPr>
          <w:p w14:paraId="2946A6F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shd w:val="clear" w:color="auto" w:fill="auto"/>
            <w:noWrap w:val="0"/>
            <w:vAlign w:val="center"/>
          </w:tcPr>
          <w:p w14:paraId="18E5367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rPr>
              <w:t>2.7</w:t>
            </w:r>
            <w:r>
              <w:rPr>
                <w:rFonts w:hint="eastAsia" w:ascii="Times New Roman" w:eastAsia="宋体" w:cs="Times New Roman"/>
                <w:snapToGrid w:val="0"/>
                <w:color w:val="auto"/>
                <w:kern w:val="21"/>
                <w:sz w:val="21"/>
                <w:szCs w:val="21"/>
                <w:highlight w:val="none"/>
                <w:lang w:val="en-US" w:eastAsia="zh-CN"/>
              </w:rPr>
              <w:t>04</w:t>
            </w:r>
          </w:p>
        </w:tc>
        <w:tc>
          <w:tcPr>
            <w:tcW w:w="1417" w:type="dxa"/>
            <w:noWrap w:val="0"/>
            <w:vAlign w:val="center"/>
          </w:tcPr>
          <w:p w14:paraId="54C06EA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4.0074</w:t>
            </w:r>
          </w:p>
        </w:tc>
        <w:tc>
          <w:tcPr>
            <w:tcW w:w="1707" w:type="dxa"/>
            <w:noWrap w:val="0"/>
            <w:vAlign w:val="center"/>
          </w:tcPr>
          <w:p w14:paraId="23C82FE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2.7</w:t>
            </w:r>
            <w:r>
              <w:rPr>
                <w:rFonts w:hint="eastAsia" w:ascii="Times New Roman" w:eastAsia="宋体" w:cs="Times New Roman"/>
                <w:snapToGrid w:val="0"/>
                <w:color w:val="auto"/>
                <w:kern w:val="21"/>
                <w:sz w:val="21"/>
                <w:szCs w:val="21"/>
                <w:highlight w:val="none"/>
                <w:lang w:val="en-US" w:eastAsia="zh-CN"/>
              </w:rPr>
              <w:t>04</w:t>
            </w:r>
          </w:p>
        </w:tc>
        <w:tc>
          <w:tcPr>
            <w:tcW w:w="1422" w:type="dxa"/>
            <w:noWrap w:val="0"/>
            <w:vAlign w:val="center"/>
          </w:tcPr>
          <w:p w14:paraId="42A064F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bidi="ar-SA"/>
              </w:rPr>
              <w:t>-4.0074</w:t>
            </w:r>
          </w:p>
        </w:tc>
      </w:tr>
      <w:tr w14:paraId="1B58EF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72467E0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3AD3DD8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非甲烷总烃（有组织）</w:t>
            </w:r>
          </w:p>
        </w:tc>
        <w:tc>
          <w:tcPr>
            <w:tcW w:w="1368" w:type="dxa"/>
            <w:noWrap w:val="0"/>
            <w:vAlign w:val="center"/>
          </w:tcPr>
          <w:p w14:paraId="2F733C3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996" w:type="dxa"/>
            <w:shd w:val="clear" w:color="auto" w:fill="auto"/>
            <w:noWrap w:val="0"/>
            <w:vAlign w:val="center"/>
          </w:tcPr>
          <w:p w14:paraId="6C476F2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w:t>
            </w:r>
          </w:p>
        </w:tc>
        <w:tc>
          <w:tcPr>
            <w:tcW w:w="1701" w:type="dxa"/>
            <w:noWrap w:val="0"/>
            <w:vAlign w:val="center"/>
          </w:tcPr>
          <w:p w14:paraId="087AE41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shd w:val="clear" w:color="auto" w:fill="auto"/>
            <w:noWrap w:val="0"/>
            <w:vAlign w:val="center"/>
          </w:tcPr>
          <w:p w14:paraId="0396954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rPr>
              <w:t>0.2</w:t>
            </w:r>
            <w:r>
              <w:rPr>
                <w:rFonts w:hint="eastAsia" w:ascii="Times New Roman" w:eastAsia="宋体" w:cs="Times New Roman"/>
                <w:snapToGrid w:val="0"/>
                <w:color w:val="auto"/>
                <w:kern w:val="21"/>
                <w:sz w:val="21"/>
                <w:szCs w:val="21"/>
                <w:highlight w:val="none"/>
                <w:lang w:val="en-US" w:eastAsia="zh-CN"/>
              </w:rPr>
              <w:t>068</w:t>
            </w:r>
          </w:p>
        </w:tc>
        <w:tc>
          <w:tcPr>
            <w:tcW w:w="1417" w:type="dxa"/>
            <w:noWrap w:val="0"/>
            <w:vAlign w:val="center"/>
          </w:tcPr>
          <w:p w14:paraId="4AAF526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07BEB77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0.2</w:t>
            </w:r>
            <w:r>
              <w:rPr>
                <w:rFonts w:hint="eastAsia" w:ascii="Times New Roman" w:eastAsia="宋体" w:cs="Times New Roman"/>
                <w:snapToGrid w:val="0"/>
                <w:color w:val="auto"/>
                <w:kern w:val="21"/>
                <w:sz w:val="21"/>
                <w:szCs w:val="21"/>
                <w:highlight w:val="none"/>
                <w:lang w:val="en-US" w:eastAsia="zh-CN"/>
              </w:rPr>
              <w:t>068</w:t>
            </w:r>
          </w:p>
        </w:tc>
        <w:tc>
          <w:tcPr>
            <w:tcW w:w="1422" w:type="dxa"/>
            <w:noWrap w:val="0"/>
            <w:vAlign w:val="center"/>
          </w:tcPr>
          <w:p w14:paraId="1A05A2B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w:t>
            </w:r>
            <w:r>
              <w:rPr>
                <w:rFonts w:hint="eastAsia" w:ascii="Times New Roman" w:eastAsia="宋体" w:cs="Times New Roman"/>
                <w:snapToGrid w:val="0"/>
                <w:color w:val="auto"/>
                <w:kern w:val="21"/>
                <w:sz w:val="21"/>
                <w:szCs w:val="21"/>
                <w:highlight w:val="none"/>
                <w:lang w:val="en-US" w:eastAsia="zh-CN" w:bidi="ar-SA"/>
              </w:rPr>
              <w:t>0.2068</w:t>
            </w:r>
          </w:p>
        </w:tc>
      </w:tr>
      <w:tr w14:paraId="3594C0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2BEE570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7D5F511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非甲烷总烃（无组织）</w:t>
            </w:r>
          </w:p>
        </w:tc>
        <w:tc>
          <w:tcPr>
            <w:tcW w:w="1368" w:type="dxa"/>
            <w:noWrap w:val="0"/>
            <w:vAlign w:val="center"/>
          </w:tcPr>
          <w:p w14:paraId="0456D0A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2.88</w:t>
            </w:r>
          </w:p>
        </w:tc>
        <w:tc>
          <w:tcPr>
            <w:tcW w:w="996" w:type="dxa"/>
            <w:shd w:val="clear" w:color="auto" w:fill="auto"/>
            <w:noWrap w:val="0"/>
            <w:vAlign w:val="center"/>
          </w:tcPr>
          <w:p w14:paraId="6449385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2.88</w:t>
            </w:r>
          </w:p>
        </w:tc>
        <w:tc>
          <w:tcPr>
            <w:tcW w:w="1701" w:type="dxa"/>
            <w:noWrap w:val="0"/>
            <w:vAlign w:val="center"/>
          </w:tcPr>
          <w:p w14:paraId="24BADB0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shd w:val="clear" w:color="auto" w:fill="auto"/>
            <w:noWrap w:val="0"/>
            <w:vAlign w:val="center"/>
          </w:tcPr>
          <w:p w14:paraId="5B6C1C8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rPr>
              <w:t>0.</w:t>
            </w:r>
            <w:r>
              <w:rPr>
                <w:rFonts w:hint="eastAsia" w:ascii="Times New Roman" w:eastAsia="宋体" w:cs="Times New Roman"/>
                <w:snapToGrid w:val="0"/>
                <w:color w:val="auto"/>
                <w:kern w:val="21"/>
                <w:sz w:val="21"/>
                <w:szCs w:val="21"/>
                <w:highlight w:val="none"/>
                <w:lang w:val="en-US" w:eastAsia="zh-CN"/>
              </w:rPr>
              <w:t>362</w:t>
            </w:r>
          </w:p>
        </w:tc>
        <w:tc>
          <w:tcPr>
            <w:tcW w:w="1417" w:type="dxa"/>
            <w:noWrap w:val="0"/>
            <w:vAlign w:val="center"/>
          </w:tcPr>
          <w:p w14:paraId="3361F1D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2.518</w:t>
            </w:r>
          </w:p>
        </w:tc>
        <w:tc>
          <w:tcPr>
            <w:tcW w:w="1707" w:type="dxa"/>
            <w:noWrap w:val="0"/>
            <w:vAlign w:val="center"/>
          </w:tcPr>
          <w:p w14:paraId="1B7E184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0.</w:t>
            </w:r>
            <w:r>
              <w:rPr>
                <w:rFonts w:hint="eastAsia" w:ascii="Times New Roman" w:eastAsia="宋体" w:cs="Times New Roman"/>
                <w:snapToGrid w:val="0"/>
                <w:color w:val="auto"/>
                <w:kern w:val="21"/>
                <w:sz w:val="21"/>
                <w:szCs w:val="21"/>
                <w:highlight w:val="none"/>
                <w:lang w:val="en-US" w:eastAsia="zh-CN"/>
              </w:rPr>
              <w:t>362</w:t>
            </w:r>
          </w:p>
        </w:tc>
        <w:tc>
          <w:tcPr>
            <w:tcW w:w="1422" w:type="dxa"/>
            <w:noWrap w:val="0"/>
            <w:vAlign w:val="center"/>
          </w:tcPr>
          <w:p w14:paraId="06A785E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bidi="ar-SA"/>
              </w:rPr>
              <w:t>-</w:t>
            </w:r>
            <w:r>
              <w:rPr>
                <w:rFonts w:hint="eastAsia" w:ascii="Times New Roman" w:eastAsia="宋体" w:cs="Times New Roman"/>
                <w:snapToGrid w:val="0"/>
                <w:color w:val="auto"/>
                <w:kern w:val="21"/>
                <w:sz w:val="21"/>
                <w:szCs w:val="21"/>
                <w:highlight w:val="none"/>
                <w:lang w:val="en-US" w:eastAsia="zh-CN" w:bidi="ar-SA"/>
              </w:rPr>
              <w:t>2.518</w:t>
            </w:r>
          </w:p>
        </w:tc>
      </w:tr>
      <w:tr w14:paraId="1AE7F1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6893FC1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4D6604C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甲醛（无组织）</w:t>
            </w:r>
          </w:p>
        </w:tc>
        <w:tc>
          <w:tcPr>
            <w:tcW w:w="1368" w:type="dxa"/>
            <w:noWrap w:val="0"/>
            <w:vAlign w:val="center"/>
          </w:tcPr>
          <w:p w14:paraId="174C5DB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0.0006</w:t>
            </w:r>
          </w:p>
        </w:tc>
        <w:tc>
          <w:tcPr>
            <w:tcW w:w="996" w:type="dxa"/>
            <w:noWrap w:val="0"/>
            <w:vAlign w:val="center"/>
          </w:tcPr>
          <w:p w14:paraId="277F076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0.0006</w:t>
            </w:r>
          </w:p>
        </w:tc>
        <w:tc>
          <w:tcPr>
            <w:tcW w:w="1701" w:type="dxa"/>
            <w:noWrap w:val="0"/>
            <w:vAlign w:val="center"/>
          </w:tcPr>
          <w:p w14:paraId="004960A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1559" w:type="dxa"/>
            <w:noWrap w:val="0"/>
            <w:vAlign w:val="center"/>
          </w:tcPr>
          <w:p w14:paraId="6ABB596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0.0006</w:t>
            </w:r>
          </w:p>
        </w:tc>
        <w:tc>
          <w:tcPr>
            <w:tcW w:w="1417" w:type="dxa"/>
            <w:noWrap w:val="0"/>
            <w:vAlign w:val="center"/>
          </w:tcPr>
          <w:p w14:paraId="4111B6C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1707" w:type="dxa"/>
            <w:noWrap w:val="0"/>
            <w:vAlign w:val="center"/>
          </w:tcPr>
          <w:p w14:paraId="58492F8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0.0006</w:t>
            </w:r>
          </w:p>
        </w:tc>
        <w:tc>
          <w:tcPr>
            <w:tcW w:w="1422" w:type="dxa"/>
            <w:noWrap w:val="0"/>
            <w:vAlign w:val="center"/>
          </w:tcPr>
          <w:p w14:paraId="03D8E49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bidi="ar-SA"/>
              </w:rPr>
              <w:t>0</w:t>
            </w:r>
          </w:p>
        </w:tc>
      </w:tr>
      <w:tr w14:paraId="482358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restart"/>
            <w:noWrap w:val="0"/>
            <w:vAlign w:val="center"/>
          </w:tcPr>
          <w:p w14:paraId="61AC947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r>
              <w:rPr>
                <w:rFonts w:hint="default" w:ascii="Times New Roman" w:hAnsi="Times New Roman" w:eastAsia="宋体" w:cs="Times New Roman"/>
                <w:snapToGrid w:val="0"/>
                <w:color w:val="auto"/>
                <w:kern w:val="21"/>
                <w:sz w:val="21"/>
                <w:szCs w:val="21"/>
                <w:highlight w:val="none"/>
              </w:rPr>
              <w:t>废水</w:t>
            </w:r>
          </w:p>
        </w:tc>
        <w:tc>
          <w:tcPr>
            <w:tcW w:w="2399" w:type="dxa"/>
            <w:noWrap w:val="0"/>
            <w:vAlign w:val="center"/>
          </w:tcPr>
          <w:p w14:paraId="17F28D4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废水量</w:t>
            </w:r>
          </w:p>
        </w:tc>
        <w:tc>
          <w:tcPr>
            <w:tcW w:w="1368" w:type="dxa"/>
            <w:noWrap w:val="0"/>
            <w:vAlign w:val="center"/>
          </w:tcPr>
          <w:p w14:paraId="7940CFD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1440</w:t>
            </w:r>
          </w:p>
        </w:tc>
        <w:tc>
          <w:tcPr>
            <w:tcW w:w="996" w:type="dxa"/>
            <w:noWrap w:val="0"/>
            <w:vAlign w:val="center"/>
          </w:tcPr>
          <w:p w14:paraId="77B640C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1440</w:t>
            </w:r>
          </w:p>
        </w:tc>
        <w:tc>
          <w:tcPr>
            <w:tcW w:w="1701" w:type="dxa"/>
            <w:noWrap w:val="0"/>
            <w:vAlign w:val="center"/>
          </w:tcPr>
          <w:p w14:paraId="074DDD6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5FFDBAC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w:t>
            </w:r>
          </w:p>
        </w:tc>
        <w:tc>
          <w:tcPr>
            <w:tcW w:w="1417" w:type="dxa"/>
            <w:noWrap w:val="0"/>
            <w:vAlign w:val="center"/>
          </w:tcPr>
          <w:p w14:paraId="1622955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20D81357">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1440</w:t>
            </w:r>
          </w:p>
        </w:tc>
        <w:tc>
          <w:tcPr>
            <w:tcW w:w="1422" w:type="dxa"/>
            <w:noWrap w:val="0"/>
            <w:vAlign w:val="center"/>
          </w:tcPr>
          <w:p w14:paraId="4A47D4F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r>
      <w:tr w14:paraId="78E8F0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707079C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51D554D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COD</w:t>
            </w:r>
          </w:p>
        </w:tc>
        <w:tc>
          <w:tcPr>
            <w:tcW w:w="1368" w:type="dxa"/>
            <w:noWrap w:val="0"/>
            <w:vAlign w:val="center"/>
          </w:tcPr>
          <w:p w14:paraId="0B18E81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0.065</w:t>
            </w:r>
          </w:p>
        </w:tc>
        <w:tc>
          <w:tcPr>
            <w:tcW w:w="996" w:type="dxa"/>
            <w:noWrap w:val="0"/>
            <w:vAlign w:val="center"/>
          </w:tcPr>
          <w:p w14:paraId="676511A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0.065</w:t>
            </w:r>
          </w:p>
        </w:tc>
        <w:tc>
          <w:tcPr>
            <w:tcW w:w="1701" w:type="dxa"/>
            <w:noWrap w:val="0"/>
            <w:vAlign w:val="center"/>
          </w:tcPr>
          <w:p w14:paraId="30DE53A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512B702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w:t>
            </w:r>
          </w:p>
        </w:tc>
        <w:tc>
          <w:tcPr>
            <w:tcW w:w="1417" w:type="dxa"/>
            <w:noWrap w:val="0"/>
            <w:vAlign w:val="center"/>
          </w:tcPr>
          <w:p w14:paraId="644D4577">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39C5B80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0.065</w:t>
            </w:r>
          </w:p>
        </w:tc>
        <w:tc>
          <w:tcPr>
            <w:tcW w:w="1422" w:type="dxa"/>
            <w:noWrap w:val="0"/>
            <w:vAlign w:val="center"/>
          </w:tcPr>
          <w:p w14:paraId="1CC2BD0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w:t>
            </w:r>
          </w:p>
        </w:tc>
      </w:tr>
      <w:tr w14:paraId="15CA00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1B1B361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68F07E8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氨氮</w:t>
            </w:r>
          </w:p>
        </w:tc>
        <w:tc>
          <w:tcPr>
            <w:tcW w:w="1368" w:type="dxa"/>
            <w:noWrap w:val="0"/>
            <w:vAlign w:val="center"/>
          </w:tcPr>
          <w:p w14:paraId="642B7FA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0.006</w:t>
            </w:r>
          </w:p>
        </w:tc>
        <w:tc>
          <w:tcPr>
            <w:tcW w:w="996" w:type="dxa"/>
            <w:noWrap w:val="0"/>
            <w:vAlign w:val="center"/>
          </w:tcPr>
          <w:p w14:paraId="74B4A7E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0.006</w:t>
            </w:r>
          </w:p>
        </w:tc>
        <w:tc>
          <w:tcPr>
            <w:tcW w:w="1701" w:type="dxa"/>
            <w:noWrap w:val="0"/>
            <w:vAlign w:val="center"/>
          </w:tcPr>
          <w:p w14:paraId="30F1C11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636CD5C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w:t>
            </w:r>
          </w:p>
        </w:tc>
        <w:tc>
          <w:tcPr>
            <w:tcW w:w="1417" w:type="dxa"/>
            <w:noWrap w:val="0"/>
            <w:vAlign w:val="center"/>
          </w:tcPr>
          <w:p w14:paraId="3AA7354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1DF7BA9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0.006</w:t>
            </w:r>
          </w:p>
        </w:tc>
        <w:tc>
          <w:tcPr>
            <w:tcW w:w="1422" w:type="dxa"/>
            <w:noWrap w:val="0"/>
            <w:vAlign w:val="center"/>
          </w:tcPr>
          <w:p w14:paraId="2957A38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w:t>
            </w:r>
          </w:p>
        </w:tc>
      </w:tr>
      <w:tr w14:paraId="56A869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restart"/>
            <w:noWrap w:val="0"/>
            <w:vAlign w:val="center"/>
          </w:tcPr>
          <w:p w14:paraId="46C48457">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r>
              <w:rPr>
                <w:rFonts w:hint="default" w:ascii="Times New Roman" w:hAnsi="Times New Roman" w:eastAsia="宋体" w:cs="Times New Roman"/>
                <w:snapToGrid w:val="0"/>
                <w:color w:val="auto"/>
                <w:kern w:val="21"/>
                <w:sz w:val="21"/>
                <w:szCs w:val="21"/>
                <w:highlight w:val="none"/>
              </w:rPr>
              <w:t>一般工业固体废物</w:t>
            </w:r>
            <w:r>
              <w:rPr>
                <w:rFonts w:hint="default" w:ascii="Times New Roman" w:hAnsi="Times New Roman" w:eastAsia="宋体" w:cs="Times New Roman"/>
                <w:snapToGrid w:val="0"/>
                <w:color w:val="auto"/>
                <w:spacing w:val="-16"/>
                <w:kern w:val="21"/>
                <w:sz w:val="21"/>
                <w:szCs w:val="21"/>
                <w:highlight w:val="none"/>
              </w:rPr>
              <w:t>（固体废物产生量）</w:t>
            </w:r>
          </w:p>
        </w:tc>
        <w:tc>
          <w:tcPr>
            <w:tcW w:w="2399" w:type="dxa"/>
            <w:noWrap w:val="0"/>
            <w:vAlign w:val="center"/>
          </w:tcPr>
          <w:p w14:paraId="36EA9F2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废砂</w:t>
            </w:r>
          </w:p>
        </w:tc>
        <w:tc>
          <w:tcPr>
            <w:tcW w:w="1368" w:type="dxa"/>
            <w:noWrap w:val="0"/>
            <w:vAlign w:val="center"/>
          </w:tcPr>
          <w:p w14:paraId="7DACABE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80</w:t>
            </w:r>
          </w:p>
        </w:tc>
        <w:tc>
          <w:tcPr>
            <w:tcW w:w="996" w:type="dxa"/>
            <w:noWrap w:val="0"/>
            <w:vAlign w:val="center"/>
          </w:tcPr>
          <w:p w14:paraId="5305EA9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15ABC68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2E8BA8E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35</w:t>
            </w:r>
            <w:r>
              <w:rPr>
                <w:rFonts w:hint="eastAsia" w:ascii="Times New Roman" w:hAnsi="Times New Roman" w:eastAsia="宋体" w:cs="Times New Roman"/>
                <w:snapToGrid w:val="0"/>
                <w:color w:val="auto"/>
                <w:kern w:val="21"/>
                <w:sz w:val="21"/>
                <w:szCs w:val="21"/>
                <w:highlight w:val="none"/>
                <w:lang w:val="en-US" w:eastAsia="zh-CN"/>
              </w:rPr>
              <w:t>0</w:t>
            </w:r>
          </w:p>
        </w:tc>
        <w:tc>
          <w:tcPr>
            <w:tcW w:w="1417" w:type="dxa"/>
            <w:noWrap w:val="0"/>
            <w:vAlign w:val="center"/>
          </w:tcPr>
          <w:p w14:paraId="14903EB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17CADF7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430</w:t>
            </w:r>
          </w:p>
        </w:tc>
        <w:tc>
          <w:tcPr>
            <w:tcW w:w="1422" w:type="dxa"/>
            <w:noWrap w:val="0"/>
            <w:vAlign w:val="center"/>
          </w:tcPr>
          <w:p w14:paraId="478A3CC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+35</w:t>
            </w:r>
            <w:r>
              <w:rPr>
                <w:rFonts w:hint="eastAsia" w:ascii="Times New Roman" w:hAnsi="Times New Roman" w:eastAsia="宋体" w:cs="Times New Roman"/>
                <w:snapToGrid w:val="0"/>
                <w:color w:val="auto"/>
                <w:kern w:val="21"/>
                <w:sz w:val="21"/>
                <w:szCs w:val="21"/>
                <w:highlight w:val="none"/>
                <w:lang w:val="en-US" w:eastAsia="zh-CN"/>
              </w:rPr>
              <w:t>0</w:t>
            </w:r>
          </w:p>
        </w:tc>
      </w:tr>
      <w:tr w14:paraId="49786F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5C14F9D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4A17050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废浇冒口</w:t>
            </w:r>
          </w:p>
        </w:tc>
        <w:tc>
          <w:tcPr>
            <w:tcW w:w="1368" w:type="dxa"/>
            <w:noWrap w:val="0"/>
            <w:vAlign w:val="center"/>
          </w:tcPr>
          <w:p w14:paraId="4D08F8F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5</w:t>
            </w:r>
          </w:p>
        </w:tc>
        <w:tc>
          <w:tcPr>
            <w:tcW w:w="996" w:type="dxa"/>
            <w:noWrap w:val="0"/>
            <w:vAlign w:val="center"/>
          </w:tcPr>
          <w:p w14:paraId="1D299B2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0B2262B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24CC1F5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0.5</w:t>
            </w:r>
          </w:p>
        </w:tc>
        <w:tc>
          <w:tcPr>
            <w:tcW w:w="1417" w:type="dxa"/>
            <w:noWrap w:val="0"/>
            <w:vAlign w:val="center"/>
          </w:tcPr>
          <w:p w14:paraId="0C69E6C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14E3823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5.5</w:t>
            </w:r>
          </w:p>
        </w:tc>
        <w:tc>
          <w:tcPr>
            <w:tcW w:w="1422" w:type="dxa"/>
            <w:noWrap w:val="0"/>
            <w:vAlign w:val="center"/>
          </w:tcPr>
          <w:p w14:paraId="7A35A37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+0.5</w:t>
            </w:r>
          </w:p>
        </w:tc>
      </w:tr>
      <w:tr w14:paraId="413317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5500857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243D578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边角料</w:t>
            </w:r>
          </w:p>
        </w:tc>
        <w:tc>
          <w:tcPr>
            <w:tcW w:w="1368" w:type="dxa"/>
            <w:noWrap w:val="0"/>
            <w:vAlign w:val="center"/>
          </w:tcPr>
          <w:p w14:paraId="2217554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10</w:t>
            </w:r>
          </w:p>
        </w:tc>
        <w:tc>
          <w:tcPr>
            <w:tcW w:w="996" w:type="dxa"/>
            <w:noWrap w:val="0"/>
            <w:vAlign w:val="center"/>
          </w:tcPr>
          <w:p w14:paraId="7484A78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5E7472C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455445D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1</w:t>
            </w:r>
          </w:p>
        </w:tc>
        <w:tc>
          <w:tcPr>
            <w:tcW w:w="1417" w:type="dxa"/>
            <w:noWrap w:val="0"/>
            <w:vAlign w:val="center"/>
          </w:tcPr>
          <w:p w14:paraId="606D0F4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20AC4DD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11</w:t>
            </w:r>
          </w:p>
        </w:tc>
        <w:tc>
          <w:tcPr>
            <w:tcW w:w="1422" w:type="dxa"/>
            <w:noWrap w:val="0"/>
            <w:vAlign w:val="center"/>
          </w:tcPr>
          <w:p w14:paraId="74BFE1B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+1</w:t>
            </w:r>
          </w:p>
        </w:tc>
      </w:tr>
      <w:tr w14:paraId="17FB83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48F7092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26810EB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不合格品</w:t>
            </w:r>
          </w:p>
        </w:tc>
        <w:tc>
          <w:tcPr>
            <w:tcW w:w="1368" w:type="dxa"/>
            <w:noWrap w:val="0"/>
            <w:vAlign w:val="center"/>
          </w:tcPr>
          <w:p w14:paraId="6B84140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5</w:t>
            </w:r>
          </w:p>
        </w:tc>
        <w:tc>
          <w:tcPr>
            <w:tcW w:w="996" w:type="dxa"/>
            <w:noWrap w:val="0"/>
            <w:vAlign w:val="center"/>
          </w:tcPr>
          <w:p w14:paraId="6C8F719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4C384C4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55E9CDB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0.5</w:t>
            </w:r>
          </w:p>
        </w:tc>
        <w:tc>
          <w:tcPr>
            <w:tcW w:w="1417" w:type="dxa"/>
            <w:noWrap w:val="0"/>
            <w:vAlign w:val="center"/>
          </w:tcPr>
          <w:p w14:paraId="676B0EE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34419FA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5.5</w:t>
            </w:r>
          </w:p>
        </w:tc>
        <w:tc>
          <w:tcPr>
            <w:tcW w:w="1422" w:type="dxa"/>
            <w:noWrap w:val="0"/>
            <w:vAlign w:val="center"/>
          </w:tcPr>
          <w:p w14:paraId="0175FEE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+0.5</w:t>
            </w:r>
          </w:p>
        </w:tc>
      </w:tr>
      <w:tr w14:paraId="2B4242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45AE608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1112571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炉渣</w:t>
            </w:r>
          </w:p>
        </w:tc>
        <w:tc>
          <w:tcPr>
            <w:tcW w:w="1368" w:type="dxa"/>
            <w:noWrap w:val="0"/>
            <w:vAlign w:val="center"/>
          </w:tcPr>
          <w:p w14:paraId="696484F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996" w:type="dxa"/>
            <w:noWrap w:val="0"/>
            <w:vAlign w:val="center"/>
          </w:tcPr>
          <w:p w14:paraId="199F330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1" w:type="dxa"/>
            <w:noWrap w:val="0"/>
            <w:vAlign w:val="center"/>
          </w:tcPr>
          <w:p w14:paraId="5A598E2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57C068D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0.5</w:t>
            </w:r>
          </w:p>
        </w:tc>
        <w:tc>
          <w:tcPr>
            <w:tcW w:w="1417" w:type="dxa"/>
            <w:noWrap w:val="0"/>
            <w:vAlign w:val="center"/>
          </w:tcPr>
          <w:p w14:paraId="2029577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29359AA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0.5</w:t>
            </w:r>
          </w:p>
        </w:tc>
        <w:tc>
          <w:tcPr>
            <w:tcW w:w="1422" w:type="dxa"/>
            <w:noWrap w:val="0"/>
            <w:vAlign w:val="center"/>
          </w:tcPr>
          <w:p w14:paraId="4F71E06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+0.5</w:t>
            </w:r>
          </w:p>
        </w:tc>
      </w:tr>
      <w:tr w14:paraId="7A36C4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715511E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36D3835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废包装材料</w:t>
            </w:r>
          </w:p>
        </w:tc>
        <w:tc>
          <w:tcPr>
            <w:tcW w:w="1368" w:type="dxa"/>
            <w:noWrap w:val="0"/>
            <w:vAlign w:val="center"/>
          </w:tcPr>
          <w:p w14:paraId="3B9B59C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0.5</w:t>
            </w:r>
          </w:p>
        </w:tc>
        <w:tc>
          <w:tcPr>
            <w:tcW w:w="996" w:type="dxa"/>
            <w:noWrap w:val="0"/>
            <w:vAlign w:val="center"/>
          </w:tcPr>
          <w:p w14:paraId="359F974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1C7EB3A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32CAFE3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0.1</w:t>
            </w:r>
          </w:p>
        </w:tc>
        <w:tc>
          <w:tcPr>
            <w:tcW w:w="1417" w:type="dxa"/>
            <w:noWrap w:val="0"/>
            <w:vAlign w:val="center"/>
          </w:tcPr>
          <w:p w14:paraId="7BC1265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53ED252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0.6</w:t>
            </w:r>
          </w:p>
        </w:tc>
        <w:tc>
          <w:tcPr>
            <w:tcW w:w="1422" w:type="dxa"/>
            <w:noWrap w:val="0"/>
            <w:vAlign w:val="center"/>
          </w:tcPr>
          <w:p w14:paraId="785A6B27">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+0.1</w:t>
            </w:r>
          </w:p>
        </w:tc>
      </w:tr>
      <w:tr w14:paraId="1880CC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6121B76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00C84DA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收集粉尘</w:t>
            </w:r>
          </w:p>
        </w:tc>
        <w:tc>
          <w:tcPr>
            <w:tcW w:w="1368" w:type="dxa"/>
            <w:noWrap w:val="0"/>
            <w:vAlign w:val="center"/>
          </w:tcPr>
          <w:p w14:paraId="383E817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996" w:type="dxa"/>
            <w:noWrap w:val="0"/>
            <w:vAlign w:val="center"/>
          </w:tcPr>
          <w:p w14:paraId="56B9B69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714752C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1E0FF21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1417" w:type="dxa"/>
            <w:noWrap w:val="0"/>
            <w:vAlign w:val="center"/>
          </w:tcPr>
          <w:p w14:paraId="55DCA15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1990929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216.858</w:t>
            </w:r>
          </w:p>
        </w:tc>
        <w:tc>
          <w:tcPr>
            <w:tcW w:w="1422" w:type="dxa"/>
            <w:noWrap w:val="0"/>
            <w:vAlign w:val="center"/>
          </w:tcPr>
          <w:p w14:paraId="5534D1F3">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w:t>
            </w:r>
            <w:r>
              <w:rPr>
                <w:rFonts w:hint="eastAsia" w:ascii="Times New Roman" w:eastAsia="宋体" w:cs="Times New Roman"/>
                <w:snapToGrid w:val="0"/>
                <w:color w:val="auto"/>
                <w:kern w:val="21"/>
                <w:sz w:val="21"/>
                <w:szCs w:val="21"/>
                <w:highlight w:val="none"/>
                <w:lang w:val="en-US" w:eastAsia="zh-CN"/>
              </w:rPr>
              <w:t>216.858</w:t>
            </w:r>
          </w:p>
        </w:tc>
      </w:tr>
      <w:tr w14:paraId="5A434C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01A5694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rPr>
            </w:pPr>
          </w:p>
        </w:tc>
        <w:tc>
          <w:tcPr>
            <w:tcW w:w="2399" w:type="dxa"/>
            <w:noWrap w:val="0"/>
            <w:vAlign w:val="center"/>
          </w:tcPr>
          <w:p w14:paraId="7C5318A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生活垃圾</w:t>
            </w:r>
          </w:p>
        </w:tc>
        <w:tc>
          <w:tcPr>
            <w:tcW w:w="1368" w:type="dxa"/>
            <w:noWrap w:val="0"/>
            <w:vAlign w:val="center"/>
          </w:tcPr>
          <w:p w14:paraId="4C95DE5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18</w:t>
            </w:r>
          </w:p>
        </w:tc>
        <w:tc>
          <w:tcPr>
            <w:tcW w:w="996" w:type="dxa"/>
            <w:noWrap w:val="0"/>
            <w:vAlign w:val="center"/>
          </w:tcPr>
          <w:p w14:paraId="7354FB2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618F21A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6140D908">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hAnsi="Times New Roman" w:eastAsia="宋体" w:cs="Times New Roman"/>
                <w:snapToGrid w:val="0"/>
                <w:color w:val="auto"/>
                <w:kern w:val="21"/>
                <w:sz w:val="21"/>
                <w:szCs w:val="21"/>
                <w:highlight w:val="none"/>
                <w:lang w:val="en-US" w:eastAsia="zh-CN"/>
              </w:rPr>
              <w:t>/</w:t>
            </w:r>
          </w:p>
        </w:tc>
        <w:tc>
          <w:tcPr>
            <w:tcW w:w="1417" w:type="dxa"/>
            <w:noWrap w:val="0"/>
            <w:vAlign w:val="center"/>
          </w:tcPr>
          <w:p w14:paraId="5DA464B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5276D467">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1</w:t>
            </w:r>
            <w:r>
              <w:rPr>
                <w:rFonts w:hint="eastAsia" w:ascii="Times New Roman" w:hAnsi="Times New Roman" w:eastAsia="宋体" w:cs="Times New Roman"/>
                <w:snapToGrid w:val="0"/>
                <w:color w:val="auto"/>
                <w:kern w:val="21"/>
                <w:sz w:val="21"/>
                <w:szCs w:val="21"/>
                <w:highlight w:val="none"/>
                <w:lang w:val="en-US" w:eastAsia="zh-CN"/>
              </w:rPr>
              <w:t>8</w:t>
            </w:r>
          </w:p>
        </w:tc>
        <w:tc>
          <w:tcPr>
            <w:tcW w:w="1422" w:type="dxa"/>
            <w:noWrap w:val="0"/>
            <w:vAlign w:val="center"/>
          </w:tcPr>
          <w:p w14:paraId="1890CBE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rPr>
              <w:t>0</w:t>
            </w:r>
          </w:p>
        </w:tc>
      </w:tr>
      <w:tr w14:paraId="6FF915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restart"/>
            <w:noWrap w:val="0"/>
            <w:vAlign w:val="center"/>
          </w:tcPr>
          <w:p w14:paraId="1D0A3D7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危险废物</w:t>
            </w:r>
            <w:r>
              <w:rPr>
                <w:rFonts w:hint="default" w:ascii="Times New Roman" w:hAnsi="Times New Roman" w:eastAsia="宋体" w:cs="Times New Roman"/>
                <w:snapToGrid w:val="0"/>
                <w:color w:val="auto"/>
                <w:spacing w:val="-16"/>
                <w:kern w:val="21"/>
                <w:sz w:val="21"/>
                <w:szCs w:val="21"/>
                <w:highlight w:val="none"/>
              </w:rPr>
              <w:t>（固体废物产生量）</w:t>
            </w:r>
          </w:p>
        </w:tc>
        <w:tc>
          <w:tcPr>
            <w:tcW w:w="2399" w:type="dxa"/>
            <w:noWrap w:val="0"/>
            <w:vAlign w:val="center"/>
          </w:tcPr>
          <w:p w14:paraId="1D4B462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废机油</w:t>
            </w:r>
          </w:p>
        </w:tc>
        <w:tc>
          <w:tcPr>
            <w:tcW w:w="1368" w:type="dxa"/>
            <w:noWrap w:val="0"/>
            <w:vAlign w:val="center"/>
          </w:tcPr>
          <w:p w14:paraId="6F301F0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0.05</w:t>
            </w:r>
          </w:p>
        </w:tc>
        <w:tc>
          <w:tcPr>
            <w:tcW w:w="996" w:type="dxa"/>
            <w:noWrap w:val="0"/>
            <w:vAlign w:val="center"/>
          </w:tcPr>
          <w:p w14:paraId="6DBFFFD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1879D3A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14E8C70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0.05</w:t>
            </w:r>
          </w:p>
        </w:tc>
        <w:tc>
          <w:tcPr>
            <w:tcW w:w="1417" w:type="dxa"/>
            <w:noWrap w:val="0"/>
            <w:vAlign w:val="center"/>
          </w:tcPr>
          <w:p w14:paraId="623E57D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16F352C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default" w:ascii="Times New Roman" w:hAnsi="Times New Roman" w:eastAsia="宋体" w:cs="Times New Roman"/>
                <w:snapToGrid w:val="0"/>
                <w:color w:val="auto"/>
                <w:kern w:val="21"/>
                <w:sz w:val="21"/>
                <w:szCs w:val="21"/>
                <w:highlight w:val="none"/>
                <w:lang w:val="en-US" w:eastAsia="zh-CN"/>
              </w:rPr>
              <w:t>0.1</w:t>
            </w:r>
          </w:p>
        </w:tc>
        <w:tc>
          <w:tcPr>
            <w:tcW w:w="1422" w:type="dxa"/>
            <w:noWrap w:val="0"/>
            <w:vAlign w:val="center"/>
          </w:tcPr>
          <w:p w14:paraId="0E61BBCA">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+0.05</w:t>
            </w:r>
          </w:p>
        </w:tc>
      </w:tr>
      <w:tr w14:paraId="39A5ED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6D9628A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p>
        </w:tc>
        <w:tc>
          <w:tcPr>
            <w:tcW w:w="2399" w:type="dxa"/>
            <w:noWrap w:val="0"/>
            <w:vAlign w:val="center"/>
          </w:tcPr>
          <w:p w14:paraId="15F2D28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废切削液</w:t>
            </w:r>
          </w:p>
        </w:tc>
        <w:tc>
          <w:tcPr>
            <w:tcW w:w="1368" w:type="dxa"/>
            <w:noWrap w:val="0"/>
            <w:vAlign w:val="center"/>
          </w:tcPr>
          <w:p w14:paraId="3F66603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0.2</w:t>
            </w:r>
          </w:p>
        </w:tc>
        <w:tc>
          <w:tcPr>
            <w:tcW w:w="996" w:type="dxa"/>
            <w:noWrap w:val="0"/>
            <w:vAlign w:val="center"/>
          </w:tcPr>
          <w:p w14:paraId="34DD561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w:t>
            </w:r>
          </w:p>
        </w:tc>
        <w:tc>
          <w:tcPr>
            <w:tcW w:w="1701" w:type="dxa"/>
            <w:noWrap w:val="0"/>
            <w:vAlign w:val="center"/>
          </w:tcPr>
          <w:p w14:paraId="71F1D56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1559" w:type="dxa"/>
            <w:noWrap w:val="0"/>
            <w:vAlign w:val="center"/>
          </w:tcPr>
          <w:p w14:paraId="07B65AED">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1417" w:type="dxa"/>
            <w:noWrap w:val="0"/>
            <w:vAlign w:val="center"/>
          </w:tcPr>
          <w:p w14:paraId="055C33B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w:t>
            </w:r>
          </w:p>
        </w:tc>
        <w:tc>
          <w:tcPr>
            <w:tcW w:w="1707" w:type="dxa"/>
            <w:noWrap w:val="0"/>
            <w:vAlign w:val="center"/>
          </w:tcPr>
          <w:p w14:paraId="62D6912F">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0.2</w:t>
            </w:r>
          </w:p>
        </w:tc>
        <w:tc>
          <w:tcPr>
            <w:tcW w:w="1422" w:type="dxa"/>
            <w:noWrap w:val="0"/>
            <w:vAlign w:val="center"/>
          </w:tcPr>
          <w:p w14:paraId="3E67FC64">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r>
              <w:rPr>
                <w:rFonts w:hint="eastAsia" w:ascii="Times New Roman" w:eastAsia="宋体" w:cs="Times New Roman"/>
                <w:snapToGrid w:val="0"/>
                <w:color w:val="auto"/>
                <w:kern w:val="21"/>
                <w:sz w:val="21"/>
                <w:szCs w:val="21"/>
                <w:highlight w:val="none"/>
                <w:lang w:val="en-US" w:eastAsia="zh-CN"/>
              </w:rPr>
              <w:t>0</w:t>
            </w:r>
          </w:p>
        </w:tc>
      </w:tr>
      <w:tr w14:paraId="0EE1BB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19" w:type="dxa"/>
            <w:vMerge w:val="continue"/>
            <w:noWrap w:val="0"/>
            <w:vAlign w:val="center"/>
          </w:tcPr>
          <w:p w14:paraId="2146EE9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rPr>
            </w:pPr>
          </w:p>
        </w:tc>
        <w:tc>
          <w:tcPr>
            <w:tcW w:w="2399" w:type="dxa"/>
            <w:noWrap w:val="0"/>
            <w:vAlign w:val="center"/>
          </w:tcPr>
          <w:p w14:paraId="33AEC96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废活性炭</w:t>
            </w:r>
          </w:p>
        </w:tc>
        <w:tc>
          <w:tcPr>
            <w:tcW w:w="1368" w:type="dxa"/>
            <w:noWrap w:val="0"/>
            <w:vAlign w:val="center"/>
          </w:tcPr>
          <w:p w14:paraId="3B39AAE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0</w:t>
            </w:r>
          </w:p>
        </w:tc>
        <w:tc>
          <w:tcPr>
            <w:tcW w:w="996" w:type="dxa"/>
            <w:noWrap w:val="0"/>
            <w:vAlign w:val="center"/>
          </w:tcPr>
          <w:p w14:paraId="4C163441">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0</w:t>
            </w:r>
          </w:p>
        </w:tc>
        <w:tc>
          <w:tcPr>
            <w:tcW w:w="1701" w:type="dxa"/>
            <w:noWrap w:val="0"/>
            <w:vAlign w:val="center"/>
          </w:tcPr>
          <w:p w14:paraId="2B5578FE">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w:t>
            </w:r>
          </w:p>
        </w:tc>
        <w:tc>
          <w:tcPr>
            <w:tcW w:w="1559" w:type="dxa"/>
            <w:noWrap w:val="0"/>
            <w:vAlign w:val="center"/>
          </w:tcPr>
          <w:p w14:paraId="75D9E452">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eastAsia="宋体" w:cs="Times New Roman"/>
                <w:snapToGrid w:val="0"/>
                <w:color w:val="auto"/>
                <w:kern w:val="21"/>
                <w:sz w:val="21"/>
                <w:szCs w:val="21"/>
                <w:highlight w:val="none"/>
                <w:lang w:val="en-US" w:eastAsia="zh-CN"/>
              </w:rPr>
              <w:t>0</w:t>
            </w:r>
          </w:p>
        </w:tc>
        <w:tc>
          <w:tcPr>
            <w:tcW w:w="1417" w:type="dxa"/>
            <w:noWrap w:val="0"/>
            <w:vAlign w:val="center"/>
          </w:tcPr>
          <w:p w14:paraId="16995300">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w:t>
            </w:r>
          </w:p>
        </w:tc>
        <w:tc>
          <w:tcPr>
            <w:tcW w:w="1707" w:type="dxa"/>
            <w:noWrap w:val="0"/>
            <w:vAlign w:val="center"/>
          </w:tcPr>
          <w:p w14:paraId="639F1305">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snapToGrid w:val="0"/>
                <w:color w:val="auto"/>
                <w:kern w:val="21"/>
                <w:sz w:val="21"/>
                <w:szCs w:val="21"/>
                <w:highlight w:val="none"/>
                <w:lang w:val="en-US" w:eastAsia="zh-CN"/>
              </w:rPr>
              <w:t>1</w:t>
            </w:r>
            <w:r>
              <w:rPr>
                <w:rFonts w:hint="eastAsia" w:ascii="Times New Roman" w:eastAsia="宋体" w:cs="Times New Roman"/>
                <w:snapToGrid w:val="0"/>
                <w:color w:val="auto"/>
                <w:kern w:val="21"/>
                <w:sz w:val="21"/>
                <w:szCs w:val="21"/>
                <w:highlight w:val="none"/>
                <w:lang w:val="en-US" w:eastAsia="zh-CN"/>
              </w:rPr>
              <w:t>3.592</w:t>
            </w:r>
          </w:p>
        </w:tc>
        <w:tc>
          <w:tcPr>
            <w:tcW w:w="1422" w:type="dxa"/>
            <w:noWrap w:val="0"/>
            <w:vAlign w:val="center"/>
          </w:tcPr>
          <w:p w14:paraId="2D5C9206">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snapToGrid w:val="0"/>
                <w:color w:val="auto"/>
                <w:kern w:val="21"/>
                <w:sz w:val="21"/>
                <w:szCs w:val="21"/>
                <w:highlight w:val="none"/>
                <w:lang w:val="en-US" w:eastAsia="zh-CN"/>
              </w:rPr>
              <w:t>+</w:t>
            </w:r>
            <w:r>
              <w:rPr>
                <w:rFonts w:hint="eastAsia" w:ascii="Times New Roman" w:eastAsia="宋体" w:cs="Times New Roman"/>
                <w:snapToGrid w:val="0"/>
                <w:color w:val="auto"/>
                <w:kern w:val="21"/>
                <w:sz w:val="21"/>
                <w:szCs w:val="21"/>
                <w:highlight w:val="none"/>
                <w:lang w:val="en-US" w:eastAsia="zh-CN"/>
              </w:rPr>
              <w:t>13.592</w:t>
            </w:r>
          </w:p>
        </w:tc>
      </w:tr>
    </w:tbl>
    <w:p w14:paraId="2067A60B">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both"/>
        <w:textAlignment w:val="auto"/>
        <w:outlineLvl w:val="9"/>
        <w:rPr>
          <w:rFonts w:hAnsi="宋体"/>
          <w:snapToGrid w:val="0"/>
          <w:color w:val="auto"/>
          <w:spacing w:val="-6"/>
          <w:kern w:val="21"/>
          <w:szCs w:val="21"/>
          <w:highlight w:val="none"/>
        </w:rPr>
      </w:pPr>
      <w:r>
        <w:rPr>
          <w:rFonts w:hAnsi="宋体"/>
          <w:b/>
          <w:bCs/>
          <w:snapToGrid w:val="0"/>
          <w:color w:val="auto"/>
          <w:kern w:val="21"/>
          <w:szCs w:val="21"/>
          <w:highlight w:val="none"/>
        </w:rPr>
        <w:t>注：</w:t>
      </w:r>
      <w:r>
        <w:rPr>
          <w:rFonts w:hAnsi="宋体"/>
          <w:snapToGrid w:val="0"/>
          <w:color w:val="auto"/>
          <w:spacing w:val="-16"/>
          <w:kern w:val="21"/>
          <w:szCs w:val="21"/>
          <w:highlight w:val="none"/>
        </w:rPr>
        <w:fldChar w:fldCharType="begin"/>
      </w:r>
      <w:r>
        <w:rPr>
          <w:rFonts w:hAnsi="宋体"/>
          <w:snapToGrid w:val="0"/>
          <w:color w:val="auto"/>
          <w:spacing w:val="-16"/>
          <w:kern w:val="21"/>
          <w:szCs w:val="21"/>
          <w:highlight w:val="none"/>
        </w:rPr>
        <w:instrText xml:space="preserve"> = 6 \* GB3 \* MERGEFORMAT </w:instrText>
      </w:r>
      <w:r>
        <w:rPr>
          <w:rFonts w:hAnsi="宋体"/>
          <w:snapToGrid w:val="0"/>
          <w:color w:val="auto"/>
          <w:spacing w:val="-16"/>
          <w:kern w:val="21"/>
          <w:szCs w:val="21"/>
          <w:highlight w:val="none"/>
        </w:rPr>
        <w:fldChar w:fldCharType="separate"/>
      </w:r>
      <w:r>
        <w:rPr>
          <w:rFonts w:hint="eastAsia" w:hAnsi="宋体"/>
          <w:color w:val="auto"/>
          <w:szCs w:val="21"/>
          <w:highlight w:val="none"/>
        </w:rPr>
        <w:t>⑥</w:t>
      </w:r>
      <w:r>
        <w:rPr>
          <w:rFonts w:hAnsi="宋体"/>
          <w:snapToGrid w:val="0"/>
          <w:color w:val="auto"/>
          <w:spacing w:val="-16"/>
          <w:kern w:val="21"/>
          <w:szCs w:val="21"/>
          <w:highlight w:val="none"/>
        </w:rPr>
        <w:fldChar w:fldCharType="end"/>
      </w:r>
      <w:r>
        <w:rPr>
          <w:rFonts w:hAnsi="宋体"/>
          <w:snapToGrid w:val="0"/>
          <w:color w:val="auto"/>
          <w:spacing w:val="-1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1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①</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3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③</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4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④</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16"/>
          <w:kern w:val="21"/>
          <w:szCs w:val="21"/>
          <w:highlight w:val="none"/>
        </w:rPr>
        <w:fldChar w:fldCharType="begin"/>
      </w:r>
      <w:r>
        <w:rPr>
          <w:rFonts w:hAnsi="宋体"/>
          <w:snapToGrid w:val="0"/>
          <w:color w:val="auto"/>
          <w:spacing w:val="-16"/>
          <w:kern w:val="21"/>
          <w:szCs w:val="21"/>
          <w:highlight w:val="none"/>
        </w:rPr>
        <w:instrText xml:space="preserve"> = 5 \* GB3 \* MERGEFORMAT </w:instrText>
      </w:r>
      <w:r>
        <w:rPr>
          <w:rFonts w:hAnsi="宋体"/>
          <w:snapToGrid w:val="0"/>
          <w:color w:val="auto"/>
          <w:spacing w:val="-16"/>
          <w:kern w:val="21"/>
          <w:szCs w:val="21"/>
          <w:highlight w:val="none"/>
        </w:rPr>
        <w:fldChar w:fldCharType="separate"/>
      </w:r>
      <w:r>
        <w:rPr>
          <w:rFonts w:hint="eastAsia" w:hAnsi="宋体"/>
          <w:color w:val="auto"/>
          <w:szCs w:val="21"/>
          <w:highlight w:val="none"/>
        </w:rPr>
        <w:t>⑤</w:t>
      </w:r>
      <w:r>
        <w:rPr>
          <w:rFonts w:hAnsi="宋体"/>
          <w:snapToGrid w:val="0"/>
          <w:color w:val="auto"/>
          <w:spacing w:val="-16"/>
          <w:kern w:val="21"/>
          <w:szCs w:val="21"/>
          <w:highlight w:val="none"/>
        </w:rPr>
        <w:fldChar w:fldCharType="end"/>
      </w:r>
      <w:r>
        <w:rPr>
          <w:rFonts w:hAnsi="宋体"/>
          <w:snapToGrid w:val="0"/>
          <w:color w:val="auto"/>
          <w:spacing w:val="-1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7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⑦</w:t>
      </w:r>
      <w:r>
        <w:rPr>
          <w:rFonts w:hAnsi="宋体"/>
          <w:snapToGrid w:val="0"/>
          <w:color w:val="auto"/>
          <w:spacing w:val="-6"/>
          <w:kern w:val="21"/>
          <w:szCs w:val="21"/>
          <w:highlight w:val="none"/>
        </w:rPr>
        <w:fldChar w:fldCharType="end"/>
      </w:r>
      <w:r>
        <w:rPr>
          <w:rFonts w:hAnsi="宋体"/>
          <w:snapToGrid w:val="0"/>
          <w:color w:val="auto"/>
          <w:spacing w:val="-6"/>
          <w:kern w:val="21"/>
          <w:szCs w:val="21"/>
          <w:highlight w:val="none"/>
        </w:rPr>
        <w:t>=</w:t>
      </w:r>
      <w:r>
        <w:rPr>
          <w:rFonts w:hAnsi="宋体"/>
          <w:snapToGrid w:val="0"/>
          <w:color w:val="auto"/>
          <w:spacing w:val="-16"/>
          <w:kern w:val="21"/>
          <w:szCs w:val="21"/>
          <w:highlight w:val="none"/>
        </w:rPr>
        <w:fldChar w:fldCharType="begin"/>
      </w:r>
      <w:r>
        <w:rPr>
          <w:rFonts w:hAnsi="宋体"/>
          <w:snapToGrid w:val="0"/>
          <w:color w:val="auto"/>
          <w:spacing w:val="-16"/>
          <w:kern w:val="21"/>
          <w:szCs w:val="21"/>
          <w:highlight w:val="none"/>
        </w:rPr>
        <w:instrText xml:space="preserve"> = 6 \* GB3 \* MERGEFORMAT </w:instrText>
      </w:r>
      <w:r>
        <w:rPr>
          <w:rFonts w:hAnsi="宋体"/>
          <w:snapToGrid w:val="0"/>
          <w:color w:val="auto"/>
          <w:spacing w:val="-16"/>
          <w:kern w:val="21"/>
          <w:szCs w:val="21"/>
          <w:highlight w:val="none"/>
        </w:rPr>
        <w:fldChar w:fldCharType="separate"/>
      </w:r>
      <w:r>
        <w:rPr>
          <w:rFonts w:hint="eastAsia" w:hAnsi="宋体"/>
          <w:color w:val="auto"/>
          <w:szCs w:val="21"/>
          <w:highlight w:val="none"/>
        </w:rPr>
        <w:t>⑥</w:t>
      </w:r>
      <w:r>
        <w:rPr>
          <w:rFonts w:hAnsi="宋体"/>
          <w:snapToGrid w:val="0"/>
          <w:color w:val="auto"/>
          <w:spacing w:val="-16"/>
          <w:kern w:val="21"/>
          <w:szCs w:val="21"/>
          <w:highlight w:val="none"/>
        </w:rPr>
        <w:fldChar w:fldCharType="end"/>
      </w:r>
      <w:r>
        <w:rPr>
          <w:rFonts w:hAnsi="宋体"/>
          <w:snapToGrid w:val="0"/>
          <w:color w:val="auto"/>
          <w:spacing w:val="-16"/>
          <w:kern w:val="21"/>
          <w:szCs w:val="21"/>
          <w:highlight w:val="none"/>
        </w:rPr>
        <w:t>-</w:t>
      </w:r>
      <w:r>
        <w:rPr>
          <w:rFonts w:hAnsi="宋体"/>
          <w:snapToGrid w:val="0"/>
          <w:color w:val="auto"/>
          <w:spacing w:val="-6"/>
          <w:kern w:val="21"/>
          <w:szCs w:val="21"/>
          <w:highlight w:val="none"/>
        </w:rPr>
        <w:fldChar w:fldCharType="begin"/>
      </w:r>
      <w:r>
        <w:rPr>
          <w:rFonts w:hAnsi="宋体"/>
          <w:snapToGrid w:val="0"/>
          <w:color w:val="auto"/>
          <w:spacing w:val="-6"/>
          <w:kern w:val="21"/>
          <w:szCs w:val="21"/>
          <w:highlight w:val="none"/>
        </w:rPr>
        <w:instrText xml:space="preserve"> = 1 \* GB3 \* MERGEFORMAT </w:instrText>
      </w:r>
      <w:r>
        <w:rPr>
          <w:rFonts w:hAnsi="宋体"/>
          <w:snapToGrid w:val="0"/>
          <w:color w:val="auto"/>
          <w:spacing w:val="-6"/>
          <w:kern w:val="21"/>
          <w:szCs w:val="21"/>
          <w:highlight w:val="none"/>
        </w:rPr>
        <w:fldChar w:fldCharType="separate"/>
      </w:r>
      <w:r>
        <w:rPr>
          <w:rFonts w:hint="eastAsia" w:hAnsi="宋体"/>
          <w:color w:val="auto"/>
          <w:szCs w:val="21"/>
          <w:highlight w:val="none"/>
        </w:rPr>
        <w:t>①</w:t>
      </w:r>
      <w:r>
        <w:rPr>
          <w:rFonts w:hAnsi="宋体"/>
          <w:snapToGrid w:val="0"/>
          <w:color w:val="auto"/>
          <w:spacing w:val="-6"/>
          <w:kern w:val="21"/>
          <w:szCs w:val="21"/>
          <w:highlight w:val="none"/>
        </w:rPr>
        <w:fldChar w:fldCharType="end"/>
      </w:r>
    </w:p>
    <w:p w14:paraId="3C146C89">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outlineLvl w:val="9"/>
        <w:rPr>
          <w:rFonts w:hint="default" w:ascii="Times New Roman" w:hAnsi="Times New Roman" w:eastAsia="宋体" w:cs="Times New Roman"/>
          <w:snapToGrid w:val="0"/>
          <w:color w:val="FF0000"/>
          <w:kern w:val="21"/>
          <w:sz w:val="21"/>
          <w:szCs w:val="21"/>
          <w:highlight w:val="none"/>
          <w:lang w:val="en-US" w:eastAsia="zh-CN"/>
        </w:rPr>
      </w:pPr>
    </w:p>
    <w:p w14:paraId="402D7DB7">
      <w:pPr>
        <w:pStyle w:val="35"/>
        <w:keepNext w:val="0"/>
        <w:keepLines w:val="0"/>
        <w:pageBreakBefore w:val="0"/>
        <w:widowControl w:val="0"/>
        <w:numPr>
          <w:ilvl w:val="0"/>
          <w:numId w:val="0"/>
        </w:numPr>
        <w:kinsoku/>
        <w:wordWrap/>
        <w:overflowPunct/>
        <w:topLinePunct w:val="0"/>
        <w:autoSpaceDE w:val="0"/>
        <w:autoSpaceDN w:val="0"/>
        <w:bidi w:val="0"/>
        <w:adjustRightInd/>
        <w:snapToGrid/>
        <w:spacing w:after="0" w:afterLines="0" w:afterAutospacing="0" w:line="240" w:lineRule="auto"/>
        <w:ind w:right="0" w:rightChars="0" w:firstLine="0" w:firstLineChars="0"/>
        <w:jc w:val="left"/>
        <w:textAlignment w:val="auto"/>
        <w:rPr>
          <w:rFonts w:hint="default" w:ascii="Times New Roman" w:hAnsi="Times New Roman" w:cs="Times New Roman"/>
          <w:b/>
          <w:bCs/>
          <w:color w:val="auto"/>
          <w:kern w:val="2"/>
          <w:sz w:val="24"/>
          <w:szCs w:val="24"/>
          <w:lang w:val="en-US" w:eastAsia="zh-CN"/>
        </w:rPr>
      </w:pPr>
      <w:r>
        <w:rPr>
          <w:rFonts w:hint="default" w:ascii="Times New Roman" w:hAnsi="Times New Roman" w:eastAsia="宋体" w:cs="Times New Roman"/>
          <w:color w:val="FF0000"/>
          <w:kern w:val="2"/>
          <w:sz w:val="24"/>
          <w:szCs w:val="24"/>
          <w:highlight w:val="none"/>
          <w:lang w:eastAsia="zh-CN" w:bidi="ar-SA"/>
        </w:rPr>
        <w:br w:type="page"/>
      </w:r>
      <w:r>
        <w:rPr>
          <w:rFonts w:hint="default" w:ascii="Times New Roman" w:hAnsi="Times New Roman" w:cs="Times New Roman"/>
          <w:b/>
          <w:bCs/>
          <w:color w:val="auto"/>
          <w:kern w:val="2"/>
          <w:sz w:val="24"/>
          <w:szCs w:val="24"/>
          <w:lang w:val="en-US" w:eastAsia="zh-CN"/>
        </w:rPr>
        <w:t>附</w:t>
      </w:r>
      <w:r>
        <w:rPr>
          <w:rFonts w:hint="default" w:ascii="Times New Roman" w:hAnsi="Times New Roman" w:cs="Times New Roman"/>
          <w:b/>
          <w:bCs/>
          <w:color w:val="auto"/>
          <w:kern w:val="2"/>
          <w:sz w:val="24"/>
          <w:szCs w:val="24"/>
          <w:lang w:eastAsia="zh-CN"/>
        </w:rPr>
        <w:t>表2</w:t>
      </w:r>
      <w:r>
        <w:rPr>
          <w:rFonts w:hint="eastAsia" w:ascii="Times New Roman" w:hAnsi="Times New Roman" w:cs="Times New Roman"/>
          <w:b/>
          <w:bCs/>
          <w:color w:val="auto"/>
          <w:kern w:val="2"/>
          <w:sz w:val="24"/>
          <w:szCs w:val="24"/>
          <w:lang w:val="en-US" w:eastAsia="zh-CN"/>
        </w:rPr>
        <w:t>：</w:t>
      </w:r>
      <w:r>
        <w:rPr>
          <w:rFonts w:hint="default" w:ascii="Times New Roman" w:hAnsi="Times New Roman" w:cs="Times New Roman"/>
          <w:b/>
          <w:bCs/>
          <w:color w:val="auto"/>
          <w:kern w:val="2"/>
          <w:sz w:val="24"/>
          <w:szCs w:val="24"/>
          <w:lang w:val="en-US" w:eastAsia="zh-CN"/>
        </w:rPr>
        <w:t>项目环境影响评价与排污许可联动内容</w:t>
      </w:r>
    </w:p>
    <w:p w14:paraId="6295B0D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r>
        <w:rPr>
          <w:rFonts w:hint="default" w:ascii="Times New Roman" w:hAnsi="Times New Roman" w:eastAsia="宋体" w:cs="Times New Roman"/>
          <w:b/>
          <w:bCs/>
          <w:color w:val="auto"/>
          <w:spacing w:val="7"/>
          <w:sz w:val="24"/>
          <w:szCs w:val="24"/>
        </w:rPr>
        <w:t>表1</w:t>
      </w:r>
      <w:r>
        <w:rPr>
          <w:rFonts w:hint="eastAsia" w:ascii="Times New Roman" w:hAnsi="Times New Roman" w:eastAsia="宋体" w:cs="Times New Roman"/>
          <w:b/>
          <w:bCs/>
          <w:color w:val="auto"/>
          <w:spacing w:val="7"/>
          <w:sz w:val="24"/>
          <w:szCs w:val="24"/>
          <w:lang w:val="en-US" w:eastAsia="zh-CN"/>
        </w:rPr>
        <w:t xml:space="preserve">  </w:t>
      </w:r>
      <w:r>
        <w:rPr>
          <w:rFonts w:hint="default" w:ascii="Times New Roman" w:hAnsi="Times New Roman" w:eastAsia="宋体" w:cs="Times New Roman"/>
          <w:b/>
          <w:bCs/>
          <w:color w:val="auto"/>
          <w:spacing w:val="7"/>
          <w:sz w:val="24"/>
          <w:szCs w:val="24"/>
        </w:rPr>
        <w:t>建设项目排污许可申请基本信息表</w:t>
      </w:r>
    </w:p>
    <w:tbl>
      <w:tblPr>
        <w:tblStyle w:val="129"/>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6"/>
        <w:gridCol w:w="1369"/>
        <w:gridCol w:w="1442"/>
        <w:gridCol w:w="1913"/>
        <w:gridCol w:w="1334"/>
        <w:gridCol w:w="1315"/>
        <w:gridCol w:w="817"/>
        <w:gridCol w:w="1099"/>
        <w:gridCol w:w="1032"/>
        <w:gridCol w:w="1778"/>
        <w:gridCol w:w="1336"/>
      </w:tblGrid>
      <w:tr w14:paraId="47EEF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616" w:type="dxa"/>
            <w:tcBorders>
              <w:top w:val="single" w:color="auto" w:sz="4" w:space="0"/>
              <w:left w:val="single" w:color="auto" w:sz="4" w:space="0"/>
              <w:bottom w:val="single" w:color="auto" w:sz="4" w:space="0"/>
              <w:right w:val="single" w:color="auto" w:sz="4" w:space="0"/>
            </w:tcBorders>
            <w:noWrap w:val="0"/>
            <w:vAlign w:val="center"/>
          </w:tcPr>
          <w:p w14:paraId="14528C05">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序号</w:t>
            </w:r>
          </w:p>
        </w:tc>
        <w:tc>
          <w:tcPr>
            <w:tcW w:w="1368" w:type="dxa"/>
            <w:tcBorders>
              <w:top w:val="single" w:color="auto" w:sz="4" w:space="0"/>
              <w:left w:val="single" w:color="auto" w:sz="4" w:space="0"/>
              <w:bottom w:val="single" w:color="auto" w:sz="4" w:space="0"/>
              <w:right w:val="single" w:color="auto" w:sz="4" w:space="0"/>
            </w:tcBorders>
            <w:noWrap w:val="0"/>
            <w:vAlign w:val="center"/>
          </w:tcPr>
          <w:p w14:paraId="579871A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生产线名称</w:t>
            </w:r>
          </w:p>
        </w:tc>
        <w:tc>
          <w:tcPr>
            <w:tcW w:w="1441" w:type="dxa"/>
            <w:tcBorders>
              <w:top w:val="single" w:color="auto" w:sz="4" w:space="0"/>
              <w:left w:val="single" w:color="auto" w:sz="4" w:space="0"/>
              <w:bottom w:val="single" w:color="auto" w:sz="4" w:space="0"/>
              <w:right w:val="single" w:color="auto" w:sz="4" w:space="0"/>
            </w:tcBorders>
            <w:noWrap w:val="0"/>
            <w:vAlign w:val="center"/>
          </w:tcPr>
          <w:p w14:paraId="1FC6256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生产线编号</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1800835C">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产品名称</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21E37F59">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计量单位</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2ECEB14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生产能力</w:t>
            </w:r>
          </w:p>
        </w:tc>
        <w:tc>
          <w:tcPr>
            <w:tcW w:w="816" w:type="dxa"/>
            <w:tcBorders>
              <w:top w:val="single" w:color="auto" w:sz="4" w:space="0"/>
              <w:left w:val="single" w:color="auto" w:sz="4" w:space="0"/>
              <w:bottom w:val="single" w:color="auto" w:sz="4" w:space="0"/>
              <w:right w:val="single" w:color="auto" w:sz="4" w:space="0"/>
            </w:tcBorders>
            <w:noWrap w:val="0"/>
            <w:vAlign w:val="center"/>
          </w:tcPr>
          <w:p w14:paraId="3F710A2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年生产时间（h）</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C3395C4">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国民经济行业类别</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6D24CE46">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8"/>
                <w:sz w:val="21"/>
                <w:szCs w:val="21"/>
              </w:rPr>
            </w:pPr>
            <w:r>
              <w:rPr>
                <w:rFonts w:hint="default" w:ascii="Times New Roman" w:hAnsi="Times New Roman" w:eastAsia="宋体" w:cs="Times New Roman"/>
                <w:b/>
                <w:bCs/>
                <w:color w:val="auto"/>
                <w:spacing w:val="8"/>
                <w:sz w:val="21"/>
                <w:szCs w:val="21"/>
              </w:rPr>
              <w:t>排污许可管理类别</w:t>
            </w:r>
          </w:p>
        </w:tc>
        <w:tc>
          <w:tcPr>
            <w:tcW w:w="1777" w:type="dxa"/>
            <w:tcBorders>
              <w:top w:val="single" w:color="auto" w:sz="4" w:space="0"/>
              <w:left w:val="single" w:color="auto" w:sz="4" w:space="0"/>
              <w:bottom w:val="single" w:color="auto" w:sz="4" w:space="0"/>
              <w:right w:val="single" w:color="auto" w:sz="4" w:space="0"/>
            </w:tcBorders>
            <w:noWrap w:val="0"/>
            <w:vAlign w:val="center"/>
          </w:tcPr>
          <w:p w14:paraId="613D6DA5">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9"/>
                <w:sz w:val="21"/>
                <w:szCs w:val="21"/>
              </w:rPr>
              <w:t>排污许可申请与核</w:t>
            </w:r>
            <w:r>
              <w:rPr>
                <w:rFonts w:hint="default" w:ascii="Times New Roman" w:hAnsi="Times New Roman" w:eastAsia="宋体" w:cs="Times New Roman"/>
                <w:b/>
                <w:bCs/>
                <w:color w:val="auto"/>
                <w:spacing w:val="7"/>
                <w:sz w:val="21"/>
                <w:szCs w:val="21"/>
              </w:rPr>
              <w:t>发技术规范</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131EFF4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4"/>
                <w:sz w:val="21"/>
                <w:szCs w:val="21"/>
              </w:rPr>
              <w:t>备注</w:t>
            </w:r>
          </w:p>
        </w:tc>
      </w:tr>
      <w:tr w14:paraId="1C89F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 w:hRule="atLeast"/>
          <w:jc w:val="center"/>
        </w:trPr>
        <w:tc>
          <w:tcPr>
            <w:tcW w:w="616" w:type="dxa"/>
            <w:vMerge w:val="restart"/>
            <w:tcBorders>
              <w:top w:val="single" w:color="auto" w:sz="4" w:space="0"/>
              <w:left w:val="single" w:color="auto" w:sz="4" w:space="0"/>
              <w:right w:val="single" w:color="auto" w:sz="4" w:space="0"/>
            </w:tcBorders>
            <w:noWrap w:val="0"/>
            <w:vAlign w:val="center"/>
          </w:tcPr>
          <w:p w14:paraId="2E92801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368" w:type="dxa"/>
            <w:vMerge w:val="restart"/>
            <w:tcBorders>
              <w:top w:val="single" w:color="auto" w:sz="4" w:space="0"/>
              <w:left w:val="single" w:color="auto" w:sz="4" w:space="0"/>
              <w:right w:val="single" w:color="auto" w:sz="4" w:space="0"/>
            </w:tcBorders>
            <w:noWrap w:val="0"/>
            <w:vAlign w:val="center"/>
          </w:tcPr>
          <w:p w14:paraId="6B447BBE">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铸件</w:t>
            </w:r>
            <w:r>
              <w:rPr>
                <w:rFonts w:hint="default" w:ascii="Times New Roman" w:hAnsi="Times New Roman" w:eastAsia="宋体" w:cs="Times New Roman"/>
                <w:color w:val="auto"/>
                <w:spacing w:val="7"/>
                <w:sz w:val="21"/>
                <w:szCs w:val="21"/>
              </w:rPr>
              <w:t>生产线</w:t>
            </w:r>
          </w:p>
        </w:tc>
        <w:tc>
          <w:tcPr>
            <w:tcW w:w="1441" w:type="dxa"/>
            <w:vMerge w:val="restart"/>
            <w:tcBorders>
              <w:top w:val="single" w:color="auto" w:sz="4" w:space="0"/>
              <w:left w:val="single" w:color="auto" w:sz="4" w:space="0"/>
              <w:right w:val="single" w:color="auto" w:sz="4" w:space="0"/>
            </w:tcBorders>
            <w:noWrap w:val="0"/>
            <w:vAlign w:val="center"/>
          </w:tcPr>
          <w:p w14:paraId="758E417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SCX</w:t>
            </w:r>
            <w:r>
              <w:rPr>
                <w:rFonts w:hint="default" w:ascii="Times New Roman" w:hAnsi="Times New Roman" w:eastAsia="宋体" w:cs="Times New Roman"/>
                <w:color w:val="auto"/>
                <w:spacing w:val="6"/>
                <w:sz w:val="21"/>
                <w:szCs w:val="21"/>
              </w:rPr>
              <w:t>_001</w:t>
            </w:r>
          </w:p>
        </w:tc>
        <w:tc>
          <w:tcPr>
            <w:tcW w:w="1912" w:type="dxa"/>
            <w:tcBorders>
              <w:top w:val="single" w:color="auto" w:sz="4" w:space="0"/>
              <w:left w:val="single" w:color="auto" w:sz="4" w:space="0"/>
              <w:right w:val="single" w:color="auto" w:sz="4" w:space="0"/>
            </w:tcBorders>
            <w:noWrap w:val="0"/>
            <w:vAlign w:val="center"/>
          </w:tcPr>
          <w:p w14:paraId="01998305">
            <w:pPr>
              <w:widowControl/>
              <w:jc w:val="center"/>
              <w:rPr>
                <w:rFonts w:hint="default" w:ascii="Times New Roman" w:hAnsi="Times New Roman" w:eastAsia="宋体" w:cs="Times New Roman"/>
                <w:color w:val="auto"/>
                <w:spacing w:val="6"/>
                <w:sz w:val="21"/>
                <w:szCs w:val="21"/>
              </w:rPr>
            </w:pPr>
            <w:r>
              <w:rPr>
                <w:rFonts w:hint="eastAsia" w:ascii="Times New Roman" w:hAnsi="Times New Roman" w:eastAsia="宋体" w:cs="Times New Roman"/>
                <w:color w:val="auto"/>
                <w:kern w:val="0"/>
                <w:sz w:val="21"/>
                <w:szCs w:val="21"/>
                <w:highlight w:val="none"/>
                <w:lang w:val="en-US" w:eastAsia="zh-CN"/>
              </w:rPr>
              <w:t>精密阀门</w:t>
            </w:r>
            <w:r>
              <w:rPr>
                <w:rFonts w:hint="eastAsia" w:cs="Times New Roman"/>
                <w:color w:val="auto"/>
                <w:kern w:val="0"/>
                <w:sz w:val="21"/>
                <w:szCs w:val="21"/>
                <w:highlight w:val="none"/>
                <w:lang w:val="en-US" w:eastAsia="zh-CN"/>
              </w:rPr>
              <w:t>铸件</w:t>
            </w:r>
          </w:p>
        </w:tc>
        <w:tc>
          <w:tcPr>
            <w:tcW w:w="1333" w:type="dxa"/>
            <w:vMerge w:val="restart"/>
            <w:tcBorders>
              <w:top w:val="single" w:color="auto" w:sz="4" w:space="0"/>
              <w:left w:val="single" w:color="auto" w:sz="4" w:space="0"/>
              <w:right w:val="single" w:color="auto" w:sz="4" w:space="0"/>
            </w:tcBorders>
            <w:noWrap w:val="0"/>
            <w:vAlign w:val="center"/>
          </w:tcPr>
          <w:p w14:paraId="6E1DFE2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position w:val="1"/>
                <w:sz w:val="21"/>
                <w:szCs w:val="21"/>
              </w:rPr>
              <w:t>t/a</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5B262B5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i w:val="0"/>
                <w:color w:val="auto"/>
                <w:kern w:val="0"/>
                <w:sz w:val="21"/>
                <w:szCs w:val="21"/>
                <w:highlight w:val="none"/>
                <w:u w:val="none"/>
                <w:lang w:val="en-US" w:eastAsia="zh-CN" w:bidi="ar"/>
              </w:rPr>
              <w:t>1500</w:t>
            </w:r>
          </w:p>
        </w:tc>
        <w:tc>
          <w:tcPr>
            <w:tcW w:w="816" w:type="dxa"/>
            <w:vMerge w:val="restart"/>
            <w:tcBorders>
              <w:top w:val="single" w:color="auto" w:sz="4" w:space="0"/>
              <w:left w:val="single" w:color="auto" w:sz="4" w:space="0"/>
              <w:right w:val="single" w:color="auto" w:sz="4" w:space="0"/>
            </w:tcBorders>
            <w:noWrap w:val="0"/>
            <w:vAlign w:val="center"/>
          </w:tcPr>
          <w:p w14:paraId="7DEF896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4"/>
                <w:sz w:val="21"/>
                <w:szCs w:val="21"/>
                <w:lang w:val="en-US" w:eastAsia="zh-CN"/>
              </w:rPr>
              <w:t>6480</w:t>
            </w:r>
          </w:p>
        </w:tc>
        <w:tc>
          <w:tcPr>
            <w:tcW w:w="1098" w:type="dxa"/>
            <w:vMerge w:val="restart"/>
            <w:tcBorders>
              <w:top w:val="single" w:color="auto" w:sz="4" w:space="0"/>
              <w:left w:val="single" w:color="auto" w:sz="4" w:space="0"/>
              <w:right w:val="single" w:color="auto" w:sz="4" w:space="0"/>
            </w:tcBorders>
            <w:noWrap w:val="0"/>
            <w:vAlign w:val="center"/>
          </w:tcPr>
          <w:p w14:paraId="15ADD491">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pacing w:val="6"/>
                <w:sz w:val="21"/>
                <w:szCs w:val="21"/>
              </w:rPr>
              <w:t>C</w:t>
            </w:r>
            <w:r>
              <w:rPr>
                <w:rFonts w:hint="default" w:ascii="Times New Roman" w:hAnsi="Times New Roman" w:eastAsia="宋体" w:cs="Times New Roman"/>
                <w:color w:val="auto"/>
                <w:spacing w:val="6"/>
                <w:sz w:val="21"/>
                <w:szCs w:val="21"/>
                <w:lang w:val="en-US" w:eastAsia="zh-CN"/>
              </w:rPr>
              <w:t>3391黑色金属铸造</w:t>
            </w:r>
          </w:p>
        </w:tc>
        <w:tc>
          <w:tcPr>
            <w:tcW w:w="1031" w:type="dxa"/>
            <w:vMerge w:val="restart"/>
            <w:tcBorders>
              <w:top w:val="single" w:color="auto" w:sz="4" w:space="0"/>
              <w:left w:val="single" w:color="auto" w:sz="4" w:space="0"/>
              <w:right w:val="single" w:color="auto" w:sz="4" w:space="0"/>
            </w:tcBorders>
            <w:noWrap w:val="0"/>
            <w:vAlign w:val="center"/>
          </w:tcPr>
          <w:p w14:paraId="58C5681D">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简化管理</w:t>
            </w:r>
          </w:p>
        </w:tc>
        <w:tc>
          <w:tcPr>
            <w:tcW w:w="1777" w:type="dxa"/>
            <w:vMerge w:val="restart"/>
            <w:tcBorders>
              <w:top w:val="single" w:color="auto" w:sz="4" w:space="0"/>
              <w:left w:val="single" w:color="auto" w:sz="4" w:space="0"/>
              <w:right w:val="single" w:color="auto" w:sz="4" w:space="0"/>
            </w:tcBorders>
            <w:noWrap w:val="0"/>
            <w:vAlign w:val="center"/>
          </w:tcPr>
          <w:p w14:paraId="1673F4A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942-2018</w:t>
            </w:r>
          </w:p>
          <w:p w14:paraId="2C6877D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p w14:paraId="658C37B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1115-2020</w:t>
            </w:r>
          </w:p>
        </w:tc>
        <w:tc>
          <w:tcPr>
            <w:tcW w:w="1335" w:type="dxa"/>
            <w:vMerge w:val="restart"/>
            <w:tcBorders>
              <w:top w:val="single" w:color="auto" w:sz="4" w:space="0"/>
              <w:left w:val="single" w:color="auto" w:sz="4" w:space="0"/>
              <w:right w:val="single" w:color="auto" w:sz="4" w:space="0"/>
            </w:tcBorders>
            <w:noWrap w:val="0"/>
            <w:vAlign w:val="center"/>
          </w:tcPr>
          <w:p w14:paraId="12EAE7A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4A6D6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 w:hRule="atLeast"/>
          <w:jc w:val="center"/>
        </w:trPr>
        <w:tc>
          <w:tcPr>
            <w:tcW w:w="616" w:type="dxa"/>
            <w:vMerge w:val="continue"/>
            <w:tcBorders>
              <w:left w:val="single" w:color="auto" w:sz="4" w:space="0"/>
              <w:right w:val="single" w:color="auto" w:sz="4" w:space="0"/>
            </w:tcBorders>
            <w:noWrap w:val="0"/>
            <w:vAlign w:val="center"/>
          </w:tcPr>
          <w:p w14:paraId="2E1BFA6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1368" w:type="dxa"/>
            <w:vMerge w:val="continue"/>
            <w:tcBorders>
              <w:left w:val="single" w:color="auto" w:sz="4" w:space="0"/>
              <w:right w:val="single" w:color="auto" w:sz="4" w:space="0"/>
            </w:tcBorders>
            <w:noWrap w:val="0"/>
            <w:vAlign w:val="center"/>
          </w:tcPr>
          <w:p w14:paraId="3E42BBC9">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1441" w:type="dxa"/>
            <w:vMerge w:val="continue"/>
            <w:tcBorders>
              <w:left w:val="single" w:color="auto" w:sz="4" w:space="0"/>
              <w:right w:val="single" w:color="auto" w:sz="4" w:space="0"/>
            </w:tcBorders>
            <w:noWrap w:val="0"/>
            <w:vAlign w:val="center"/>
          </w:tcPr>
          <w:p w14:paraId="254E8871">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1912" w:type="dxa"/>
            <w:tcBorders>
              <w:left w:val="single" w:color="auto" w:sz="4" w:space="0"/>
              <w:right w:val="single" w:color="auto" w:sz="4" w:space="0"/>
            </w:tcBorders>
            <w:noWrap w:val="0"/>
            <w:vAlign w:val="center"/>
          </w:tcPr>
          <w:p w14:paraId="220CFE52">
            <w:pPr>
              <w:widowControl/>
              <w:jc w:val="center"/>
              <w:rPr>
                <w:rFonts w:hint="default" w:ascii="Times New Roman" w:hAnsi="Times New Roman" w:eastAsia="宋体" w:cs="Times New Roman"/>
                <w:color w:val="auto"/>
                <w:spacing w:val="6"/>
                <w:sz w:val="21"/>
                <w:szCs w:val="21"/>
              </w:rPr>
            </w:pPr>
            <w:r>
              <w:rPr>
                <w:rFonts w:hint="eastAsia" w:ascii="Times New Roman" w:hAnsi="Times New Roman" w:eastAsia="宋体" w:cs="Times New Roman"/>
                <w:color w:val="auto"/>
                <w:kern w:val="0"/>
                <w:sz w:val="21"/>
                <w:szCs w:val="21"/>
                <w:highlight w:val="none"/>
                <w:lang w:val="en-US" w:eastAsia="zh-CN"/>
              </w:rPr>
              <w:t>工程机械</w:t>
            </w:r>
            <w:r>
              <w:rPr>
                <w:rFonts w:hint="eastAsia" w:cs="Times New Roman"/>
                <w:color w:val="auto"/>
                <w:kern w:val="0"/>
                <w:sz w:val="21"/>
                <w:szCs w:val="21"/>
                <w:highlight w:val="none"/>
                <w:lang w:val="en-US" w:eastAsia="zh-CN"/>
              </w:rPr>
              <w:t>铸件</w:t>
            </w:r>
          </w:p>
        </w:tc>
        <w:tc>
          <w:tcPr>
            <w:tcW w:w="1333" w:type="dxa"/>
            <w:vMerge w:val="continue"/>
            <w:tcBorders>
              <w:left w:val="single" w:color="auto" w:sz="4" w:space="0"/>
              <w:right w:val="single" w:color="auto" w:sz="4" w:space="0"/>
            </w:tcBorders>
            <w:noWrap w:val="0"/>
            <w:vAlign w:val="center"/>
          </w:tcPr>
          <w:p w14:paraId="6F048C1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14" w:type="dxa"/>
            <w:tcBorders>
              <w:top w:val="single" w:color="auto" w:sz="4" w:space="0"/>
              <w:left w:val="single" w:color="auto" w:sz="4" w:space="0"/>
              <w:bottom w:val="single" w:color="auto" w:sz="4" w:space="0"/>
              <w:right w:val="single" w:color="auto" w:sz="4" w:space="0"/>
            </w:tcBorders>
            <w:noWrap w:val="0"/>
            <w:vAlign w:val="center"/>
          </w:tcPr>
          <w:p w14:paraId="32207A71">
            <w:pPr>
              <w:keepNext w:val="0"/>
              <w:keepLines w:val="0"/>
              <w:widowControl/>
              <w:suppressLineNumbers w:val="0"/>
              <w:jc w:val="center"/>
              <w:textAlignment w:val="center"/>
              <w:rPr>
                <w:rFonts w:hint="default" w:ascii="Times New Roman" w:hAnsi="Times New Roman" w:eastAsia="宋体" w:cs="Times New Roman"/>
                <w:color w:val="auto"/>
                <w:spacing w:val="6"/>
                <w:sz w:val="21"/>
                <w:szCs w:val="21"/>
              </w:rPr>
            </w:pPr>
            <w:r>
              <w:rPr>
                <w:rFonts w:hint="eastAsia" w:ascii="Times New Roman" w:hAnsi="Times New Roman" w:eastAsia="宋体" w:cs="Times New Roman"/>
                <w:i w:val="0"/>
                <w:color w:val="auto"/>
                <w:kern w:val="0"/>
                <w:sz w:val="21"/>
                <w:szCs w:val="21"/>
                <w:highlight w:val="none"/>
                <w:u w:val="none"/>
                <w:lang w:val="en-US" w:eastAsia="zh-CN" w:bidi="ar"/>
              </w:rPr>
              <w:t>3500</w:t>
            </w:r>
          </w:p>
        </w:tc>
        <w:tc>
          <w:tcPr>
            <w:tcW w:w="816" w:type="dxa"/>
            <w:vMerge w:val="continue"/>
            <w:tcBorders>
              <w:left w:val="single" w:color="auto" w:sz="4" w:space="0"/>
              <w:right w:val="single" w:color="auto" w:sz="4" w:space="0"/>
            </w:tcBorders>
            <w:noWrap w:val="0"/>
            <w:vAlign w:val="center"/>
          </w:tcPr>
          <w:p w14:paraId="212768EA">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098" w:type="dxa"/>
            <w:vMerge w:val="continue"/>
            <w:tcBorders>
              <w:left w:val="single" w:color="auto" w:sz="4" w:space="0"/>
              <w:right w:val="single" w:color="auto" w:sz="4" w:space="0"/>
            </w:tcBorders>
            <w:noWrap w:val="0"/>
            <w:vAlign w:val="center"/>
          </w:tcPr>
          <w:p w14:paraId="463D581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031" w:type="dxa"/>
            <w:vMerge w:val="continue"/>
            <w:tcBorders>
              <w:left w:val="single" w:color="auto" w:sz="4" w:space="0"/>
              <w:right w:val="single" w:color="auto" w:sz="4" w:space="0"/>
            </w:tcBorders>
            <w:noWrap w:val="0"/>
            <w:vAlign w:val="center"/>
          </w:tcPr>
          <w:p w14:paraId="00A98412">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777" w:type="dxa"/>
            <w:vMerge w:val="continue"/>
            <w:tcBorders>
              <w:left w:val="single" w:color="auto" w:sz="4" w:space="0"/>
              <w:right w:val="single" w:color="auto" w:sz="4" w:space="0"/>
            </w:tcBorders>
            <w:noWrap w:val="0"/>
            <w:vAlign w:val="center"/>
          </w:tcPr>
          <w:p w14:paraId="1C95071D">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35" w:type="dxa"/>
            <w:vMerge w:val="continue"/>
            <w:tcBorders>
              <w:left w:val="single" w:color="auto" w:sz="4" w:space="0"/>
              <w:right w:val="single" w:color="auto" w:sz="4" w:space="0"/>
            </w:tcBorders>
            <w:noWrap w:val="0"/>
            <w:vAlign w:val="center"/>
          </w:tcPr>
          <w:p w14:paraId="0E27E61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r>
      <w:tr w14:paraId="49505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 w:hRule="atLeast"/>
          <w:jc w:val="center"/>
        </w:trPr>
        <w:tc>
          <w:tcPr>
            <w:tcW w:w="616" w:type="dxa"/>
            <w:vMerge w:val="continue"/>
            <w:tcBorders>
              <w:left w:val="single" w:color="auto" w:sz="4" w:space="0"/>
              <w:right w:val="single" w:color="auto" w:sz="4" w:space="0"/>
            </w:tcBorders>
            <w:noWrap w:val="0"/>
            <w:vAlign w:val="center"/>
          </w:tcPr>
          <w:p w14:paraId="0577CB5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68" w:type="dxa"/>
            <w:vMerge w:val="continue"/>
            <w:tcBorders>
              <w:left w:val="single" w:color="auto" w:sz="4" w:space="0"/>
              <w:right w:val="single" w:color="auto" w:sz="4" w:space="0"/>
            </w:tcBorders>
            <w:noWrap w:val="0"/>
            <w:vAlign w:val="center"/>
          </w:tcPr>
          <w:p w14:paraId="3EA8FDDC">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441" w:type="dxa"/>
            <w:vMerge w:val="continue"/>
            <w:tcBorders>
              <w:left w:val="single" w:color="auto" w:sz="4" w:space="0"/>
              <w:right w:val="single" w:color="auto" w:sz="4" w:space="0"/>
            </w:tcBorders>
            <w:noWrap w:val="0"/>
            <w:vAlign w:val="center"/>
          </w:tcPr>
          <w:p w14:paraId="6346E3A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912" w:type="dxa"/>
            <w:tcBorders>
              <w:left w:val="single" w:color="auto" w:sz="4" w:space="0"/>
              <w:right w:val="single" w:color="auto" w:sz="4" w:space="0"/>
            </w:tcBorders>
            <w:noWrap w:val="0"/>
            <w:vAlign w:val="center"/>
          </w:tcPr>
          <w:p w14:paraId="3413E6C7">
            <w:pPr>
              <w:widowControl/>
              <w:jc w:val="center"/>
              <w:rPr>
                <w:rFonts w:hint="default" w:ascii="Times New Roman" w:hAnsi="Times New Roman" w:eastAsia="宋体" w:cs="Times New Roman"/>
                <w:color w:val="auto"/>
                <w:spacing w:val="6"/>
                <w:sz w:val="21"/>
                <w:szCs w:val="21"/>
              </w:rPr>
            </w:pPr>
            <w:r>
              <w:rPr>
                <w:rFonts w:hint="eastAsia" w:ascii="Times New Roman" w:hAnsi="Times New Roman" w:eastAsia="宋体" w:cs="Times New Roman"/>
                <w:color w:val="auto"/>
                <w:kern w:val="0"/>
                <w:sz w:val="21"/>
                <w:szCs w:val="21"/>
                <w:highlight w:val="none"/>
                <w:lang w:val="en-US" w:eastAsia="zh-CN"/>
              </w:rPr>
              <w:t>汽车零部件</w:t>
            </w:r>
            <w:r>
              <w:rPr>
                <w:rFonts w:hint="eastAsia" w:cs="Times New Roman"/>
                <w:color w:val="auto"/>
                <w:kern w:val="0"/>
                <w:sz w:val="21"/>
                <w:szCs w:val="21"/>
                <w:highlight w:val="none"/>
                <w:lang w:val="en-US" w:eastAsia="zh-CN"/>
              </w:rPr>
              <w:t>铸件</w:t>
            </w:r>
          </w:p>
        </w:tc>
        <w:tc>
          <w:tcPr>
            <w:tcW w:w="1333" w:type="dxa"/>
            <w:vMerge w:val="continue"/>
            <w:tcBorders>
              <w:left w:val="single" w:color="auto" w:sz="4" w:space="0"/>
              <w:right w:val="single" w:color="auto" w:sz="4" w:space="0"/>
            </w:tcBorders>
            <w:noWrap w:val="0"/>
            <w:vAlign w:val="center"/>
          </w:tcPr>
          <w:p w14:paraId="4E082B98">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14" w:type="dxa"/>
            <w:tcBorders>
              <w:top w:val="single" w:color="auto" w:sz="4" w:space="0"/>
              <w:left w:val="single" w:color="auto" w:sz="4" w:space="0"/>
              <w:bottom w:val="single" w:color="auto" w:sz="4" w:space="0"/>
              <w:right w:val="single" w:color="auto" w:sz="4" w:space="0"/>
            </w:tcBorders>
            <w:noWrap w:val="0"/>
            <w:vAlign w:val="center"/>
          </w:tcPr>
          <w:p w14:paraId="389360F3">
            <w:pPr>
              <w:keepNext w:val="0"/>
              <w:keepLines w:val="0"/>
              <w:widowControl/>
              <w:suppressLineNumbers w:val="0"/>
              <w:jc w:val="center"/>
              <w:textAlignment w:val="center"/>
              <w:rPr>
                <w:rFonts w:hint="default" w:ascii="Times New Roman" w:hAnsi="Times New Roman" w:eastAsia="宋体" w:cs="Times New Roman"/>
                <w:color w:val="auto"/>
                <w:spacing w:val="6"/>
                <w:sz w:val="21"/>
                <w:szCs w:val="21"/>
              </w:rPr>
            </w:pPr>
            <w:r>
              <w:rPr>
                <w:rFonts w:hint="eastAsia" w:ascii="Times New Roman" w:hAnsi="Times New Roman" w:eastAsia="宋体" w:cs="Times New Roman"/>
                <w:i w:val="0"/>
                <w:color w:val="auto"/>
                <w:kern w:val="0"/>
                <w:sz w:val="21"/>
                <w:szCs w:val="21"/>
                <w:highlight w:val="none"/>
                <w:u w:val="none"/>
                <w:lang w:val="en-US" w:eastAsia="zh-CN" w:bidi="ar"/>
              </w:rPr>
              <w:t>5000</w:t>
            </w:r>
          </w:p>
        </w:tc>
        <w:tc>
          <w:tcPr>
            <w:tcW w:w="816" w:type="dxa"/>
            <w:vMerge w:val="continue"/>
            <w:tcBorders>
              <w:left w:val="single" w:color="auto" w:sz="4" w:space="0"/>
              <w:right w:val="single" w:color="auto" w:sz="4" w:space="0"/>
            </w:tcBorders>
            <w:noWrap w:val="0"/>
            <w:vAlign w:val="center"/>
          </w:tcPr>
          <w:p w14:paraId="67681794">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098" w:type="dxa"/>
            <w:vMerge w:val="continue"/>
            <w:tcBorders>
              <w:left w:val="single" w:color="auto" w:sz="4" w:space="0"/>
              <w:right w:val="single" w:color="auto" w:sz="4" w:space="0"/>
            </w:tcBorders>
            <w:noWrap w:val="0"/>
            <w:vAlign w:val="center"/>
          </w:tcPr>
          <w:p w14:paraId="27DB2728">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031" w:type="dxa"/>
            <w:vMerge w:val="continue"/>
            <w:tcBorders>
              <w:left w:val="single" w:color="auto" w:sz="4" w:space="0"/>
              <w:right w:val="single" w:color="auto" w:sz="4" w:space="0"/>
            </w:tcBorders>
            <w:noWrap w:val="0"/>
            <w:vAlign w:val="center"/>
          </w:tcPr>
          <w:p w14:paraId="3CB4D6E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777" w:type="dxa"/>
            <w:vMerge w:val="continue"/>
            <w:tcBorders>
              <w:left w:val="single" w:color="auto" w:sz="4" w:space="0"/>
              <w:right w:val="single" w:color="auto" w:sz="4" w:space="0"/>
            </w:tcBorders>
            <w:noWrap w:val="0"/>
            <w:vAlign w:val="center"/>
          </w:tcPr>
          <w:p w14:paraId="5A48C0C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35" w:type="dxa"/>
            <w:vMerge w:val="continue"/>
            <w:tcBorders>
              <w:left w:val="single" w:color="auto" w:sz="4" w:space="0"/>
              <w:right w:val="single" w:color="auto" w:sz="4" w:space="0"/>
            </w:tcBorders>
            <w:noWrap w:val="0"/>
            <w:vAlign w:val="center"/>
          </w:tcPr>
          <w:p w14:paraId="57D1FAD9">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r>
      <w:tr w14:paraId="05046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 w:hRule="atLeast"/>
          <w:jc w:val="center"/>
        </w:trPr>
        <w:tc>
          <w:tcPr>
            <w:tcW w:w="616" w:type="dxa"/>
            <w:vMerge w:val="continue"/>
            <w:tcBorders>
              <w:left w:val="single" w:color="auto" w:sz="4" w:space="0"/>
              <w:bottom w:val="single" w:color="auto" w:sz="4" w:space="0"/>
              <w:right w:val="single" w:color="auto" w:sz="4" w:space="0"/>
            </w:tcBorders>
            <w:noWrap w:val="0"/>
            <w:vAlign w:val="center"/>
          </w:tcPr>
          <w:p w14:paraId="3F677B5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68" w:type="dxa"/>
            <w:vMerge w:val="continue"/>
            <w:tcBorders>
              <w:left w:val="single" w:color="auto" w:sz="4" w:space="0"/>
              <w:bottom w:val="single" w:color="auto" w:sz="4" w:space="0"/>
              <w:right w:val="single" w:color="auto" w:sz="4" w:space="0"/>
            </w:tcBorders>
            <w:noWrap w:val="0"/>
            <w:vAlign w:val="center"/>
          </w:tcPr>
          <w:p w14:paraId="3C32F7E8">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441" w:type="dxa"/>
            <w:vMerge w:val="continue"/>
            <w:tcBorders>
              <w:left w:val="single" w:color="auto" w:sz="4" w:space="0"/>
              <w:bottom w:val="single" w:color="auto" w:sz="4" w:space="0"/>
              <w:right w:val="single" w:color="auto" w:sz="4" w:space="0"/>
            </w:tcBorders>
            <w:noWrap w:val="0"/>
            <w:vAlign w:val="center"/>
          </w:tcPr>
          <w:p w14:paraId="1C59592C">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912" w:type="dxa"/>
            <w:tcBorders>
              <w:left w:val="single" w:color="auto" w:sz="4" w:space="0"/>
              <w:bottom w:val="single" w:color="auto" w:sz="4" w:space="0"/>
              <w:right w:val="single" w:color="auto" w:sz="4" w:space="0"/>
            </w:tcBorders>
            <w:noWrap w:val="0"/>
            <w:vAlign w:val="center"/>
          </w:tcPr>
          <w:p w14:paraId="016BCC3E">
            <w:pPr>
              <w:widowControl/>
              <w:jc w:val="center"/>
              <w:rPr>
                <w:rFonts w:hint="default" w:ascii="Times New Roman" w:hAnsi="Times New Roman" w:eastAsia="宋体" w:cs="Times New Roman"/>
                <w:color w:val="auto"/>
                <w:spacing w:val="6"/>
                <w:sz w:val="21"/>
                <w:szCs w:val="21"/>
                <w:lang w:val="en-US" w:eastAsia="zh-CN"/>
              </w:rPr>
            </w:pPr>
            <w:r>
              <w:rPr>
                <w:rFonts w:hint="default" w:ascii="Times New Roman" w:hAnsi="Times New Roman" w:eastAsia="宋体" w:cs="Times New Roman"/>
                <w:b/>
                <w:bCs/>
                <w:color w:val="auto"/>
                <w:spacing w:val="6"/>
                <w:sz w:val="21"/>
                <w:szCs w:val="21"/>
                <w:lang w:val="en-US" w:eastAsia="zh-CN"/>
              </w:rPr>
              <w:t>合计</w:t>
            </w:r>
          </w:p>
        </w:tc>
        <w:tc>
          <w:tcPr>
            <w:tcW w:w="1333" w:type="dxa"/>
            <w:vMerge w:val="continue"/>
            <w:tcBorders>
              <w:left w:val="single" w:color="auto" w:sz="4" w:space="0"/>
              <w:bottom w:val="single" w:color="auto" w:sz="4" w:space="0"/>
              <w:right w:val="single" w:color="auto" w:sz="4" w:space="0"/>
            </w:tcBorders>
            <w:noWrap w:val="0"/>
            <w:vAlign w:val="center"/>
          </w:tcPr>
          <w:p w14:paraId="7DF0FC9E">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14" w:type="dxa"/>
            <w:tcBorders>
              <w:top w:val="single" w:color="auto" w:sz="4" w:space="0"/>
              <w:left w:val="single" w:color="auto" w:sz="4" w:space="0"/>
              <w:bottom w:val="single" w:color="auto" w:sz="4" w:space="0"/>
              <w:right w:val="single" w:color="auto" w:sz="4" w:space="0"/>
            </w:tcBorders>
            <w:noWrap w:val="0"/>
            <w:vAlign w:val="center"/>
          </w:tcPr>
          <w:p w14:paraId="7B0129A6">
            <w:pPr>
              <w:keepNext w:val="0"/>
              <w:keepLines w:val="0"/>
              <w:widowControl/>
              <w:suppressLineNumbers w:val="0"/>
              <w:jc w:val="center"/>
              <w:textAlignment w:val="center"/>
              <w:rPr>
                <w:rFonts w:hint="default" w:ascii="Times New Roman" w:hAnsi="Times New Roman" w:eastAsia="宋体" w:cs="Times New Roman"/>
                <w:color w:val="auto"/>
                <w:spacing w:val="6"/>
                <w:sz w:val="21"/>
                <w:szCs w:val="21"/>
                <w:lang w:val="en-US" w:eastAsia="zh-CN"/>
              </w:rPr>
            </w:pPr>
            <w:r>
              <w:rPr>
                <w:rFonts w:hint="default" w:ascii="Times New Roman" w:hAnsi="Times New Roman" w:eastAsia="宋体" w:cs="Times New Roman"/>
                <w:b/>
                <w:bCs/>
                <w:color w:val="auto"/>
                <w:spacing w:val="6"/>
                <w:sz w:val="21"/>
                <w:szCs w:val="21"/>
                <w:lang w:val="en-US" w:eastAsia="zh-CN"/>
              </w:rPr>
              <w:t>10000</w:t>
            </w:r>
          </w:p>
        </w:tc>
        <w:tc>
          <w:tcPr>
            <w:tcW w:w="816" w:type="dxa"/>
            <w:vMerge w:val="continue"/>
            <w:tcBorders>
              <w:left w:val="single" w:color="auto" w:sz="4" w:space="0"/>
              <w:bottom w:val="single" w:color="auto" w:sz="4" w:space="0"/>
              <w:right w:val="single" w:color="auto" w:sz="4" w:space="0"/>
            </w:tcBorders>
            <w:noWrap w:val="0"/>
            <w:vAlign w:val="center"/>
          </w:tcPr>
          <w:p w14:paraId="459345B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098" w:type="dxa"/>
            <w:vMerge w:val="continue"/>
            <w:tcBorders>
              <w:left w:val="single" w:color="auto" w:sz="4" w:space="0"/>
              <w:bottom w:val="single" w:color="auto" w:sz="4" w:space="0"/>
              <w:right w:val="single" w:color="auto" w:sz="4" w:space="0"/>
            </w:tcBorders>
            <w:noWrap w:val="0"/>
            <w:vAlign w:val="center"/>
          </w:tcPr>
          <w:p w14:paraId="0BBF454C">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031" w:type="dxa"/>
            <w:vMerge w:val="continue"/>
            <w:tcBorders>
              <w:left w:val="single" w:color="auto" w:sz="4" w:space="0"/>
              <w:bottom w:val="single" w:color="auto" w:sz="4" w:space="0"/>
              <w:right w:val="single" w:color="auto" w:sz="4" w:space="0"/>
            </w:tcBorders>
            <w:noWrap w:val="0"/>
            <w:vAlign w:val="center"/>
          </w:tcPr>
          <w:p w14:paraId="177816A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777" w:type="dxa"/>
            <w:vMerge w:val="continue"/>
            <w:tcBorders>
              <w:left w:val="single" w:color="auto" w:sz="4" w:space="0"/>
              <w:bottom w:val="single" w:color="auto" w:sz="4" w:space="0"/>
              <w:right w:val="single" w:color="auto" w:sz="4" w:space="0"/>
            </w:tcBorders>
            <w:noWrap w:val="0"/>
            <w:vAlign w:val="center"/>
          </w:tcPr>
          <w:p w14:paraId="2DBF945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c>
          <w:tcPr>
            <w:tcW w:w="1335" w:type="dxa"/>
            <w:vMerge w:val="continue"/>
            <w:tcBorders>
              <w:left w:val="single" w:color="auto" w:sz="4" w:space="0"/>
              <w:bottom w:val="single" w:color="auto" w:sz="4" w:space="0"/>
              <w:right w:val="single" w:color="auto" w:sz="4" w:space="0"/>
            </w:tcBorders>
            <w:noWrap w:val="0"/>
            <w:vAlign w:val="center"/>
          </w:tcPr>
          <w:p w14:paraId="00D0263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pacing w:val="6"/>
                <w:sz w:val="21"/>
                <w:szCs w:val="21"/>
              </w:rPr>
            </w:pPr>
          </w:p>
        </w:tc>
      </w:tr>
    </w:tbl>
    <w:p w14:paraId="7289616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r>
        <w:rPr>
          <w:rFonts w:hint="default" w:ascii="Times New Roman" w:hAnsi="Times New Roman" w:eastAsia="宋体" w:cs="Times New Roman"/>
          <w:b/>
          <w:bCs/>
          <w:color w:val="auto"/>
          <w:spacing w:val="7"/>
          <w:sz w:val="24"/>
          <w:szCs w:val="24"/>
        </w:rPr>
        <w:t>表2建设项目主要原辅材料及燃料信息表</w:t>
      </w:r>
    </w:p>
    <w:tbl>
      <w:tblPr>
        <w:tblStyle w:val="129"/>
        <w:tblW w:w="501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4"/>
        <w:gridCol w:w="739"/>
        <w:gridCol w:w="669"/>
        <w:gridCol w:w="612"/>
        <w:gridCol w:w="242"/>
        <w:gridCol w:w="851"/>
        <w:gridCol w:w="604"/>
        <w:gridCol w:w="138"/>
        <w:gridCol w:w="1247"/>
        <w:gridCol w:w="503"/>
        <w:gridCol w:w="289"/>
        <w:gridCol w:w="1065"/>
        <w:gridCol w:w="1630"/>
        <w:gridCol w:w="230"/>
        <w:gridCol w:w="1104"/>
        <w:gridCol w:w="1343"/>
        <w:gridCol w:w="1045"/>
        <w:gridCol w:w="1133"/>
      </w:tblGrid>
      <w:tr w14:paraId="01AD9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4E35AC1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3309DA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种类</w:t>
            </w: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4F0DCEB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名称</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7F5F7AD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设计年使用量</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659FF48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年最大使用量</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05174EB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计量单位</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329EDF6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有毒有害成分</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696CF9E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有毒有害成分占比（%）</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0862B5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其他信息</w:t>
            </w:r>
          </w:p>
        </w:tc>
      </w:tr>
      <w:tr w14:paraId="48C9A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000" w:type="pct"/>
            <w:gridSpan w:val="18"/>
            <w:tcBorders>
              <w:top w:val="single" w:color="000000" w:sz="4" w:space="0"/>
              <w:left w:val="single" w:color="000000" w:sz="4" w:space="0"/>
              <w:bottom w:val="single" w:color="000000" w:sz="4" w:space="0"/>
              <w:right w:val="single" w:color="000000" w:sz="4" w:space="0"/>
            </w:tcBorders>
            <w:noWrap w:val="0"/>
            <w:vAlign w:val="center"/>
          </w:tcPr>
          <w:p w14:paraId="085C97F2">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原料及辅料</w:t>
            </w:r>
          </w:p>
        </w:tc>
      </w:tr>
      <w:tr w14:paraId="099A4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797FFE3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1</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5795784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原料</w:t>
            </w: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500F76A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0"/>
                <w:sz w:val="21"/>
                <w:szCs w:val="21"/>
                <w:u w:val="none"/>
                <w:shd w:val="clear" w:color="auto" w:fill="auto"/>
                <w:lang w:val="en-US" w:eastAsia="zh-CN" w:bidi="ar"/>
              </w:rPr>
              <w:t>生铁</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44BB1BA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0"/>
                <w:sz w:val="21"/>
                <w:szCs w:val="21"/>
                <w:u w:val="none"/>
                <w:shd w:val="clear" w:color="auto" w:fill="auto"/>
                <w:lang w:val="en-US" w:eastAsia="zh-CN" w:bidi="ar"/>
              </w:rPr>
              <w:t>5200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3858834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0"/>
                <w:sz w:val="21"/>
                <w:szCs w:val="21"/>
                <w:u w:val="none"/>
                <w:shd w:val="clear" w:color="auto" w:fill="auto"/>
                <w:lang w:val="en-US" w:eastAsia="zh-CN" w:bidi="ar"/>
              </w:rPr>
              <w:t>5200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445999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49A63D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7B8F0F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6C9108B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56B5C4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7257B80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2</w:t>
            </w: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BEBD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5F0A98F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0"/>
                <w:sz w:val="21"/>
                <w:szCs w:val="21"/>
                <w:u w:val="none"/>
                <w:shd w:val="clear" w:color="auto" w:fill="auto"/>
                <w:lang w:val="en-US" w:eastAsia="zh-CN" w:bidi="ar"/>
              </w:rPr>
              <w:t>废钢</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590E35C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5200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0409AD0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5200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70EB54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2B8ECC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0CD6244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0F7625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45426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4B83F6F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5</w:t>
            </w:r>
          </w:p>
        </w:tc>
        <w:tc>
          <w:tcPr>
            <w:tcW w:w="263" w:type="pct"/>
            <w:vMerge w:val="restart"/>
            <w:tcBorders>
              <w:top w:val="single" w:color="000000" w:sz="4" w:space="0"/>
              <w:left w:val="single" w:color="000000" w:sz="4" w:space="0"/>
              <w:right w:val="single" w:color="000000" w:sz="4" w:space="0"/>
            </w:tcBorders>
            <w:noWrap w:val="0"/>
            <w:vAlign w:val="center"/>
          </w:tcPr>
          <w:p w14:paraId="6B063FF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辅料</w:t>
            </w: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764DC26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auto"/>
                <w:kern w:val="0"/>
                <w:sz w:val="21"/>
                <w:szCs w:val="21"/>
                <w:u w:val="none"/>
                <w:shd w:val="clear" w:color="auto" w:fill="auto"/>
                <w:lang w:val="en-US" w:eastAsia="zh-CN" w:bidi="ar"/>
              </w:rPr>
              <w:t>石英砂</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2276064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8500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55350BB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8500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4886E1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22D699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42BC38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4947B1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7DEFA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4D1D530F">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6</w:t>
            </w:r>
          </w:p>
        </w:tc>
        <w:tc>
          <w:tcPr>
            <w:tcW w:w="263" w:type="pct"/>
            <w:vMerge w:val="continue"/>
            <w:tcBorders>
              <w:left w:val="single" w:color="000000" w:sz="4" w:space="0"/>
              <w:right w:val="single" w:color="000000" w:sz="4" w:space="0"/>
            </w:tcBorders>
            <w:noWrap w:val="0"/>
            <w:vAlign w:val="center"/>
          </w:tcPr>
          <w:p w14:paraId="0749663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4AD28F1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color w:val="auto"/>
                <w:kern w:val="0"/>
                <w:sz w:val="21"/>
                <w:szCs w:val="21"/>
                <w:u w:val="none"/>
                <w:shd w:val="clear" w:color="auto" w:fill="auto"/>
                <w:lang w:val="en-US" w:eastAsia="zh-CN" w:bidi="ar"/>
              </w:rPr>
              <w:t>覆膜砂</w:t>
            </w:r>
            <w:r>
              <w:rPr>
                <w:rFonts w:hint="default" w:ascii="Times New Roman" w:hAnsi="Times New Roman" w:eastAsia="宋体" w:cs="Times New Roman"/>
                <w:i w:val="0"/>
                <w:color w:val="auto"/>
                <w:kern w:val="0"/>
                <w:sz w:val="21"/>
                <w:szCs w:val="21"/>
                <w:u w:val="none"/>
                <w:shd w:val="clear" w:color="auto" w:fill="auto"/>
                <w:lang w:val="en-US" w:eastAsia="zh-CN" w:bidi="ar"/>
              </w:rPr>
              <w:t>*</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40D8EF1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1150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6AE17FD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1150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7770D68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position w:val="1"/>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678ED5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327A9E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0D77EE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33DBF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5AC43FA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7</w:t>
            </w:r>
          </w:p>
        </w:tc>
        <w:tc>
          <w:tcPr>
            <w:tcW w:w="263" w:type="pct"/>
            <w:vMerge w:val="continue"/>
            <w:tcBorders>
              <w:left w:val="single" w:color="000000" w:sz="4" w:space="0"/>
              <w:right w:val="single" w:color="000000" w:sz="4" w:space="0"/>
            </w:tcBorders>
            <w:noWrap w:val="0"/>
            <w:vAlign w:val="center"/>
          </w:tcPr>
          <w:p w14:paraId="14B4765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3659895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膨润土</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407641B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5</w:t>
            </w:r>
            <w:r>
              <w:rPr>
                <w:rFonts w:hint="eastAsia" w:ascii="Times New Roman" w:hAnsi="Times New Roman" w:eastAsia="宋体" w:cs="Times New Roman"/>
                <w:i w:val="0"/>
                <w:color w:val="auto"/>
                <w:kern w:val="0"/>
                <w:sz w:val="21"/>
                <w:szCs w:val="21"/>
                <w:u w:val="none"/>
                <w:shd w:val="clear" w:color="auto" w:fill="auto"/>
                <w:lang w:val="en-US" w:eastAsia="zh-CN" w:bidi="ar"/>
              </w:rPr>
              <w:t>0</w:t>
            </w:r>
            <w:r>
              <w:rPr>
                <w:rFonts w:hint="default" w:ascii="Times New Roman" w:hAnsi="Times New Roman" w:eastAsia="宋体" w:cs="Times New Roman"/>
                <w:i w:val="0"/>
                <w:color w:val="auto"/>
                <w:kern w:val="0"/>
                <w:sz w:val="21"/>
                <w:szCs w:val="21"/>
                <w:u w:val="none"/>
                <w:shd w:val="clear" w:color="auto" w:fill="auto"/>
                <w:lang w:val="en-US" w:eastAsia="zh-CN" w:bidi="ar"/>
              </w:rPr>
              <w:t>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4958A8C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5</w:t>
            </w:r>
            <w:r>
              <w:rPr>
                <w:rFonts w:hint="eastAsia" w:ascii="Times New Roman" w:hAnsi="Times New Roman" w:eastAsia="宋体" w:cs="Times New Roman"/>
                <w:i w:val="0"/>
                <w:color w:val="auto"/>
                <w:kern w:val="0"/>
                <w:sz w:val="21"/>
                <w:szCs w:val="21"/>
                <w:u w:val="none"/>
                <w:shd w:val="clear" w:color="auto" w:fill="auto"/>
                <w:lang w:val="en-US" w:eastAsia="zh-CN" w:bidi="ar"/>
              </w:rPr>
              <w:t>0</w:t>
            </w:r>
            <w:r>
              <w:rPr>
                <w:rFonts w:hint="default" w:ascii="Times New Roman" w:hAnsi="Times New Roman" w:eastAsia="宋体" w:cs="Times New Roman"/>
                <w:i w:val="0"/>
                <w:color w:val="auto"/>
                <w:kern w:val="0"/>
                <w:sz w:val="21"/>
                <w:szCs w:val="21"/>
                <w:u w:val="none"/>
                <w:shd w:val="clear" w:color="auto" w:fill="auto"/>
                <w:lang w:val="en-US" w:eastAsia="zh-CN" w:bidi="ar"/>
              </w:rPr>
              <w:t>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4A46B8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position w:val="1"/>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21CE23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464073E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vMerge w:val="restart"/>
            <w:tcBorders>
              <w:top w:val="single" w:color="000000" w:sz="4" w:space="0"/>
              <w:left w:val="single" w:color="000000" w:sz="4" w:space="0"/>
              <w:right w:val="single" w:color="000000" w:sz="4" w:space="0"/>
            </w:tcBorders>
            <w:noWrap w:val="0"/>
            <w:vAlign w:val="center"/>
          </w:tcPr>
          <w:p w14:paraId="636FBED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用于</w:t>
            </w:r>
            <w:r>
              <w:rPr>
                <w:rFonts w:hint="eastAsia" w:ascii="Times New Roman" w:hAnsi="Times New Roman" w:eastAsia="宋体" w:cs="Times New Roman"/>
                <w:color w:val="auto"/>
                <w:sz w:val="21"/>
                <w:szCs w:val="21"/>
                <w:lang w:val="en-US" w:eastAsia="zh-CN"/>
              </w:rPr>
              <w:t>现有项目</w:t>
            </w:r>
            <w:r>
              <w:rPr>
                <w:rFonts w:hint="default" w:ascii="Times New Roman" w:hAnsi="Times New Roman" w:eastAsia="宋体" w:cs="Times New Roman"/>
                <w:color w:val="auto"/>
                <w:sz w:val="21"/>
                <w:szCs w:val="21"/>
                <w:lang w:val="en-US" w:eastAsia="zh-CN"/>
              </w:rPr>
              <w:t>粘土砂造型</w:t>
            </w:r>
          </w:p>
        </w:tc>
      </w:tr>
      <w:tr w14:paraId="612E8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2542D7C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8</w:t>
            </w:r>
          </w:p>
        </w:tc>
        <w:tc>
          <w:tcPr>
            <w:tcW w:w="263" w:type="pct"/>
            <w:vMerge w:val="continue"/>
            <w:tcBorders>
              <w:left w:val="single" w:color="000000" w:sz="4" w:space="0"/>
              <w:right w:val="single" w:color="000000" w:sz="4" w:space="0"/>
            </w:tcBorders>
            <w:noWrap w:val="0"/>
            <w:vAlign w:val="center"/>
          </w:tcPr>
          <w:p w14:paraId="6DA43CB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45702D3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highlight w:val="none"/>
                <w:u w:val="none"/>
                <w:shd w:val="clear" w:color="auto" w:fill="auto"/>
                <w:lang w:val="en-US" w:eastAsia="zh-CN" w:bidi="ar"/>
              </w:rPr>
              <w:t>煤粉</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1077649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4</w:t>
            </w:r>
            <w:r>
              <w:rPr>
                <w:rFonts w:hint="eastAsia" w:ascii="Times New Roman" w:hAnsi="Times New Roman" w:eastAsia="宋体" w:cs="Times New Roman"/>
                <w:i w:val="0"/>
                <w:color w:val="auto"/>
                <w:kern w:val="0"/>
                <w:sz w:val="21"/>
                <w:szCs w:val="21"/>
                <w:u w:val="none"/>
                <w:shd w:val="clear" w:color="auto" w:fill="auto"/>
                <w:lang w:val="en-US" w:eastAsia="zh-CN" w:bidi="ar"/>
              </w:rPr>
              <w:t>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1C214B6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4</w:t>
            </w:r>
            <w:r>
              <w:rPr>
                <w:rFonts w:hint="eastAsia" w:ascii="Times New Roman" w:hAnsi="Times New Roman" w:eastAsia="宋体" w:cs="Times New Roman"/>
                <w:i w:val="0"/>
                <w:color w:val="auto"/>
                <w:kern w:val="0"/>
                <w:sz w:val="21"/>
                <w:szCs w:val="21"/>
                <w:u w:val="none"/>
                <w:shd w:val="clear" w:color="auto" w:fill="auto"/>
                <w:lang w:val="en-US" w:eastAsia="zh-CN" w:bidi="ar"/>
              </w:rPr>
              <w:t>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4FE633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position w:val="1"/>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0FE8BC0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05424C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vMerge w:val="continue"/>
            <w:tcBorders>
              <w:left w:val="single" w:color="000000" w:sz="4" w:space="0"/>
              <w:bottom w:val="single" w:color="000000" w:sz="4" w:space="0"/>
              <w:right w:val="single" w:color="000000" w:sz="4" w:space="0"/>
            </w:tcBorders>
            <w:noWrap w:val="0"/>
            <w:vAlign w:val="center"/>
          </w:tcPr>
          <w:p w14:paraId="2F1D8C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r>
      <w:tr w14:paraId="29AAC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4C34932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9</w:t>
            </w:r>
          </w:p>
        </w:tc>
        <w:tc>
          <w:tcPr>
            <w:tcW w:w="263" w:type="pct"/>
            <w:vMerge w:val="continue"/>
            <w:tcBorders>
              <w:left w:val="single" w:color="000000" w:sz="4" w:space="0"/>
              <w:right w:val="single" w:color="000000" w:sz="4" w:space="0"/>
            </w:tcBorders>
            <w:noWrap w:val="0"/>
            <w:vAlign w:val="center"/>
          </w:tcPr>
          <w:p w14:paraId="0122B1D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1380CF1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铁丸</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43116EC8">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110</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49F3EA6B">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110</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52824C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position w:val="1"/>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254961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44A1AEB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1DDB89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40190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43F2E4C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10</w:t>
            </w:r>
          </w:p>
        </w:tc>
        <w:tc>
          <w:tcPr>
            <w:tcW w:w="263" w:type="pct"/>
            <w:vMerge w:val="continue"/>
            <w:tcBorders>
              <w:left w:val="single" w:color="000000" w:sz="4" w:space="0"/>
              <w:right w:val="single" w:color="000000" w:sz="4" w:space="0"/>
            </w:tcBorders>
            <w:noWrap w:val="0"/>
            <w:vAlign w:val="center"/>
          </w:tcPr>
          <w:p w14:paraId="226C60B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41E318E4">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机油</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27202D85">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316FDA3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6302BA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position w:val="1"/>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01C95B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448DEA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0A9BBE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0E339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0DB3643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11</w:t>
            </w:r>
          </w:p>
        </w:tc>
        <w:tc>
          <w:tcPr>
            <w:tcW w:w="263" w:type="pct"/>
            <w:vMerge w:val="continue"/>
            <w:tcBorders>
              <w:left w:val="single" w:color="000000" w:sz="4" w:space="0"/>
              <w:right w:val="single" w:color="000000" w:sz="4" w:space="0"/>
            </w:tcBorders>
            <w:noWrap w:val="0"/>
            <w:vAlign w:val="center"/>
          </w:tcPr>
          <w:p w14:paraId="66A87F0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252ACA7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kern w:val="0"/>
                <w:sz w:val="21"/>
                <w:szCs w:val="21"/>
                <w:u w:val="none"/>
                <w:shd w:val="clear" w:color="auto" w:fill="auto"/>
                <w:lang w:val="en-US" w:eastAsia="zh-CN" w:bidi="ar"/>
              </w:rPr>
              <w:t>润滑油</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15437FEA">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6150B95D">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default" w:ascii="Times New Roman" w:hAnsi="Times New Roman" w:eastAsia="宋体" w:cs="Times New Roman"/>
                <w:i w:val="0"/>
                <w:color w:val="auto"/>
                <w:kern w:val="0"/>
                <w:sz w:val="21"/>
                <w:szCs w:val="21"/>
                <w:u w:val="none"/>
                <w:shd w:val="clear" w:color="auto" w:fill="auto"/>
                <w:lang w:val="en-US" w:eastAsia="zh-CN" w:bidi="ar"/>
              </w:rPr>
              <w:t>1.1</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10E5448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position w:val="1"/>
                <w:sz w:val="21"/>
                <w:szCs w:val="21"/>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5EEE100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27C21B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45CBAE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r>
      <w:tr w14:paraId="2FDB0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676E35A2">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eastAsia" w:ascii="Times New Roman" w:hAnsi="Times New Roman" w:eastAsia="宋体" w:cs="Times New Roman"/>
                <w:i w:val="0"/>
                <w:color w:val="auto"/>
                <w:kern w:val="0"/>
                <w:sz w:val="21"/>
                <w:szCs w:val="21"/>
                <w:u w:val="none"/>
                <w:shd w:val="clear" w:color="auto" w:fill="auto"/>
                <w:lang w:val="en-US" w:eastAsia="zh-CN" w:bidi="ar"/>
              </w:rPr>
              <w:t>12</w:t>
            </w:r>
          </w:p>
        </w:tc>
        <w:tc>
          <w:tcPr>
            <w:tcW w:w="263" w:type="pct"/>
            <w:vMerge w:val="continue"/>
            <w:tcBorders>
              <w:left w:val="single" w:color="000000" w:sz="4" w:space="0"/>
              <w:right w:val="single" w:color="000000" w:sz="4" w:space="0"/>
            </w:tcBorders>
            <w:noWrap w:val="0"/>
            <w:vAlign w:val="center"/>
          </w:tcPr>
          <w:p w14:paraId="45DA297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24A9788F">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除渣剂</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36A0F13C">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1.7</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691EE82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1.7</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2F6C7F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kern w:val="2"/>
                <w:position w:val="1"/>
                <w:sz w:val="21"/>
                <w:szCs w:val="21"/>
                <w:lang w:val="en-US" w:eastAsia="zh-CN" w:bidi="ar-SA"/>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74A2BB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3E3ADA7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6614DB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6C2CC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4655F9E9">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shd w:val="clear" w:color="auto" w:fill="auto"/>
                <w:lang w:val="en-US" w:eastAsia="zh-CN" w:bidi="ar"/>
              </w:rPr>
            </w:pPr>
            <w:r>
              <w:rPr>
                <w:rFonts w:hint="eastAsia" w:ascii="Times New Roman" w:hAnsi="Times New Roman" w:eastAsia="宋体" w:cs="Times New Roman"/>
                <w:i w:val="0"/>
                <w:color w:val="auto"/>
                <w:kern w:val="0"/>
                <w:sz w:val="21"/>
                <w:szCs w:val="21"/>
                <w:u w:val="none"/>
                <w:shd w:val="clear" w:color="auto" w:fill="auto"/>
                <w:lang w:val="en-US" w:eastAsia="zh-CN" w:bidi="ar"/>
              </w:rPr>
              <w:t>13</w:t>
            </w:r>
          </w:p>
        </w:tc>
        <w:tc>
          <w:tcPr>
            <w:tcW w:w="263" w:type="pct"/>
            <w:vMerge w:val="continue"/>
            <w:tcBorders>
              <w:left w:val="single" w:color="000000" w:sz="4" w:space="0"/>
              <w:right w:val="single" w:color="000000" w:sz="4" w:space="0"/>
            </w:tcBorders>
            <w:noWrap w:val="0"/>
            <w:vAlign w:val="center"/>
          </w:tcPr>
          <w:p w14:paraId="3412092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56" w:type="pct"/>
            <w:gridSpan w:val="2"/>
            <w:tcBorders>
              <w:top w:val="single" w:color="000000" w:sz="4" w:space="0"/>
              <w:left w:val="single" w:color="000000" w:sz="4" w:space="0"/>
              <w:bottom w:val="single" w:color="000000" w:sz="4" w:space="0"/>
              <w:right w:val="single" w:color="000000" w:sz="4" w:space="0"/>
            </w:tcBorders>
            <w:noWrap w:val="0"/>
            <w:vAlign w:val="center"/>
          </w:tcPr>
          <w:p w14:paraId="5F11F744">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脱模剂</w:t>
            </w:r>
          </w:p>
        </w:tc>
        <w:tc>
          <w:tcPr>
            <w:tcW w:w="604" w:type="pct"/>
            <w:gridSpan w:val="3"/>
            <w:tcBorders>
              <w:top w:val="single" w:color="000000" w:sz="4" w:space="0"/>
              <w:left w:val="single" w:color="000000" w:sz="4" w:space="0"/>
              <w:bottom w:val="single" w:color="000000" w:sz="4" w:space="0"/>
              <w:right w:val="single" w:color="000000" w:sz="4" w:space="0"/>
            </w:tcBorders>
            <w:noWrap w:val="0"/>
            <w:vAlign w:val="center"/>
          </w:tcPr>
          <w:p w14:paraId="6574C440">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0.3</w:t>
            </w:r>
          </w:p>
        </w:tc>
        <w:tc>
          <w:tcPr>
            <w:tcW w:w="672" w:type="pct"/>
            <w:gridSpan w:val="3"/>
            <w:tcBorders>
              <w:top w:val="single" w:color="000000" w:sz="4" w:space="0"/>
              <w:left w:val="single" w:color="000000" w:sz="4" w:space="0"/>
              <w:bottom w:val="single" w:color="000000" w:sz="4" w:space="0"/>
              <w:right w:val="single" w:color="000000" w:sz="4" w:space="0"/>
            </w:tcBorders>
            <w:noWrap w:val="0"/>
            <w:vAlign w:val="center"/>
          </w:tcPr>
          <w:p w14:paraId="6467D993">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highlight w:val="none"/>
                <w:u w:val="none"/>
                <w:shd w:val="clear" w:color="auto" w:fill="auto"/>
                <w:lang w:val="en-US" w:eastAsia="zh-CN" w:bidi="ar"/>
              </w:rPr>
            </w:pPr>
            <w:r>
              <w:rPr>
                <w:rFonts w:hint="eastAsia" w:ascii="Times New Roman" w:hAnsi="Times New Roman" w:eastAsia="宋体" w:cs="Times New Roman"/>
                <w:i w:val="0"/>
                <w:color w:val="auto"/>
                <w:kern w:val="0"/>
                <w:sz w:val="21"/>
                <w:szCs w:val="21"/>
                <w:highlight w:val="none"/>
                <w:u w:val="none"/>
                <w:shd w:val="clear" w:color="auto" w:fill="auto"/>
                <w:lang w:val="en-US" w:eastAsia="zh-CN" w:bidi="ar"/>
              </w:rPr>
              <w:t>0.3</w:t>
            </w:r>
          </w:p>
        </w:tc>
        <w:tc>
          <w:tcPr>
            <w:tcW w:w="482" w:type="pct"/>
            <w:gridSpan w:val="2"/>
            <w:tcBorders>
              <w:top w:val="single" w:color="000000" w:sz="4" w:space="0"/>
              <w:left w:val="single" w:color="000000" w:sz="4" w:space="0"/>
              <w:bottom w:val="single" w:color="000000" w:sz="4" w:space="0"/>
              <w:right w:val="single" w:color="000000" w:sz="4" w:space="0"/>
            </w:tcBorders>
            <w:noWrap w:val="0"/>
            <w:vAlign w:val="center"/>
          </w:tcPr>
          <w:p w14:paraId="4E5CD7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kern w:val="2"/>
                <w:position w:val="1"/>
                <w:sz w:val="21"/>
                <w:szCs w:val="21"/>
                <w:lang w:val="en-US" w:eastAsia="zh-CN" w:bidi="ar-SA"/>
              </w:rPr>
            </w:pPr>
            <w:r>
              <w:rPr>
                <w:rFonts w:hint="default" w:ascii="Times New Roman" w:hAnsi="Times New Roman" w:eastAsia="宋体" w:cs="Times New Roman"/>
                <w:color w:val="auto"/>
                <w:spacing w:val="1"/>
                <w:position w:val="1"/>
                <w:sz w:val="21"/>
                <w:szCs w:val="21"/>
              </w:rPr>
              <w:t>t/a</w:t>
            </w:r>
          </w:p>
        </w:tc>
        <w:tc>
          <w:tcPr>
            <w:tcW w:w="662" w:type="pct"/>
            <w:gridSpan w:val="2"/>
            <w:tcBorders>
              <w:top w:val="single" w:color="000000" w:sz="4" w:space="0"/>
              <w:left w:val="single" w:color="000000" w:sz="4" w:space="0"/>
              <w:bottom w:val="single" w:color="000000" w:sz="4" w:space="0"/>
              <w:right w:val="single" w:color="000000" w:sz="4" w:space="0"/>
            </w:tcBorders>
            <w:noWrap w:val="0"/>
            <w:vAlign w:val="center"/>
          </w:tcPr>
          <w:p w14:paraId="5DC3329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871" w:type="pct"/>
            <w:gridSpan w:val="2"/>
            <w:tcBorders>
              <w:top w:val="single" w:color="000000" w:sz="4" w:space="0"/>
              <w:left w:val="single" w:color="000000" w:sz="4" w:space="0"/>
              <w:bottom w:val="single" w:color="000000" w:sz="4" w:space="0"/>
              <w:right w:val="single" w:color="000000" w:sz="4" w:space="0"/>
            </w:tcBorders>
            <w:noWrap w:val="0"/>
            <w:vAlign w:val="center"/>
          </w:tcPr>
          <w:p w14:paraId="3018382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70" w:type="pct"/>
            <w:gridSpan w:val="2"/>
            <w:tcBorders>
              <w:top w:val="single" w:color="000000" w:sz="4" w:space="0"/>
              <w:left w:val="single" w:color="000000" w:sz="4" w:space="0"/>
              <w:bottom w:val="single" w:color="000000" w:sz="4" w:space="0"/>
              <w:right w:val="single" w:color="000000" w:sz="4" w:space="0"/>
            </w:tcBorders>
            <w:noWrap w:val="0"/>
            <w:vAlign w:val="center"/>
          </w:tcPr>
          <w:p w14:paraId="4F67E0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3DA2D7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000" w:type="pct"/>
            <w:gridSpan w:val="18"/>
            <w:tcBorders>
              <w:top w:val="single" w:color="000000" w:sz="4" w:space="0"/>
              <w:left w:val="single" w:color="000000" w:sz="4" w:space="0"/>
              <w:bottom w:val="single" w:color="000000" w:sz="4" w:space="0"/>
              <w:right w:val="single" w:color="000000" w:sz="4" w:space="0"/>
            </w:tcBorders>
            <w:noWrap w:val="0"/>
            <w:vAlign w:val="center"/>
          </w:tcPr>
          <w:p w14:paraId="12AB1364">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燃料</w:t>
            </w:r>
          </w:p>
        </w:tc>
      </w:tr>
      <w:tr w14:paraId="4FCEA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6C65D82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501" w:type="pct"/>
            <w:gridSpan w:val="2"/>
            <w:tcBorders>
              <w:top w:val="single" w:color="000000" w:sz="4" w:space="0"/>
              <w:left w:val="single" w:color="000000" w:sz="4" w:space="0"/>
              <w:bottom w:val="single" w:color="000000" w:sz="4" w:space="0"/>
              <w:right w:val="single" w:color="000000" w:sz="4" w:space="0"/>
            </w:tcBorders>
            <w:noWrap w:val="0"/>
            <w:vAlign w:val="center"/>
          </w:tcPr>
          <w:p w14:paraId="7447ACE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燃料名称</w:t>
            </w:r>
          </w:p>
        </w:tc>
        <w:tc>
          <w:tcPr>
            <w:tcW w:w="304" w:type="pct"/>
            <w:gridSpan w:val="2"/>
            <w:tcBorders>
              <w:top w:val="single" w:color="000000" w:sz="4" w:space="0"/>
              <w:left w:val="single" w:color="000000" w:sz="4" w:space="0"/>
              <w:bottom w:val="single" w:color="000000" w:sz="4" w:space="0"/>
              <w:right w:val="single" w:color="000000" w:sz="4" w:space="0"/>
            </w:tcBorders>
            <w:noWrap w:val="0"/>
            <w:vAlign w:val="center"/>
          </w:tcPr>
          <w:p w14:paraId="220243F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设计年使用量</w:t>
            </w:r>
          </w:p>
        </w:tc>
        <w:tc>
          <w:tcPr>
            <w:tcW w:w="303" w:type="pct"/>
            <w:tcBorders>
              <w:top w:val="single" w:color="000000" w:sz="4" w:space="0"/>
              <w:left w:val="single" w:color="000000" w:sz="4" w:space="0"/>
              <w:bottom w:val="single" w:color="000000" w:sz="4" w:space="0"/>
              <w:right w:val="single" w:color="000000" w:sz="4" w:space="0"/>
            </w:tcBorders>
            <w:noWrap w:val="0"/>
            <w:vAlign w:val="center"/>
          </w:tcPr>
          <w:p w14:paraId="732159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年最大使用量</w:t>
            </w:r>
          </w:p>
        </w:tc>
        <w:tc>
          <w:tcPr>
            <w:tcW w:w="264" w:type="pct"/>
            <w:gridSpan w:val="2"/>
            <w:tcBorders>
              <w:top w:val="single" w:color="000000" w:sz="4" w:space="0"/>
              <w:left w:val="single" w:color="000000" w:sz="4" w:space="0"/>
              <w:bottom w:val="single" w:color="000000" w:sz="4" w:space="0"/>
              <w:right w:val="single" w:color="000000" w:sz="4" w:space="0"/>
            </w:tcBorders>
            <w:noWrap w:val="0"/>
            <w:vAlign w:val="center"/>
          </w:tcPr>
          <w:p w14:paraId="163A1E8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计量单位</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1D275D7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灰分</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w:t>
            </w:r>
          </w:p>
        </w:tc>
        <w:tc>
          <w:tcPr>
            <w:tcW w:w="282" w:type="pct"/>
            <w:gridSpan w:val="2"/>
            <w:tcBorders>
              <w:top w:val="single" w:color="000000" w:sz="4" w:space="0"/>
              <w:left w:val="single" w:color="000000" w:sz="4" w:space="0"/>
              <w:bottom w:val="single" w:color="000000" w:sz="4" w:space="0"/>
              <w:right w:val="single" w:color="000000" w:sz="4" w:space="0"/>
            </w:tcBorders>
            <w:noWrap w:val="0"/>
            <w:vAlign w:val="center"/>
          </w:tcPr>
          <w:p w14:paraId="13A6DA6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硫分</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w:t>
            </w: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0822FE9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挥发分</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w:t>
            </w: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142F4E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低位热值（（kJ/kg））</w:t>
            </w:r>
          </w:p>
        </w:tc>
        <w:tc>
          <w:tcPr>
            <w:tcW w:w="475" w:type="pct"/>
            <w:gridSpan w:val="2"/>
            <w:tcBorders>
              <w:top w:val="single" w:color="000000" w:sz="4" w:space="0"/>
              <w:left w:val="single" w:color="000000" w:sz="4" w:space="0"/>
              <w:bottom w:val="single" w:color="000000" w:sz="4" w:space="0"/>
              <w:right w:val="single" w:color="000000" w:sz="4" w:space="0"/>
            </w:tcBorders>
            <w:noWrap w:val="0"/>
            <w:vAlign w:val="center"/>
          </w:tcPr>
          <w:p w14:paraId="1FAAFF4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有毒有害物质</w:t>
            </w:r>
          </w:p>
        </w:tc>
        <w:tc>
          <w:tcPr>
            <w:tcW w:w="850" w:type="pct"/>
            <w:gridSpan w:val="2"/>
            <w:tcBorders>
              <w:top w:val="single" w:color="000000" w:sz="4" w:space="0"/>
              <w:left w:val="single" w:color="000000" w:sz="4" w:space="0"/>
              <w:bottom w:val="single" w:color="000000" w:sz="4" w:space="0"/>
              <w:right w:val="single" w:color="000000" w:sz="4" w:space="0"/>
            </w:tcBorders>
            <w:noWrap w:val="0"/>
            <w:vAlign w:val="center"/>
          </w:tcPr>
          <w:p w14:paraId="39883E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有毒有害物质成分占比</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088856E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其他信息</w:t>
            </w:r>
          </w:p>
        </w:tc>
      </w:tr>
      <w:tr w14:paraId="4770E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72EA27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501" w:type="pct"/>
            <w:gridSpan w:val="2"/>
            <w:tcBorders>
              <w:top w:val="single" w:color="000000" w:sz="4" w:space="0"/>
              <w:left w:val="single" w:color="000000" w:sz="4" w:space="0"/>
              <w:bottom w:val="single" w:color="000000" w:sz="4" w:space="0"/>
              <w:right w:val="single" w:color="000000" w:sz="4" w:space="0"/>
            </w:tcBorders>
            <w:noWrap w:val="0"/>
            <w:vAlign w:val="center"/>
          </w:tcPr>
          <w:p w14:paraId="73EC800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304" w:type="pct"/>
            <w:gridSpan w:val="2"/>
            <w:tcBorders>
              <w:top w:val="single" w:color="000000" w:sz="4" w:space="0"/>
              <w:left w:val="single" w:color="000000" w:sz="4" w:space="0"/>
              <w:bottom w:val="single" w:color="000000" w:sz="4" w:space="0"/>
              <w:right w:val="single" w:color="000000" w:sz="4" w:space="0"/>
            </w:tcBorders>
            <w:noWrap w:val="0"/>
            <w:vAlign w:val="center"/>
          </w:tcPr>
          <w:p w14:paraId="367D47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303" w:type="pct"/>
            <w:tcBorders>
              <w:top w:val="single" w:color="000000" w:sz="4" w:space="0"/>
              <w:left w:val="single" w:color="000000" w:sz="4" w:space="0"/>
              <w:bottom w:val="single" w:color="000000" w:sz="4" w:space="0"/>
              <w:right w:val="single" w:color="000000" w:sz="4" w:space="0"/>
            </w:tcBorders>
            <w:noWrap w:val="0"/>
            <w:vAlign w:val="center"/>
          </w:tcPr>
          <w:p w14:paraId="6E1D2C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264" w:type="pct"/>
            <w:gridSpan w:val="2"/>
            <w:tcBorders>
              <w:top w:val="single" w:color="000000" w:sz="4" w:space="0"/>
              <w:left w:val="single" w:color="000000" w:sz="4" w:space="0"/>
              <w:bottom w:val="single" w:color="000000" w:sz="4" w:space="0"/>
              <w:right w:val="single" w:color="000000" w:sz="4" w:space="0"/>
            </w:tcBorders>
            <w:noWrap w:val="0"/>
            <w:vAlign w:val="center"/>
          </w:tcPr>
          <w:p w14:paraId="0D7011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1A7B4B2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282" w:type="pct"/>
            <w:gridSpan w:val="2"/>
            <w:tcBorders>
              <w:top w:val="single" w:color="000000" w:sz="4" w:space="0"/>
              <w:left w:val="single" w:color="000000" w:sz="4" w:space="0"/>
              <w:bottom w:val="single" w:color="000000" w:sz="4" w:space="0"/>
              <w:right w:val="single" w:color="000000" w:sz="4" w:space="0"/>
            </w:tcBorders>
            <w:noWrap w:val="0"/>
            <w:vAlign w:val="center"/>
          </w:tcPr>
          <w:p w14:paraId="45AC1C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090A3F5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19A66E1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475" w:type="pct"/>
            <w:gridSpan w:val="2"/>
            <w:tcBorders>
              <w:top w:val="single" w:color="000000" w:sz="4" w:space="0"/>
              <w:left w:val="single" w:color="000000" w:sz="4" w:space="0"/>
              <w:bottom w:val="single" w:color="000000" w:sz="4" w:space="0"/>
              <w:right w:val="single" w:color="000000" w:sz="4" w:space="0"/>
            </w:tcBorders>
            <w:noWrap w:val="0"/>
            <w:vAlign w:val="center"/>
          </w:tcPr>
          <w:p w14:paraId="2FFEF9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850" w:type="pct"/>
            <w:gridSpan w:val="2"/>
            <w:tcBorders>
              <w:top w:val="single" w:color="000000" w:sz="4" w:space="0"/>
              <w:left w:val="single" w:color="000000" w:sz="4" w:space="0"/>
              <w:bottom w:val="single" w:color="000000" w:sz="4" w:space="0"/>
              <w:right w:val="single" w:color="000000" w:sz="4" w:space="0"/>
            </w:tcBorders>
            <w:noWrap w:val="0"/>
            <w:vAlign w:val="center"/>
          </w:tcPr>
          <w:p w14:paraId="7D155C5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BD309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r>
      <w:tr w14:paraId="6959C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15" w:type="pct"/>
            <w:tcBorders>
              <w:top w:val="single" w:color="000000" w:sz="4" w:space="0"/>
              <w:left w:val="single" w:color="000000" w:sz="4" w:space="0"/>
              <w:bottom w:val="single" w:color="000000" w:sz="4" w:space="0"/>
              <w:right w:val="single" w:color="000000" w:sz="4" w:space="0"/>
            </w:tcBorders>
            <w:noWrap w:val="0"/>
            <w:vAlign w:val="center"/>
          </w:tcPr>
          <w:p w14:paraId="25093A2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501" w:type="pct"/>
            <w:gridSpan w:val="2"/>
            <w:tcBorders>
              <w:top w:val="single" w:color="000000" w:sz="4" w:space="0"/>
              <w:left w:val="single" w:color="000000" w:sz="4" w:space="0"/>
              <w:bottom w:val="single" w:color="000000" w:sz="4" w:space="0"/>
              <w:right w:val="single" w:color="000000" w:sz="4" w:space="0"/>
            </w:tcBorders>
            <w:noWrap w:val="0"/>
            <w:vAlign w:val="center"/>
          </w:tcPr>
          <w:p w14:paraId="007D0C4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304" w:type="pct"/>
            <w:gridSpan w:val="2"/>
            <w:tcBorders>
              <w:top w:val="single" w:color="000000" w:sz="4" w:space="0"/>
              <w:left w:val="single" w:color="000000" w:sz="4" w:space="0"/>
              <w:bottom w:val="single" w:color="000000" w:sz="4" w:space="0"/>
              <w:right w:val="single" w:color="000000" w:sz="4" w:space="0"/>
            </w:tcBorders>
            <w:noWrap w:val="0"/>
            <w:vAlign w:val="center"/>
          </w:tcPr>
          <w:p w14:paraId="734D0B7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303" w:type="pct"/>
            <w:tcBorders>
              <w:top w:val="single" w:color="000000" w:sz="4" w:space="0"/>
              <w:left w:val="single" w:color="000000" w:sz="4" w:space="0"/>
              <w:bottom w:val="single" w:color="000000" w:sz="4" w:space="0"/>
              <w:right w:val="single" w:color="000000" w:sz="4" w:space="0"/>
            </w:tcBorders>
            <w:noWrap w:val="0"/>
            <w:vAlign w:val="center"/>
          </w:tcPr>
          <w:p w14:paraId="41E64A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264" w:type="pct"/>
            <w:gridSpan w:val="2"/>
            <w:tcBorders>
              <w:top w:val="single" w:color="000000" w:sz="4" w:space="0"/>
              <w:left w:val="single" w:color="000000" w:sz="4" w:space="0"/>
              <w:bottom w:val="single" w:color="000000" w:sz="4" w:space="0"/>
              <w:right w:val="single" w:color="000000" w:sz="4" w:space="0"/>
            </w:tcBorders>
            <w:noWrap w:val="0"/>
            <w:vAlign w:val="center"/>
          </w:tcPr>
          <w:p w14:paraId="5A6D653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17735CA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282" w:type="pct"/>
            <w:gridSpan w:val="2"/>
            <w:tcBorders>
              <w:top w:val="single" w:color="000000" w:sz="4" w:space="0"/>
              <w:left w:val="single" w:color="000000" w:sz="4" w:space="0"/>
              <w:bottom w:val="single" w:color="000000" w:sz="4" w:space="0"/>
              <w:right w:val="single" w:color="000000" w:sz="4" w:space="0"/>
            </w:tcBorders>
            <w:noWrap w:val="0"/>
            <w:vAlign w:val="center"/>
          </w:tcPr>
          <w:p w14:paraId="4B073B7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0D9FD84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580" w:type="pct"/>
            <w:tcBorders>
              <w:top w:val="single" w:color="000000" w:sz="4" w:space="0"/>
              <w:left w:val="single" w:color="000000" w:sz="4" w:space="0"/>
              <w:bottom w:val="single" w:color="000000" w:sz="4" w:space="0"/>
              <w:right w:val="single" w:color="000000" w:sz="4" w:space="0"/>
            </w:tcBorders>
            <w:noWrap w:val="0"/>
            <w:vAlign w:val="center"/>
          </w:tcPr>
          <w:p w14:paraId="3AD135F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475" w:type="pct"/>
            <w:gridSpan w:val="2"/>
            <w:tcBorders>
              <w:top w:val="single" w:color="000000" w:sz="4" w:space="0"/>
              <w:left w:val="single" w:color="000000" w:sz="4" w:space="0"/>
              <w:bottom w:val="single" w:color="000000" w:sz="4" w:space="0"/>
              <w:right w:val="single" w:color="000000" w:sz="4" w:space="0"/>
            </w:tcBorders>
            <w:noWrap w:val="0"/>
            <w:vAlign w:val="center"/>
          </w:tcPr>
          <w:p w14:paraId="22A2098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850" w:type="pct"/>
            <w:gridSpan w:val="2"/>
            <w:tcBorders>
              <w:top w:val="single" w:color="000000" w:sz="4" w:space="0"/>
              <w:left w:val="single" w:color="000000" w:sz="4" w:space="0"/>
              <w:bottom w:val="single" w:color="000000" w:sz="4" w:space="0"/>
              <w:right w:val="single" w:color="000000" w:sz="4" w:space="0"/>
            </w:tcBorders>
            <w:noWrap w:val="0"/>
            <w:vAlign w:val="center"/>
          </w:tcPr>
          <w:p w14:paraId="3A97708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8C6EDC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bl>
    <w:p w14:paraId="5273352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p>
    <w:p w14:paraId="0320D63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p>
    <w:p w14:paraId="05B81FE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p>
    <w:p w14:paraId="1469C8D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p>
    <w:p w14:paraId="357B0D0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rPr>
      </w:pPr>
      <w:r>
        <w:rPr>
          <w:rFonts w:hint="default" w:ascii="Times New Roman" w:hAnsi="Times New Roman" w:eastAsia="宋体" w:cs="Times New Roman"/>
          <w:b/>
          <w:bCs/>
          <w:color w:val="auto"/>
          <w:spacing w:val="7"/>
          <w:sz w:val="24"/>
          <w:szCs w:val="24"/>
        </w:rPr>
        <w:t>表3建设项目主要生产设施一览表</w:t>
      </w:r>
    </w:p>
    <w:tbl>
      <w:tblPr>
        <w:tblStyle w:val="129"/>
        <w:tblW w:w="500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04"/>
        <w:gridCol w:w="855"/>
        <w:gridCol w:w="1049"/>
        <w:gridCol w:w="976"/>
        <w:gridCol w:w="2101"/>
        <w:gridCol w:w="1879"/>
        <w:gridCol w:w="1125"/>
        <w:gridCol w:w="1105"/>
        <w:gridCol w:w="844"/>
        <w:gridCol w:w="2146"/>
        <w:gridCol w:w="709"/>
        <w:gridCol w:w="962"/>
      </w:tblGrid>
      <w:tr w14:paraId="2D8308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8" w:type="pct"/>
            <w:vMerge w:val="restart"/>
            <w:tcBorders>
              <w:top w:val="single" w:color="000000" w:sz="10" w:space="0"/>
              <w:left w:val="single" w:color="000000" w:sz="10" w:space="0"/>
              <w:bottom w:val="nil"/>
            </w:tcBorders>
            <w:noWrap w:val="0"/>
            <w:textDirection w:val="tbRlV"/>
            <w:vAlign w:val="center"/>
          </w:tcPr>
          <w:p w14:paraId="724265DE">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序号</w:t>
            </w:r>
          </w:p>
        </w:tc>
        <w:tc>
          <w:tcPr>
            <w:tcW w:w="304" w:type="pct"/>
            <w:vMerge w:val="restart"/>
            <w:tcBorders>
              <w:top w:val="single" w:color="000000" w:sz="10" w:space="0"/>
              <w:bottom w:val="nil"/>
            </w:tcBorders>
            <w:noWrap w:val="0"/>
            <w:vAlign w:val="center"/>
          </w:tcPr>
          <w:p w14:paraId="0C68871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生产线名称</w:t>
            </w:r>
          </w:p>
        </w:tc>
        <w:tc>
          <w:tcPr>
            <w:tcW w:w="373" w:type="pct"/>
            <w:vMerge w:val="restart"/>
            <w:tcBorders>
              <w:top w:val="single" w:color="000000" w:sz="10" w:space="0"/>
              <w:bottom w:val="nil"/>
            </w:tcBorders>
            <w:noWrap w:val="0"/>
            <w:vAlign w:val="center"/>
          </w:tcPr>
          <w:p w14:paraId="02FD61B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主要生产单元名称</w:t>
            </w:r>
          </w:p>
        </w:tc>
        <w:tc>
          <w:tcPr>
            <w:tcW w:w="347" w:type="pct"/>
            <w:vMerge w:val="restart"/>
            <w:tcBorders>
              <w:top w:val="single" w:color="000000" w:sz="10" w:space="0"/>
              <w:bottom w:val="nil"/>
            </w:tcBorders>
            <w:noWrap w:val="0"/>
            <w:vAlign w:val="center"/>
          </w:tcPr>
          <w:p w14:paraId="5ABB370C">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主要工艺名称</w:t>
            </w:r>
          </w:p>
        </w:tc>
        <w:tc>
          <w:tcPr>
            <w:tcW w:w="747" w:type="pct"/>
            <w:vMerge w:val="restart"/>
            <w:tcBorders>
              <w:top w:val="single" w:color="000000" w:sz="10" w:space="0"/>
              <w:bottom w:val="nil"/>
            </w:tcBorders>
            <w:noWrap w:val="0"/>
            <w:vAlign w:val="center"/>
          </w:tcPr>
          <w:p w14:paraId="240C7F98">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生产设施名称</w:t>
            </w:r>
          </w:p>
        </w:tc>
        <w:tc>
          <w:tcPr>
            <w:tcW w:w="668" w:type="pct"/>
            <w:vMerge w:val="restart"/>
            <w:tcBorders>
              <w:top w:val="single" w:color="000000" w:sz="10" w:space="0"/>
              <w:bottom w:val="nil"/>
            </w:tcBorders>
            <w:noWrap w:val="0"/>
            <w:vAlign w:val="center"/>
          </w:tcPr>
          <w:p w14:paraId="5C67E0E9">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生产设施编号</w:t>
            </w:r>
          </w:p>
        </w:tc>
        <w:tc>
          <w:tcPr>
            <w:tcW w:w="1856" w:type="pct"/>
            <w:gridSpan w:val="4"/>
            <w:tcBorders>
              <w:top w:val="single" w:color="000000" w:sz="10" w:space="0"/>
              <w:bottom w:val="single" w:color="000000" w:sz="4" w:space="0"/>
            </w:tcBorders>
            <w:noWrap w:val="0"/>
            <w:vAlign w:val="center"/>
          </w:tcPr>
          <w:p w14:paraId="62B2559E">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设施参数</w:t>
            </w:r>
          </w:p>
        </w:tc>
        <w:tc>
          <w:tcPr>
            <w:tcW w:w="252" w:type="pct"/>
            <w:vMerge w:val="restart"/>
            <w:tcBorders>
              <w:top w:val="single" w:color="000000" w:sz="10" w:space="0"/>
              <w:bottom w:val="nil"/>
            </w:tcBorders>
            <w:noWrap w:val="0"/>
            <w:vAlign w:val="center"/>
          </w:tcPr>
          <w:p w14:paraId="6B4205B5">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8"/>
                <w:sz w:val="21"/>
                <w:szCs w:val="21"/>
              </w:rPr>
              <w:t>其他设施信息</w:t>
            </w:r>
          </w:p>
        </w:tc>
        <w:tc>
          <w:tcPr>
            <w:tcW w:w="342" w:type="pct"/>
            <w:vMerge w:val="restart"/>
            <w:tcBorders>
              <w:top w:val="single" w:color="000000" w:sz="10" w:space="0"/>
              <w:bottom w:val="nil"/>
              <w:right w:val="single" w:color="000000" w:sz="10" w:space="0"/>
            </w:tcBorders>
            <w:noWrap w:val="0"/>
            <w:vAlign w:val="center"/>
          </w:tcPr>
          <w:p w14:paraId="6D741C93">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4"/>
                <w:sz w:val="21"/>
                <w:szCs w:val="21"/>
              </w:rPr>
              <w:t>备注</w:t>
            </w:r>
          </w:p>
        </w:tc>
      </w:tr>
      <w:tr w14:paraId="4F3E7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8" w:type="pct"/>
            <w:vMerge w:val="continue"/>
            <w:tcBorders>
              <w:top w:val="nil"/>
              <w:left w:val="single" w:color="000000" w:sz="10" w:space="0"/>
            </w:tcBorders>
            <w:noWrap w:val="0"/>
            <w:textDirection w:val="tbRlV"/>
            <w:vAlign w:val="center"/>
          </w:tcPr>
          <w:p w14:paraId="7DF547D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304" w:type="pct"/>
            <w:vMerge w:val="continue"/>
            <w:tcBorders>
              <w:top w:val="nil"/>
            </w:tcBorders>
            <w:noWrap w:val="0"/>
            <w:vAlign w:val="center"/>
          </w:tcPr>
          <w:p w14:paraId="3A6BCF6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373" w:type="pct"/>
            <w:vMerge w:val="continue"/>
            <w:tcBorders>
              <w:top w:val="nil"/>
            </w:tcBorders>
            <w:noWrap w:val="0"/>
            <w:vAlign w:val="center"/>
          </w:tcPr>
          <w:p w14:paraId="7EFE0206">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347" w:type="pct"/>
            <w:vMerge w:val="continue"/>
            <w:tcBorders>
              <w:top w:val="nil"/>
            </w:tcBorders>
            <w:noWrap w:val="0"/>
            <w:vAlign w:val="center"/>
          </w:tcPr>
          <w:p w14:paraId="39D8C6A8">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747" w:type="pct"/>
            <w:vMerge w:val="continue"/>
            <w:tcBorders>
              <w:top w:val="nil"/>
            </w:tcBorders>
            <w:noWrap w:val="0"/>
            <w:vAlign w:val="center"/>
          </w:tcPr>
          <w:p w14:paraId="19CC0163">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668" w:type="pct"/>
            <w:vMerge w:val="continue"/>
            <w:tcBorders>
              <w:top w:val="nil"/>
            </w:tcBorders>
            <w:noWrap w:val="0"/>
            <w:vAlign w:val="center"/>
          </w:tcPr>
          <w:p w14:paraId="556A8B35">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400" w:type="pct"/>
            <w:tcBorders>
              <w:top w:val="single" w:color="000000" w:sz="4" w:space="0"/>
            </w:tcBorders>
            <w:noWrap w:val="0"/>
            <w:vAlign w:val="center"/>
          </w:tcPr>
          <w:p w14:paraId="366E5A28">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参数名称</w:t>
            </w:r>
          </w:p>
        </w:tc>
        <w:tc>
          <w:tcPr>
            <w:tcW w:w="393" w:type="pct"/>
            <w:tcBorders>
              <w:top w:val="single" w:color="000000" w:sz="4" w:space="0"/>
            </w:tcBorders>
            <w:noWrap w:val="0"/>
            <w:vAlign w:val="center"/>
          </w:tcPr>
          <w:p w14:paraId="6634D51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计量单位</w:t>
            </w:r>
          </w:p>
        </w:tc>
        <w:tc>
          <w:tcPr>
            <w:tcW w:w="300" w:type="pct"/>
            <w:tcBorders>
              <w:top w:val="single" w:color="000000" w:sz="4" w:space="0"/>
              <w:right w:val="single" w:color="000000" w:sz="4" w:space="0"/>
            </w:tcBorders>
            <w:noWrap w:val="0"/>
            <w:vAlign w:val="center"/>
          </w:tcPr>
          <w:p w14:paraId="10D5508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6"/>
                <w:sz w:val="21"/>
                <w:szCs w:val="21"/>
              </w:rPr>
              <w:t>设计值</w:t>
            </w:r>
          </w:p>
        </w:tc>
        <w:tc>
          <w:tcPr>
            <w:tcW w:w="762" w:type="pct"/>
            <w:tcBorders>
              <w:top w:val="single" w:color="000000" w:sz="4" w:space="0"/>
              <w:left w:val="single" w:color="000000" w:sz="4" w:space="0"/>
            </w:tcBorders>
            <w:noWrap w:val="0"/>
            <w:vAlign w:val="center"/>
          </w:tcPr>
          <w:p w14:paraId="39365AB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pacing w:val="8"/>
                <w:sz w:val="21"/>
                <w:szCs w:val="21"/>
              </w:rPr>
              <w:t>其他设施参数信息</w:t>
            </w:r>
          </w:p>
        </w:tc>
        <w:tc>
          <w:tcPr>
            <w:tcW w:w="252" w:type="pct"/>
            <w:vMerge w:val="continue"/>
            <w:tcBorders>
              <w:top w:val="nil"/>
            </w:tcBorders>
            <w:noWrap w:val="0"/>
            <w:vAlign w:val="center"/>
          </w:tcPr>
          <w:p w14:paraId="7AE1EC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c>
          <w:tcPr>
            <w:tcW w:w="342" w:type="pct"/>
            <w:vMerge w:val="continue"/>
            <w:tcBorders>
              <w:top w:val="nil"/>
              <w:right w:val="single" w:color="000000" w:sz="10" w:space="0"/>
            </w:tcBorders>
            <w:noWrap w:val="0"/>
            <w:vAlign w:val="center"/>
          </w:tcPr>
          <w:p w14:paraId="121C721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r>
      <w:tr w14:paraId="78CEE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AA12F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p>
        </w:tc>
        <w:tc>
          <w:tcPr>
            <w:tcW w:w="304" w:type="pct"/>
            <w:vMerge w:val="restart"/>
            <w:noWrap w:val="0"/>
            <w:vAlign w:val="center"/>
          </w:tcPr>
          <w:p w14:paraId="4EEF18FA">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pacing w:val="7"/>
                <w:sz w:val="21"/>
                <w:szCs w:val="21"/>
              </w:rPr>
              <w:t>铸件</w:t>
            </w:r>
            <w:r>
              <w:rPr>
                <w:rFonts w:hint="default" w:ascii="Times New Roman" w:hAnsi="Times New Roman" w:eastAsia="宋体" w:cs="Times New Roman"/>
                <w:color w:val="auto"/>
                <w:spacing w:val="6"/>
                <w:sz w:val="21"/>
                <w:szCs w:val="21"/>
              </w:rPr>
              <w:t>生产线</w:t>
            </w:r>
          </w:p>
        </w:tc>
        <w:tc>
          <w:tcPr>
            <w:tcW w:w="373" w:type="pct"/>
            <w:vMerge w:val="restart"/>
            <w:noWrap w:val="0"/>
            <w:vAlign w:val="center"/>
          </w:tcPr>
          <w:p w14:paraId="0548194F">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熔化</w:t>
            </w:r>
          </w:p>
        </w:tc>
        <w:tc>
          <w:tcPr>
            <w:tcW w:w="347" w:type="pct"/>
            <w:vMerge w:val="restart"/>
            <w:noWrap w:val="0"/>
            <w:vAlign w:val="center"/>
          </w:tcPr>
          <w:p w14:paraId="4E71919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熔化</w:t>
            </w:r>
          </w:p>
        </w:tc>
        <w:tc>
          <w:tcPr>
            <w:tcW w:w="747" w:type="pct"/>
            <w:noWrap w:val="0"/>
            <w:vAlign w:val="center"/>
          </w:tcPr>
          <w:p w14:paraId="50DFD75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中频感应熔化电炉</w:t>
            </w:r>
          </w:p>
        </w:tc>
        <w:tc>
          <w:tcPr>
            <w:tcW w:w="668" w:type="pct"/>
            <w:noWrap w:val="0"/>
            <w:vAlign w:val="center"/>
          </w:tcPr>
          <w:p w14:paraId="3F8F72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MF</w:t>
            </w:r>
            <w:r>
              <w:rPr>
                <w:rFonts w:hint="default" w:ascii="Times New Roman" w:hAnsi="Times New Roman" w:eastAsia="宋体" w:cs="Times New Roman"/>
                <w:color w:val="auto"/>
                <w:spacing w:val="7"/>
                <w:sz w:val="21"/>
                <w:szCs w:val="21"/>
              </w:rPr>
              <w:t>0001</w:t>
            </w:r>
            <w:r>
              <w:rPr>
                <w:rFonts w:hint="default" w:ascii="Times New Roman" w:hAnsi="Times New Roman" w:eastAsia="宋体" w:cs="Times New Roman"/>
                <w:color w:val="auto"/>
                <w:spacing w:val="7"/>
                <w:sz w:val="21"/>
                <w:szCs w:val="21"/>
                <w:lang w:val="en-US" w:eastAsia="zh-CN"/>
              </w:rPr>
              <w:t>、</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0002</w:t>
            </w:r>
          </w:p>
        </w:tc>
        <w:tc>
          <w:tcPr>
            <w:tcW w:w="400" w:type="pct"/>
            <w:noWrap w:val="0"/>
            <w:vAlign w:val="center"/>
          </w:tcPr>
          <w:p w14:paraId="19FE35C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005182A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40E8B1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788FA7CB">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1t/h</w:t>
            </w:r>
          </w:p>
        </w:tc>
        <w:tc>
          <w:tcPr>
            <w:tcW w:w="0" w:type="auto"/>
            <w:noWrap w:val="0"/>
            <w:vAlign w:val="center"/>
          </w:tcPr>
          <w:p w14:paraId="4CE3DF1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2966CF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72ED8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27AF84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w:t>
            </w:r>
          </w:p>
        </w:tc>
        <w:tc>
          <w:tcPr>
            <w:tcW w:w="304" w:type="pct"/>
            <w:vMerge w:val="continue"/>
            <w:tcBorders/>
            <w:noWrap w:val="0"/>
            <w:vAlign w:val="center"/>
          </w:tcPr>
          <w:p w14:paraId="00C8C0D3">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2DF8F882">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1A447B03">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1065518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中频感应熔化电炉</w:t>
            </w:r>
          </w:p>
        </w:tc>
        <w:tc>
          <w:tcPr>
            <w:tcW w:w="668" w:type="pct"/>
            <w:noWrap w:val="0"/>
            <w:vAlign w:val="center"/>
          </w:tcPr>
          <w:p w14:paraId="0DB7AF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0003</w:t>
            </w:r>
          </w:p>
        </w:tc>
        <w:tc>
          <w:tcPr>
            <w:tcW w:w="400" w:type="pct"/>
            <w:noWrap w:val="0"/>
            <w:vAlign w:val="center"/>
          </w:tcPr>
          <w:p w14:paraId="54A04D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1D64A7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511FB2A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2E44B30B">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0.5t/h</w:t>
            </w:r>
          </w:p>
        </w:tc>
        <w:tc>
          <w:tcPr>
            <w:tcW w:w="0" w:type="auto"/>
            <w:noWrap w:val="0"/>
            <w:vAlign w:val="center"/>
          </w:tcPr>
          <w:p w14:paraId="7EEBD5D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7D1D25F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7B4FE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00970E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3</w:t>
            </w:r>
          </w:p>
        </w:tc>
        <w:tc>
          <w:tcPr>
            <w:tcW w:w="304" w:type="pct"/>
            <w:vMerge w:val="continue"/>
            <w:tcBorders/>
            <w:noWrap w:val="0"/>
            <w:vAlign w:val="center"/>
          </w:tcPr>
          <w:p w14:paraId="14923DF0">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344188E5">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076DCDD8">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6490736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自动加料小车</w:t>
            </w:r>
          </w:p>
        </w:tc>
        <w:tc>
          <w:tcPr>
            <w:tcW w:w="668" w:type="pct"/>
            <w:noWrap w:val="0"/>
            <w:vAlign w:val="center"/>
          </w:tcPr>
          <w:p w14:paraId="10A7C8B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0004、</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w:t>
            </w:r>
          </w:p>
        </w:tc>
        <w:tc>
          <w:tcPr>
            <w:tcW w:w="400" w:type="pct"/>
            <w:noWrap w:val="0"/>
            <w:vAlign w:val="center"/>
          </w:tcPr>
          <w:p w14:paraId="36928C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5B2563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484966E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18A48CF8">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6ABBC6B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5DC5A36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7FB5B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2ABEC29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pacing w:val="1"/>
                <w:sz w:val="21"/>
                <w:szCs w:val="21"/>
              </w:rPr>
              <w:t>4</w:t>
            </w:r>
          </w:p>
        </w:tc>
        <w:tc>
          <w:tcPr>
            <w:tcW w:w="304" w:type="pct"/>
            <w:vMerge w:val="continue"/>
            <w:tcBorders/>
            <w:noWrap w:val="0"/>
            <w:vAlign w:val="center"/>
          </w:tcPr>
          <w:p w14:paraId="63952808">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355EF164">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43511E7B">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0088366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电动双梁行车</w:t>
            </w:r>
          </w:p>
        </w:tc>
        <w:tc>
          <w:tcPr>
            <w:tcW w:w="668" w:type="pct"/>
            <w:noWrap w:val="0"/>
            <w:vAlign w:val="center"/>
          </w:tcPr>
          <w:p w14:paraId="24C9E61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0006~</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0009</w:t>
            </w:r>
          </w:p>
        </w:tc>
        <w:tc>
          <w:tcPr>
            <w:tcW w:w="400" w:type="pct"/>
            <w:noWrap w:val="0"/>
            <w:vAlign w:val="center"/>
          </w:tcPr>
          <w:p w14:paraId="0623BF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3CC0AD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43C93D2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51677726">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2.8t</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1C7CBE9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3301907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31BD0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0" w:type="auto"/>
            <w:noWrap w:val="0"/>
            <w:vAlign w:val="center"/>
          </w:tcPr>
          <w:p w14:paraId="45F104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w:t>
            </w:r>
          </w:p>
        </w:tc>
        <w:tc>
          <w:tcPr>
            <w:tcW w:w="304" w:type="pct"/>
            <w:vMerge w:val="continue"/>
            <w:tcBorders/>
            <w:noWrap w:val="0"/>
            <w:vAlign w:val="center"/>
          </w:tcPr>
          <w:p w14:paraId="4D7BC564">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7DF4C3E8">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4AC0758A">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1759CD1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光谱分析仪</w:t>
            </w:r>
          </w:p>
        </w:tc>
        <w:tc>
          <w:tcPr>
            <w:tcW w:w="668" w:type="pct"/>
            <w:noWrap w:val="0"/>
            <w:vAlign w:val="center"/>
          </w:tcPr>
          <w:p w14:paraId="4AFC0FC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0010</w:t>
            </w:r>
          </w:p>
        </w:tc>
        <w:tc>
          <w:tcPr>
            <w:tcW w:w="400" w:type="pct"/>
            <w:noWrap w:val="0"/>
            <w:vAlign w:val="center"/>
          </w:tcPr>
          <w:p w14:paraId="6AE95B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65CC14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6940967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429C2BED">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22</w:t>
            </w:r>
            <w:r>
              <w:rPr>
                <w:rFonts w:hint="eastAsia" w:ascii="宋体" w:hAnsi="宋体" w:eastAsia="宋体" w:cs="宋体"/>
                <w:i w:val="0"/>
                <w:iCs w:val="0"/>
                <w:color w:val="auto"/>
                <w:kern w:val="0"/>
                <w:sz w:val="21"/>
                <w:szCs w:val="21"/>
                <w:u w:val="none"/>
                <w:lang w:val="en-US" w:eastAsia="zh-CN" w:bidi="ar"/>
              </w:rPr>
              <w:t>通道</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进口</w:t>
            </w:r>
          </w:p>
        </w:tc>
        <w:tc>
          <w:tcPr>
            <w:tcW w:w="0" w:type="auto"/>
            <w:noWrap w:val="0"/>
            <w:vAlign w:val="center"/>
          </w:tcPr>
          <w:p w14:paraId="604E2F9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7328324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0D9D3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25607D5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w:t>
            </w:r>
          </w:p>
        </w:tc>
        <w:tc>
          <w:tcPr>
            <w:tcW w:w="304" w:type="pct"/>
            <w:vMerge w:val="continue"/>
            <w:tcBorders/>
            <w:noWrap w:val="0"/>
            <w:vAlign w:val="center"/>
          </w:tcPr>
          <w:p w14:paraId="57578292">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18CBC4D0">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66E81266">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727E464D">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铁水包</w:t>
            </w:r>
          </w:p>
        </w:tc>
        <w:tc>
          <w:tcPr>
            <w:tcW w:w="668" w:type="pct"/>
            <w:noWrap w:val="0"/>
            <w:vAlign w:val="center"/>
          </w:tcPr>
          <w:p w14:paraId="1D6C4A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0011~</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0014</w:t>
            </w:r>
          </w:p>
        </w:tc>
        <w:tc>
          <w:tcPr>
            <w:tcW w:w="400" w:type="pct"/>
            <w:noWrap w:val="0"/>
            <w:vAlign w:val="center"/>
          </w:tcPr>
          <w:p w14:paraId="680548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54F2CF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43D7CCD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6D554FA1">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1t</w:t>
            </w:r>
            <w:r>
              <w:rPr>
                <w:rFonts w:hint="eastAsia" w:ascii="宋体" w:hAnsi="宋体" w:eastAsia="宋体" w:cs="宋体"/>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2t/</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39F2ACA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3E7DC1A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554E5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27C00ED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7</w:t>
            </w:r>
          </w:p>
        </w:tc>
        <w:tc>
          <w:tcPr>
            <w:tcW w:w="304" w:type="pct"/>
            <w:vMerge w:val="continue"/>
            <w:tcBorders/>
            <w:noWrap w:val="0"/>
            <w:vAlign w:val="center"/>
          </w:tcPr>
          <w:p w14:paraId="0E36A401">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61CEA281">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17F42ABC">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1899DC2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轮碾机</w:t>
            </w:r>
          </w:p>
        </w:tc>
        <w:tc>
          <w:tcPr>
            <w:tcW w:w="668" w:type="pct"/>
            <w:noWrap w:val="0"/>
            <w:vAlign w:val="center"/>
          </w:tcPr>
          <w:p w14:paraId="0171C31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0015</w:t>
            </w:r>
          </w:p>
        </w:tc>
        <w:tc>
          <w:tcPr>
            <w:tcW w:w="400" w:type="pct"/>
            <w:noWrap w:val="0"/>
            <w:vAlign w:val="center"/>
          </w:tcPr>
          <w:p w14:paraId="2ABFA8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6C0A7A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7240D9E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37B35AC">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S558/</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24B5ECD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4927E8A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7FEF4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3C659E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8</w:t>
            </w:r>
          </w:p>
        </w:tc>
        <w:tc>
          <w:tcPr>
            <w:tcW w:w="304" w:type="pct"/>
            <w:vMerge w:val="continue"/>
            <w:tcBorders/>
            <w:noWrap w:val="0"/>
            <w:vAlign w:val="center"/>
          </w:tcPr>
          <w:p w14:paraId="691A2917">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493B9305">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31688C1D">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20D5196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燃气烘包器</w:t>
            </w:r>
          </w:p>
        </w:tc>
        <w:tc>
          <w:tcPr>
            <w:tcW w:w="668" w:type="pct"/>
            <w:noWrap w:val="0"/>
            <w:vAlign w:val="center"/>
          </w:tcPr>
          <w:p w14:paraId="1CD673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0016</w:t>
            </w:r>
          </w:p>
        </w:tc>
        <w:tc>
          <w:tcPr>
            <w:tcW w:w="400" w:type="pct"/>
            <w:noWrap w:val="0"/>
            <w:vAlign w:val="center"/>
          </w:tcPr>
          <w:p w14:paraId="0F4178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200A100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3BE691A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493A350B">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728C330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6E48373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5CA6A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817E5E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9</w:t>
            </w:r>
          </w:p>
        </w:tc>
        <w:tc>
          <w:tcPr>
            <w:tcW w:w="304" w:type="pct"/>
            <w:vMerge w:val="continue"/>
            <w:tcBorders/>
            <w:noWrap w:val="0"/>
            <w:vAlign w:val="center"/>
          </w:tcPr>
          <w:p w14:paraId="32E9CAEC">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restart"/>
            <w:noWrap w:val="0"/>
            <w:vAlign w:val="center"/>
          </w:tcPr>
          <w:p w14:paraId="092AD183">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检验</w:t>
            </w:r>
          </w:p>
        </w:tc>
        <w:tc>
          <w:tcPr>
            <w:tcW w:w="347" w:type="pct"/>
            <w:vMerge w:val="restart"/>
            <w:noWrap w:val="0"/>
            <w:vAlign w:val="center"/>
          </w:tcPr>
          <w:p w14:paraId="4054C21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检验</w:t>
            </w:r>
          </w:p>
        </w:tc>
        <w:tc>
          <w:tcPr>
            <w:tcW w:w="747" w:type="pct"/>
            <w:noWrap w:val="0"/>
            <w:vAlign w:val="center"/>
          </w:tcPr>
          <w:p w14:paraId="2E1D0AF4">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数字电磁配铁</w:t>
            </w:r>
            <w:r>
              <w:rPr>
                <w:rStyle w:val="126"/>
                <w:rFonts w:hint="eastAsia" w:cs="Times New Roman"/>
                <w:color w:val="auto"/>
                <w:sz w:val="21"/>
                <w:szCs w:val="21"/>
                <w:lang w:val="en-US" w:eastAsia="zh-CN" w:bidi="ar"/>
              </w:rPr>
              <w:t>秤</w:t>
            </w:r>
          </w:p>
        </w:tc>
        <w:tc>
          <w:tcPr>
            <w:tcW w:w="668" w:type="pct"/>
            <w:noWrap w:val="0"/>
            <w:vAlign w:val="center"/>
          </w:tcPr>
          <w:p w14:paraId="197A200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0017</w:t>
            </w:r>
          </w:p>
        </w:tc>
        <w:tc>
          <w:tcPr>
            <w:tcW w:w="400" w:type="pct"/>
            <w:noWrap w:val="0"/>
            <w:vAlign w:val="center"/>
          </w:tcPr>
          <w:p w14:paraId="319B6B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6772B8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0738236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40FBEF1A">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39D2537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1A7E3D3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34F2C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04AC5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pacing w:val="-8"/>
                <w:sz w:val="21"/>
                <w:szCs w:val="21"/>
              </w:rPr>
              <w:t>10</w:t>
            </w:r>
          </w:p>
        </w:tc>
        <w:tc>
          <w:tcPr>
            <w:tcW w:w="304" w:type="pct"/>
            <w:vMerge w:val="continue"/>
            <w:tcBorders/>
            <w:noWrap w:val="0"/>
            <w:vAlign w:val="center"/>
          </w:tcPr>
          <w:p w14:paraId="01842F3B">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3D6F4B57">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58268EF3">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119DA72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7"/>
                <w:rFonts w:hint="default" w:ascii="Times New Roman" w:hAnsi="Times New Roman" w:eastAsia="宋体" w:cs="Times New Roman"/>
                <w:color w:val="auto"/>
                <w:sz w:val="21"/>
                <w:szCs w:val="21"/>
                <w:lang w:val="en-US" w:eastAsia="zh-CN" w:bidi="ar"/>
              </w:rPr>
              <w:t>CE</w:t>
            </w:r>
            <w:r>
              <w:rPr>
                <w:rStyle w:val="126"/>
                <w:rFonts w:hint="default" w:ascii="Times New Roman" w:hAnsi="Times New Roman" w:eastAsia="宋体" w:cs="Times New Roman"/>
                <w:color w:val="auto"/>
                <w:sz w:val="21"/>
                <w:szCs w:val="21"/>
                <w:lang w:val="en-US" w:eastAsia="zh-CN" w:bidi="ar"/>
              </w:rPr>
              <w:t>分析仪</w:t>
            </w:r>
          </w:p>
        </w:tc>
        <w:tc>
          <w:tcPr>
            <w:tcW w:w="668" w:type="pct"/>
            <w:noWrap w:val="0"/>
            <w:vAlign w:val="center"/>
          </w:tcPr>
          <w:p w14:paraId="087CA7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0018</w:t>
            </w:r>
          </w:p>
        </w:tc>
        <w:tc>
          <w:tcPr>
            <w:tcW w:w="400" w:type="pct"/>
            <w:noWrap w:val="0"/>
            <w:vAlign w:val="center"/>
          </w:tcPr>
          <w:p w14:paraId="10B825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4732CA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28A27B1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05E97ADD">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60F680A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19FF2A1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33A99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0" w:type="auto"/>
            <w:noWrap w:val="0"/>
            <w:vAlign w:val="center"/>
          </w:tcPr>
          <w:p w14:paraId="025D2F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pacing w:val="-10"/>
                <w:sz w:val="21"/>
                <w:szCs w:val="21"/>
              </w:rPr>
              <w:t>11</w:t>
            </w:r>
          </w:p>
        </w:tc>
        <w:tc>
          <w:tcPr>
            <w:tcW w:w="304" w:type="pct"/>
            <w:vMerge w:val="continue"/>
            <w:tcBorders/>
            <w:noWrap w:val="0"/>
            <w:vAlign w:val="center"/>
          </w:tcPr>
          <w:p w14:paraId="7A0D4B7F">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2ACD03F5">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148AA648">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7688FD3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粗糙度仪</w:t>
            </w:r>
          </w:p>
        </w:tc>
        <w:tc>
          <w:tcPr>
            <w:tcW w:w="668" w:type="pct"/>
            <w:noWrap w:val="0"/>
            <w:vAlign w:val="center"/>
          </w:tcPr>
          <w:p w14:paraId="568BD07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0019</w:t>
            </w:r>
          </w:p>
        </w:tc>
        <w:tc>
          <w:tcPr>
            <w:tcW w:w="400" w:type="pct"/>
            <w:noWrap w:val="0"/>
            <w:vAlign w:val="center"/>
          </w:tcPr>
          <w:p w14:paraId="7D8020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53D5CB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7193EB4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7851765C">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7B5CBB0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4E664FD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60F43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14E388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pacing w:val="-8"/>
                <w:sz w:val="21"/>
                <w:szCs w:val="21"/>
              </w:rPr>
              <w:t>12</w:t>
            </w:r>
          </w:p>
        </w:tc>
        <w:tc>
          <w:tcPr>
            <w:tcW w:w="304" w:type="pct"/>
            <w:vMerge w:val="continue"/>
            <w:tcBorders/>
            <w:noWrap w:val="0"/>
            <w:vAlign w:val="center"/>
          </w:tcPr>
          <w:p w14:paraId="5CF17791">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restart"/>
            <w:noWrap w:val="0"/>
            <w:vAlign w:val="center"/>
          </w:tcPr>
          <w:p w14:paraId="2A1E98C1">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造型</w:t>
            </w:r>
          </w:p>
        </w:tc>
        <w:tc>
          <w:tcPr>
            <w:tcW w:w="347" w:type="pct"/>
            <w:vMerge w:val="restart"/>
            <w:noWrap w:val="0"/>
            <w:vAlign w:val="center"/>
          </w:tcPr>
          <w:p w14:paraId="274F29E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造型</w:t>
            </w:r>
          </w:p>
        </w:tc>
        <w:tc>
          <w:tcPr>
            <w:tcW w:w="747" w:type="pct"/>
            <w:noWrap w:val="0"/>
            <w:vAlign w:val="center"/>
          </w:tcPr>
          <w:p w14:paraId="6C65EDE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7"/>
                <w:rFonts w:hint="default" w:ascii="Times New Roman" w:hAnsi="Times New Roman" w:eastAsia="宋体" w:cs="Times New Roman"/>
                <w:color w:val="auto"/>
                <w:sz w:val="21"/>
                <w:szCs w:val="21"/>
                <w:lang w:val="en-US" w:eastAsia="zh-CN" w:bidi="ar"/>
              </w:rPr>
              <w:t>Z145</w:t>
            </w:r>
            <w:r>
              <w:rPr>
                <w:rStyle w:val="126"/>
                <w:rFonts w:hint="default" w:ascii="Times New Roman" w:hAnsi="Times New Roman" w:eastAsia="宋体" w:cs="Times New Roman"/>
                <w:color w:val="auto"/>
                <w:sz w:val="21"/>
                <w:szCs w:val="21"/>
                <w:lang w:val="en-US" w:eastAsia="zh-CN" w:bidi="ar"/>
              </w:rPr>
              <w:t>造型机</w:t>
            </w:r>
          </w:p>
        </w:tc>
        <w:tc>
          <w:tcPr>
            <w:tcW w:w="668" w:type="pct"/>
            <w:noWrap w:val="0"/>
            <w:vAlign w:val="center"/>
          </w:tcPr>
          <w:p w14:paraId="100804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0020~</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0023</w:t>
            </w:r>
          </w:p>
        </w:tc>
        <w:tc>
          <w:tcPr>
            <w:tcW w:w="400" w:type="pct"/>
            <w:noWrap w:val="0"/>
            <w:vAlign w:val="center"/>
          </w:tcPr>
          <w:p w14:paraId="0E7436D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393" w:type="pct"/>
            <w:noWrap w:val="0"/>
            <w:vAlign w:val="center"/>
          </w:tcPr>
          <w:p w14:paraId="71C426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300" w:type="pct"/>
            <w:noWrap w:val="0"/>
            <w:vAlign w:val="center"/>
          </w:tcPr>
          <w:p w14:paraId="5C30371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1E360275">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0E75E2A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119C9BD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675F1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2632B0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13</w:t>
            </w:r>
          </w:p>
        </w:tc>
        <w:tc>
          <w:tcPr>
            <w:tcW w:w="304" w:type="pct"/>
            <w:vMerge w:val="continue"/>
            <w:tcBorders/>
            <w:noWrap w:val="0"/>
            <w:vAlign w:val="center"/>
          </w:tcPr>
          <w:p w14:paraId="5AFFFFB5">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19198D6F">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708FBC08">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6FA121D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7"/>
                <w:rFonts w:hint="default" w:ascii="Times New Roman" w:hAnsi="Times New Roman" w:eastAsia="宋体" w:cs="Times New Roman"/>
                <w:color w:val="auto"/>
                <w:sz w:val="21"/>
                <w:szCs w:val="21"/>
                <w:lang w:val="en-US" w:eastAsia="zh-CN" w:bidi="ar"/>
              </w:rPr>
              <w:t>Z148</w:t>
            </w:r>
            <w:r>
              <w:rPr>
                <w:rStyle w:val="126"/>
                <w:rFonts w:hint="default" w:ascii="Times New Roman" w:hAnsi="Times New Roman" w:eastAsia="宋体" w:cs="Times New Roman"/>
                <w:color w:val="auto"/>
                <w:sz w:val="21"/>
                <w:szCs w:val="21"/>
                <w:lang w:val="en-US" w:eastAsia="zh-CN" w:bidi="ar"/>
              </w:rPr>
              <w:t>造型机</w:t>
            </w:r>
          </w:p>
        </w:tc>
        <w:tc>
          <w:tcPr>
            <w:tcW w:w="668" w:type="pct"/>
            <w:noWrap w:val="0"/>
            <w:vAlign w:val="center"/>
          </w:tcPr>
          <w:p w14:paraId="1E8D0A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0024~</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0028</w:t>
            </w:r>
          </w:p>
        </w:tc>
        <w:tc>
          <w:tcPr>
            <w:tcW w:w="400" w:type="pct"/>
            <w:noWrap w:val="0"/>
            <w:vAlign w:val="center"/>
          </w:tcPr>
          <w:p w14:paraId="47FAC4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02FB06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675C26A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55CF7F4">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09A5031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4D89998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1070D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485A90AA">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14</w:t>
            </w:r>
          </w:p>
        </w:tc>
        <w:tc>
          <w:tcPr>
            <w:tcW w:w="304" w:type="pct"/>
            <w:vMerge w:val="continue"/>
            <w:tcBorders/>
            <w:noWrap w:val="0"/>
            <w:vAlign w:val="center"/>
          </w:tcPr>
          <w:p w14:paraId="3BA8F061">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2E6CCA95">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293A44F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67A09CA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水平分型无箱造型线</w:t>
            </w:r>
          </w:p>
        </w:tc>
        <w:tc>
          <w:tcPr>
            <w:tcW w:w="668" w:type="pct"/>
            <w:noWrap w:val="0"/>
            <w:vAlign w:val="center"/>
          </w:tcPr>
          <w:p w14:paraId="25C667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0029</w:t>
            </w:r>
          </w:p>
        </w:tc>
        <w:tc>
          <w:tcPr>
            <w:tcW w:w="400" w:type="pct"/>
            <w:noWrap w:val="0"/>
            <w:vAlign w:val="center"/>
          </w:tcPr>
          <w:p w14:paraId="105AE6E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56EEF1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697C507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63763AE2">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国产、主机进口</w:t>
            </w:r>
          </w:p>
        </w:tc>
        <w:tc>
          <w:tcPr>
            <w:tcW w:w="0" w:type="auto"/>
            <w:noWrap w:val="0"/>
            <w:vAlign w:val="center"/>
          </w:tcPr>
          <w:p w14:paraId="0EB6374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381B376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1DE6C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02C785A">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15</w:t>
            </w:r>
          </w:p>
        </w:tc>
        <w:tc>
          <w:tcPr>
            <w:tcW w:w="304" w:type="pct"/>
            <w:vMerge w:val="continue"/>
            <w:tcBorders/>
            <w:noWrap w:val="0"/>
            <w:vAlign w:val="center"/>
          </w:tcPr>
          <w:p w14:paraId="313EB424">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3E833801">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4AC9E90D">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41446C7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水平分型无箱造型线</w:t>
            </w:r>
          </w:p>
        </w:tc>
        <w:tc>
          <w:tcPr>
            <w:tcW w:w="668" w:type="pct"/>
            <w:noWrap w:val="0"/>
            <w:vAlign w:val="center"/>
          </w:tcPr>
          <w:p w14:paraId="5972769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0030、</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0031</w:t>
            </w:r>
          </w:p>
        </w:tc>
        <w:tc>
          <w:tcPr>
            <w:tcW w:w="400" w:type="pct"/>
            <w:noWrap w:val="0"/>
            <w:vAlign w:val="center"/>
          </w:tcPr>
          <w:p w14:paraId="3BC1D75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63081E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6C3BB1D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06354AC0">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国产、主机进口</w:t>
            </w:r>
          </w:p>
        </w:tc>
        <w:tc>
          <w:tcPr>
            <w:tcW w:w="0" w:type="auto"/>
            <w:noWrap w:val="0"/>
            <w:vAlign w:val="center"/>
          </w:tcPr>
          <w:p w14:paraId="15D3498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3B75EB8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52E32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6BF6F9FF">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16</w:t>
            </w:r>
          </w:p>
        </w:tc>
        <w:tc>
          <w:tcPr>
            <w:tcW w:w="304" w:type="pct"/>
            <w:vMerge w:val="continue"/>
            <w:tcBorders/>
            <w:noWrap w:val="0"/>
            <w:vAlign w:val="center"/>
          </w:tcPr>
          <w:p w14:paraId="006FBC87">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restart"/>
            <w:noWrap w:val="0"/>
            <w:vAlign w:val="center"/>
          </w:tcPr>
          <w:p w14:paraId="6B098D09">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制芯</w:t>
            </w:r>
          </w:p>
        </w:tc>
        <w:tc>
          <w:tcPr>
            <w:tcW w:w="347" w:type="pct"/>
            <w:vMerge w:val="restart"/>
            <w:noWrap w:val="0"/>
            <w:vAlign w:val="center"/>
          </w:tcPr>
          <w:p w14:paraId="03248C04">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制芯</w:t>
            </w:r>
          </w:p>
        </w:tc>
        <w:tc>
          <w:tcPr>
            <w:tcW w:w="747" w:type="pct"/>
            <w:noWrap w:val="0"/>
            <w:vAlign w:val="center"/>
          </w:tcPr>
          <w:p w14:paraId="3142C5D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eastAsia" w:cs="Times New Roman"/>
                <w:color w:val="auto"/>
                <w:sz w:val="21"/>
                <w:szCs w:val="21"/>
                <w:lang w:val="en-US" w:eastAsia="zh-CN" w:bidi="ar"/>
              </w:rPr>
              <w:t>覆膜砂</w:t>
            </w:r>
            <w:r>
              <w:rPr>
                <w:rStyle w:val="126"/>
                <w:rFonts w:hint="default" w:ascii="Times New Roman" w:hAnsi="Times New Roman" w:eastAsia="宋体" w:cs="Times New Roman"/>
                <w:color w:val="auto"/>
                <w:sz w:val="21"/>
                <w:szCs w:val="21"/>
                <w:lang w:val="en-US" w:eastAsia="zh-CN" w:bidi="ar"/>
              </w:rPr>
              <w:t>射芯机</w:t>
            </w:r>
          </w:p>
        </w:tc>
        <w:tc>
          <w:tcPr>
            <w:tcW w:w="668" w:type="pct"/>
            <w:noWrap w:val="0"/>
            <w:vAlign w:val="center"/>
          </w:tcPr>
          <w:p w14:paraId="6614F6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0032~</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0035</w:t>
            </w:r>
          </w:p>
        </w:tc>
        <w:tc>
          <w:tcPr>
            <w:tcW w:w="400" w:type="pct"/>
            <w:noWrap w:val="0"/>
            <w:vAlign w:val="center"/>
          </w:tcPr>
          <w:p w14:paraId="750292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33819A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1D7FC66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77E0724A">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w:t>
            </w:r>
            <w:r>
              <w:rPr>
                <w:rFonts w:hint="eastAsia"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12kg/</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094B59B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072CD08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10D52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62F51755">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17</w:t>
            </w:r>
          </w:p>
        </w:tc>
        <w:tc>
          <w:tcPr>
            <w:tcW w:w="304" w:type="pct"/>
            <w:vMerge w:val="continue"/>
            <w:tcBorders/>
            <w:noWrap w:val="0"/>
            <w:vAlign w:val="center"/>
          </w:tcPr>
          <w:p w14:paraId="734EA8F7">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769EE10E">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1A1643FA">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7FE1308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eastAsia" w:cs="Times New Roman"/>
                <w:color w:val="auto"/>
                <w:sz w:val="21"/>
                <w:szCs w:val="21"/>
                <w:lang w:val="en-US" w:eastAsia="zh-CN" w:bidi="ar"/>
              </w:rPr>
              <w:t>覆膜砂</w:t>
            </w:r>
            <w:r>
              <w:rPr>
                <w:rStyle w:val="126"/>
                <w:rFonts w:hint="default" w:ascii="Times New Roman" w:hAnsi="Times New Roman" w:eastAsia="宋体" w:cs="Times New Roman"/>
                <w:color w:val="auto"/>
                <w:sz w:val="21"/>
                <w:szCs w:val="21"/>
                <w:lang w:val="en-US" w:eastAsia="zh-CN" w:bidi="ar"/>
              </w:rPr>
              <w:t>射芯机</w:t>
            </w:r>
          </w:p>
        </w:tc>
        <w:tc>
          <w:tcPr>
            <w:tcW w:w="668" w:type="pct"/>
            <w:noWrap w:val="0"/>
            <w:vAlign w:val="center"/>
          </w:tcPr>
          <w:p w14:paraId="0B4D92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0036~</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0041</w:t>
            </w:r>
          </w:p>
        </w:tc>
        <w:tc>
          <w:tcPr>
            <w:tcW w:w="400" w:type="pct"/>
            <w:noWrap w:val="0"/>
            <w:vAlign w:val="center"/>
          </w:tcPr>
          <w:p w14:paraId="2494D1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603ED5D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50A9207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661B8D0">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w:t>
            </w:r>
            <w:r>
              <w:rPr>
                <w:rFonts w:hint="eastAsia"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12kg</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0F7178F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08D4A55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0894C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D131A23">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w:t>
            </w:r>
          </w:p>
        </w:tc>
        <w:tc>
          <w:tcPr>
            <w:tcW w:w="304" w:type="pct"/>
            <w:vMerge w:val="continue"/>
            <w:tcBorders/>
            <w:noWrap w:val="0"/>
            <w:vAlign w:val="center"/>
          </w:tcPr>
          <w:p w14:paraId="6B133072">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restart"/>
            <w:noWrap w:val="0"/>
            <w:vAlign w:val="center"/>
          </w:tcPr>
          <w:p w14:paraId="42EF5050">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抛丸</w:t>
            </w:r>
          </w:p>
        </w:tc>
        <w:tc>
          <w:tcPr>
            <w:tcW w:w="347" w:type="pct"/>
            <w:vMerge w:val="restart"/>
            <w:noWrap w:val="0"/>
            <w:vAlign w:val="center"/>
          </w:tcPr>
          <w:p w14:paraId="6C8C132F">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抛丸</w:t>
            </w:r>
          </w:p>
        </w:tc>
        <w:tc>
          <w:tcPr>
            <w:tcW w:w="747" w:type="pct"/>
            <w:noWrap w:val="0"/>
            <w:vAlign w:val="center"/>
          </w:tcPr>
          <w:p w14:paraId="4FB741F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吊钩抛丸清理机</w:t>
            </w:r>
          </w:p>
        </w:tc>
        <w:tc>
          <w:tcPr>
            <w:tcW w:w="668" w:type="pct"/>
            <w:noWrap w:val="0"/>
            <w:vAlign w:val="center"/>
          </w:tcPr>
          <w:p w14:paraId="7B2B9A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0042</w:t>
            </w:r>
          </w:p>
        </w:tc>
        <w:tc>
          <w:tcPr>
            <w:tcW w:w="400" w:type="pct"/>
            <w:noWrap w:val="0"/>
            <w:vAlign w:val="center"/>
          </w:tcPr>
          <w:p w14:paraId="091968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14786F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56D0093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9268427">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Q378A/</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338DBAB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021BEDA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0EB42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3A9DDDBA">
            <w:pPr>
              <w:keepNext w:val="0"/>
              <w:keepLines w:val="0"/>
              <w:pageBreakBefore w:val="0"/>
              <w:widowControl w:val="0"/>
              <w:kinsoku/>
              <w:wordWrap/>
              <w:overflowPunct/>
              <w:topLinePunct w:val="0"/>
              <w:bidi w:val="0"/>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19</w:t>
            </w:r>
          </w:p>
        </w:tc>
        <w:tc>
          <w:tcPr>
            <w:tcW w:w="304" w:type="pct"/>
            <w:vMerge w:val="continue"/>
            <w:tcBorders/>
            <w:noWrap w:val="0"/>
            <w:vAlign w:val="center"/>
          </w:tcPr>
          <w:p w14:paraId="02C7A524">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524EB5D2">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58CF21D6">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6881DEA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履带抛丸清理机</w:t>
            </w:r>
          </w:p>
        </w:tc>
        <w:tc>
          <w:tcPr>
            <w:tcW w:w="668" w:type="pct"/>
            <w:noWrap w:val="0"/>
            <w:vAlign w:val="center"/>
          </w:tcPr>
          <w:p w14:paraId="7509ED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0043</w:t>
            </w:r>
          </w:p>
        </w:tc>
        <w:tc>
          <w:tcPr>
            <w:tcW w:w="400" w:type="pct"/>
            <w:noWrap w:val="0"/>
            <w:vAlign w:val="center"/>
          </w:tcPr>
          <w:p w14:paraId="0DC45E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54B4EF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7495BE8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25209BE7">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Q3210/</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38CABCF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226BA43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35463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0D0D7E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20</w:t>
            </w:r>
          </w:p>
        </w:tc>
        <w:tc>
          <w:tcPr>
            <w:tcW w:w="304" w:type="pct"/>
            <w:vMerge w:val="continue"/>
            <w:tcBorders/>
            <w:noWrap w:val="0"/>
            <w:vAlign w:val="center"/>
          </w:tcPr>
          <w:p w14:paraId="06DEF2FB">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3F225611">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074569C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29A4512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吊钩抛丸清理机</w:t>
            </w:r>
          </w:p>
        </w:tc>
        <w:tc>
          <w:tcPr>
            <w:tcW w:w="668" w:type="pct"/>
            <w:noWrap w:val="0"/>
            <w:vAlign w:val="center"/>
          </w:tcPr>
          <w:p w14:paraId="2C14E5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0044、</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0045</w:t>
            </w:r>
          </w:p>
        </w:tc>
        <w:tc>
          <w:tcPr>
            <w:tcW w:w="400" w:type="pct"/>
            <w:noWrap w:val="0"/>
            <w:vAlign w:val="center"/>
          </w:tcPr>
          <w:p w14:paraId="769CA0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2E231F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0C8E445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63D891D1">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Q378A</w:t>
            </w:r>
          </w:p>
        </w:tc>
        <w:tc>
          <w:tcPr>
            <w:tcW w:w="0" w:type="auto"/>
            <w:noWrap w:val="0"/>
            <w:vAlign w:val="center"/>
          </w:tcPr>
          <w:p w14:paraId="7C4E342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1C92C57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20D47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C310D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21</w:t>
            </w:r>
          </w:p>
        </w:tc>
        <w:tc>
          <w:tcPr>
            <w:tcW w:w="304" w:type="pct"/>
            <w:vMerge w:val="continue"/>
            <w:tcBorders/>
            <w:noWrap w:val="0"/>
            <w:vAlign w:val="center"/>
          </w:tcPr>
          <w:p w14:paraId="54BCCE78">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5C67F801">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7369C06E">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76AC853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履带抛丸清理机</w:t>
            </w:r>
          </w:p>
        </w:tc>
        <w:tc>
          <w:tcPr>
            <w:tcW w:w="668" w:type="pct"/>
            <w:noWrap w:val="0"/>
            <w:vAlign w:val="center"/>
          </w:tcPr>
          <w:p w14:paraId="3B43A1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0046、</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0047</w:t>
            </w:r>
          </w:p>
        </w:tc>
        <w:tc>
          <w:tcPr>
            <w:tcW w:w="400" w:type="pct"/>
            <w:noWrap w:val="0"/>
            <w:vAlign w:val="center"/>
          </w:tcPr>
          <w:p w14:paraId="6FE487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0E8407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468A536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4A4D68EA">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Q3210</w:t>
            </w:r>
          </w:p>
        </w:tc>
        <w:tc>
          <w:tcPr>
            <w:tcW w:w="0" w:type="auto"/>
            <w:noWrap w:val="0"/>
            <w:vAlign w:val="center"/>
          </w:tcPr>
          <w:p w14:paraId="01CD59A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1BEBE69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5455B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542322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w:t>
            </w:r>
            <w:r>
              <w:rPr>
                <w:rFonts w:hint="eastAsia" w:ascii="Times New Roman" w:hAnsi="Times New Roman" w:eastAsia="宋体" w:cs="Times New Roman"/>
                <w:color w:val="auto"/>
                <w:sz w:val="21"/>
                <w:szCs w:val="21"/>
                <w:lang w:val="en-US" w:eastAsia="zh-CN"/>
              </w:rPr>
              <w:t>2</w:t>
            </w:r>
          </w:p>
        </w:tc>
        <w:tc>
          <w:tcPr>
            <w:tcW w:w="304" w:type="pct"/>
            <w:vMerge w:val="continue"/>
            <w:tcBorders/>
            <w:noWrap w:val="0"/>
            <w:vAlign w:val="center"/>
          </w:tcPr>
          <w:p w14:paraId="391EEC3A">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restart"/>
            <w:noWrap w:val="0"/>
            <w:vAlign w:val="center"/>
          </w:tcPr>
          <w:p w14:paraId="5E3DD791">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混砂</w:t>
            </w:r>
          </w:p>
        </w:tc>
        <w:tc>
          <w:tcPr>
            <w:tcW w:w="347" w:type="pct"/>
            <w:vMerge w:val="restart"/>
            <w:noWrap w:val="0"/>
            <w:vAlign w:val="center"/>
          </w:tcPr>
          <w:p w14:paraId="0221312A">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混砂</w:t>
            </w:r>
          </w:p>
        </w:tc>
        <w:tc>
          <w:tcPr>
            <w:tcW w:w="747" w:type="pct"/>
            <w:noWrap w:val="0"/>
            <w:vAlign w:val="center"/>
          </w:tcPr>
          <w:p w14:paraId="23CB1AB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碗形混砂机</w:t>
            </w:r>
          </w:p>
        </w:tc>
        <w:tc>
          <w:tcPr>
            <w:tcW w:w="668" w:type="pct"/>
            <w:noWrap w:val="0"/>
            <w:vAlign w:val="center"/>
          </w:tcPr>
          <w:p w14:paraId="6C5C3B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0048</w:t>
            </w:r>
          </w:p>
        </w:tc>
        <w:tc>
          <w:tcPr>
            <w:tcW w:w="400" w:type="pct"/>
            <w:noWrap w:val="0"/>
            <w:vAlign w:val="center"/>
          </w:tcPr>
          <w:p w14:paraId="0EC504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436AC0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0ED1687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6ED95D26">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1t/h/</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04F1850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3EF6312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6BAE9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609CBA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w:t>
            </w:r>
            <w:r>
              <w:rPr>
                <w:rFonts w:hint="eastAsia" w:ascii="Times New Roman" w:hAnsi="Times New Roman" w:eastAsia="宋体" w:cs="Times New Roman"/>
                <w:color w:val="auto"/>
                <w:sz w:val="21"/>
                <w:szCs w:val="21"/>
                <w:lang w:val="en-US" w:eastAsia="zh-CN"/>
              </w:rPr>
              <w:t>3</w:t>
            </w:r>
          </w:p>
        </w:tc>
        <w:tc>
          <w:tcPr>
            <w:tcW w:w="304" w:type="pct"/>
            <w:vMerge w:val="continue"/>
            <w:tcBorders/>
            <w:noWrap w:val="0"/>
            <w:vAlign w:val="center"/>
          </w:tcPr>
          <w:p w14:paraId="62DFD336">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329876D6">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69289FE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75BF972D">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碗形混砂机</w:t>
            </w:r>
          </w:p>
        </w:tc>
        <w:tc>
          <w:tcPr>
            <w:tcW w:w="668" w:type="pct"/>
            <w:noWrap w:val="0"/>
            <w:vAlign w:val="center"/>
          </w:tcPr>
          <w:p w14:paraId="2B5AA8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0049</w:t>
            </w:r>
          </w:p>
        </w:tc>
        <w:tc>
          <w:tcPr>
            <w:tcW w:w="400" w:type="pct"/>
            <w:noWrap w:val="0"/>
            <w:vAlign w:val="center"/>
          </w:tcPr>
          <w:p w14:paraId="140ACA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319626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6AED41D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5401073A">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1t/h</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651E262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288FE6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30A71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3DDCDF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w:t>
            </w:r>
            <w:r>
              <w:rPr>
                <w:rFonts w:hint="eastAsia" w:ascii="Times New Roman" w:hAnsi="Times New Roman" w:eastAsia="宋体" w:cs="Times New Roman"/>
                <w:color w:val="auto"/>
                <w:sz w:val="21"/>
                <w:szCs w:val="21"/>
                <w:lang w:val="en-US" w:eastAsia="zh-CN"/>
              </w:rPr>
              <w:t>4</w:t>
            </w:r>
          </w:p>
        </w:tc>
        <w:tc>
          <w:tcPr>
            <w:tcW w:w="304" w:type="pct"/>
            <w:vMerge w:val="continue"/>
            <w:tcBorders/>
            <w:noWrap w:val="0"/>
            <w:vAlign w:val="center"/>
          </w:tcPr>
          <w:p w14:paraId="1DB9E5B4">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2551A995">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砂处理</w:t>
            </w:r>
          </w:p>
        </w:tc>
        <w:tc>
          <w:tcPr>
            <w:tcW w:w="347" w:type="pct"/>
            <w:noWrap w:val="0"/>
            <w:vAlign w:val="center"/>
          </w:tcPr>
          <w:p w14:paraId="5A22FEA3">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砂处理</w:t>
            </w:r>
          </w:p>
        </w:tc>
        <w:tc>
          <w:tcPr>
            <w:tcW w:w="747" w:type="pct"/>
            <w:noWrap w:val="0"/>
            <w:vAlign w:val="center"/>
          </w:tcPr>
          <w:p w14:paraId="4B156A9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砂处理及其除尘系统</w:t>
            </w:r>
          </w:p>
        </w:tc>
        <w:tc>
          <w:tcPr>
            <w:tcW w:w="668" w:type="pct"/>
            <w:noWrap w:val="0"/>
            <w:vAlign w:val="center"/>
          </w:tcPr>
          <w:p w14:paraId="701A1E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0050</w:t>
            </w:r>
          </w:p>
        </w:tc>
        <w:tc>
          <w:tcPr>
            <w:tcW w:w="400" w:type="pct"/>
            <w:noWrap w:val="0"/>
            <w:vAlign w:val="center"/>
          </w:tcPr>
          <w:p w14:paraId="348438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6CA3E1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3D9F8D9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29E0A414">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非标</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186AB2A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4FBBBF3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5FEFA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C7F62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25</w:t>
            </w:r>
          </w:p>
        </w:tc>
        <w:tc>
          <w:tcPr>
            <w:tcW w:w="304" w:type="pct"/>
            <w:vMerge w:val="continue"/>
            <w:tcBorders/>
            <w:noWrap w:val="0"/>
            <w:vAlign w:val="center"/>
          </w:tcPr>
          <w:p w14:paraId="31917245">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7760EB8D">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落砂</w:t>
            </w:r>
          </w:p>
        </w:tc>
        <w:tc>
          <w:tcPr>
            <w:tcW w:w="347" w:type="pct"/>
            <w:noWrap w:val="0"/>
            <w:vAlign w:val="center"/>
          </w:tcPr>
          <w:p w14:paraId="3444003E">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落砂</w:t>
            </w:r>
          </w:p>
        </w:tc>
        <w:tc>
          <w:tcPr>
            <w:tcW w:w="747" w:type="pct"/>
            <w:noWrap w:val="0"/>
            <w:vAlign w:val="center"/>
          </w:tcPr>
          <w:p w14:paraId="146D654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落砂机</w:t>
            </w:r>
          </w:p>
        </w:tc>
        <w:tc>
          <w:tcPr>
            <w:tcW w:w="668" w:type="pct"/>
            <w:noWrap w:val="0"/>
            <w:vAlign w:val="center"/>
          </w:tcPr>
          <w:p w14:paraId="6D2C3C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0051</w:t>
            </w:r>
          </w:p>
        </w:tc>
        <w:tc>
          <w:tcPr>
            <w:tcW w:w="400" w:type="pct"/>
            <w:noWrap w:val="0"/>
            <w:vAlign w:val="center"/>
          </w:tcPr>
          <w:p w14:paraId="7B2D4A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761B65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108746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5249D6A">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10 t</w:t>
            </w:r>
            <w:r>
              <w:rPr>
                <w:rFonts w:hint="eastAsia" w:ascii="宋体" w:hAnsi="宋体" w:eastAsia="宋体" w:cs="宋体"/>
                <w:i w:val="0"/>
                <w:iCs w:val="0"/>
                <w:color w:val="auto"/>
                <w:kern w:val="0"/>
                <w:sz w:val="21"/>
                <w:szCs w:val="21"/>
                <w:u w:val="none"/>
                <w:lang w:val="en-US" w:eastAsia="zh-CN" w:bidi="ar"/>
              </w:rPr>
              <w:t>、国产</w:t>
            </w:r>
          </w:p>
        </w:tc>
        <w:tc>
          <w:tcPr>
            <w:tcW w:w="0" w:type="auto"/>
            <w:noWrap w:val="0"/>
            <w:vAlign w:val="center"/>
          </w:tcPr>
          <w:p w14:paraId="0129178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24F9BE7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5D2DC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FBC30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26</w:t>
            </w:r>
          </w:p>
        </w:tc>
        <w:tc>
          <w:tcPr>
            <w:tcW w:w="304" w:type="pct"/>
            <w:vMerge w:val="continue"/>
            <w:tcBorders/>
            <w:noWrap w:val="0"/>
            <w:vAlign w:val="center"/>
          </w:tcPr>
          <w:p w14:paraId="59B00F9F">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391319B1">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废气处理</w:t>
            </w:r>
          </w:p>
        </w:tc>
        <w:tc>
          <w:tcPr>
            <w:tcW w:w="347" w:type="pct"/>
            <w:noWrap w:val="0"/>
            <w:vAlign w:val="center"/>
          </w:tcPr>
          <w:p w14:paraId="4409246A">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废气处理</w:t>
            </w:r>
          </w:p>
        </w:tc>
        <w:tc>
          <w:tcPr>
            <w:tcW w:w="747" w:type="pct"/>
            <w:noWrap w:val="0"/>
            <w:vAlign w:val="center"/>
          </w:tcPr>
          <w:p w14:paraId="58F6135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浇铸线除尘系统</w:t>
            </w:r>
          </w:p>
        </w:tc>
        <w:tc>
          <w:tcPr>
            <w:tcW w:w="668" w:type="pct"/>
            <w:noWrap w:val="0"/>
            <w:vAlign w:val="center"/>
          </w:tcPr>
          <w:p w14:paraId="3D87C0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0052</w:t>
            </w:r>
          </w:p>
        </w:tc>
        <w:tc>
          <w:tcPr>
            <w:tcW w:w="400" w:type="pct"/>
            <w:noWrap w:val="0"/>
            <w:vAlign w:val="center"/>
          </w:tcPr>
          <w:p w14:paraId="74727CF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54B80B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6B05D1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6B0A09E3">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非标、国产</w:t>
            </w:r>
          </w:p>
        </w:tc>
        <w:tc>
          <w:tcPr>
            <w:tcW w:w="0" w:type="auto"/>
            <w:noWrap w:val="0"/>
            <w:vAlign w:val="center"/>
          </w:tcPr>
          <w:p w14:paraId="742104D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276D073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2B29F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 w:hRule="atLeast"/>
          <w:jc w:val="center"/>
        </w:trPr>
        <w:tc>
          <w:tcPr>
            <w:tcW w:w="0" w:type="auto"/>
            <w:noWrap w:val="0"/>
            <w:vAlign w:val="center"/>
          </w:tcPr>
          <w:p w14:paraId="6754A37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27</w:t>
            </w:r>
          </w:p>
        </w:tc>
        <w:tc>
          <w:tcPr>
            <w:tcW w:w="304" w:type="pct"/>
            <w:vMerge w:val="continue"/>
            <w:tcBorders/>
            <w:noWrap w:val="0"/>
            <w:vAlign w:val="center"/>
          </w:tcPr>
          <w:p w14:paraId="5EE8605E">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2161787B">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熔化</w:t>
            </w:r>
          </w:p>
        </w:tc>
        <w:tc>
          <w:tcPr>
            <w:tcW w:w="347" w:type="pct"/>
            <w:noWrap w:val="0"/>
            <w:vAlign w:val="center"/>
          </w:tcPr>
          <w:p w14:paraId="049A30D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熔化</w:t>
            </w:r>
          </w:p>
        </w:tc>
        <w:tc>
          <w:tcPr>
            <w:tcW w:w="747" w:type="pct"/>
            <w:noWrap w:val="0"/>
            <w:vAlign w:val="center"/>
          </w:tcPr>
          <w:p w14:paraId="61A078C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高频电炉</w:t>
            </w:r>
          </w:p>
        </w:tc>
        <w:tc>
          <w:tcPr>
            <w:tcW w:w="668" w:type="pct"/>
            <w:noWrap w:val="0"/>
            <w:vAlign w:val="center"/>
          </w:tcPr>
          <w:p w14:paraId="39BDF4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0053、</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0054</w:t>
            </w:r>
          </w:p>
        </w:tc>
        <w:tc>
          <w:tcPr>
            <w:tcW w:w="400" w:type="pct"/>
            <w:noWrap w:val="0"/>
            <w:vAlign w:val="center"/>
          </w:tcPr>
          <w:p w14:paraId="527C18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7C7A85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4AE1F36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7D6CA2D4">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GW-0.15T-250</w:t>
            </w:r>
            <w:r>
              <w:rPr>
                <w:rFonts w:hint="eastAsia" w:cs="Times New Roman"/>
                <w:i w:val="0"/>
                <w:iCs w:val="0"/>
                <w:color w:val="auto"/>
                <w:kern w:val="0"/>
                <w:sz w:val="21"/>
                <w:szCs w:val="21"/>
                <w:u w:val="none"/>
                <w:lang w:val="en-US" w:eastAsia="zh-CN" w:bidi="ar"/>
              </w:rPr>
              <w:t>kW</w:t>
            </w:r>
            <w:r>
              <w:rPr>
                <w:rFonts w:hint="default" w:ascii="Times New Roman" w:hAnsi="Times New Roman" w:eastAsia="宋体" w:cs="Times New Roman"/>
                <w:i w:val="0"/>
                <w:iCs w:val="0"/>
                <w:color w:val="auto"/>
                <w:kern w:val="0"/>
                <w:sz w:val="21"/>
                <w:szCs w:val="21"/>
                <w:u w:val="none"/>
                <w:lang w:val="en-US" w:eastAsia="zh-CN" w:bidi="ar"/>
              </w:rPr>
              <w:t>/2.5S</w:t>
            </w:r>
          </w:p>
        </w:tc>
        <w:tc>
          <w:tcPr>
            <w:tcW w:w="0" w:type="auto"/>
            <w:noWrap w:val="0"/>
            <w:vAlign w:val="center"/>
          </w:tcPr>
          <w:p w14:paraId="5547594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6C8F908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42BE9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069F72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28</w:t>
            </w:r>
          </w:p>
        </w:tc>
        <w:tc>
          <w:tcPr>
            <w:tcW w:w="304" w:type="pct"/>
            <w:vMerge w:val="continue"/>
            <w:tcBorders/>
            <w:noWrap w:val="0"/>
            <w:vAlign w:val="center"/>
          </w:tcPr>
          <w:p w14:paraId="15DF6A6D">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55680F38">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浇铸</w:t>
            </w:r>
          </w:p>
        </w:tc>
        <w:tc>
          <w:tcPr>
            <w:tcW w:w="347" w:type="pct"/>
            <w:noWrap w:val="0"/>
            <w:vAlign w:val="center"/>
          </w:tcPr>
          <w:p w14:paraId="1B3F3AD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浇铸</w:t>
            </w:r>
          </w:p>
        </w:tc>
        <w:tc>
          <w:tcPr>
            <w:tcW w:w="747" w:type="pct"/>
            <w:noWrap w:val="0"/>
            <w:vAlign w:val="center"/>
          </w:tcPr>
          <w:p w14:paraId="55B7674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浇铸机械手</w:t>
            </w:r>
          </w:p>
        </w:tc>
        <w:tc>
          <w:tcPr>
            <w:tcW w:w="668" w:type="pct"/>
            <w:noWrap w:val="0"/>
            <w:vAlign w:val="center"/>
          </w:tcPr>
          <w:p w14:paraId="797395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0055</w:t>
            </w:r>
          </w:p>
        </w:tc>
        <w:tc>
          <w:tcPr>
            <w:tcW w:w="400" w:type="pct"/>
            <w:noWrap w:val="0"/>
            <w:vAlign w:val="center"/>
          </w:tcPr>
          <w:p w14:paraId="76A6F5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2AECD9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03D4760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B83E37F">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R=3.5m</w:t>
            </w:r>
            <w:r>
              <w:rPr>
                <w:rFonts w:hint="eastAsia"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200kg</w:t>
            </w:r>
          </w:p>
        </w:tc>
        <w:tc>
          <w:tcPr>
            <w:tcW w:w="0" w:type="auto"/>
            <w:noWrap w:val="0"/>
            <w:vAlign w:val="center"/>
          </w:tcPr>
          <w:p w14:paraId="4B316FF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336E39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65DEC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C1C76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29</w:t>
            </w:r>
          </w:p>
        </w:tc>
        <w:tc>
          <w:tcPr>
            <w:tcW w:w="304" w:type="pct"/>
            <w:vMerge w:val="continue"/>
            <w:tcBorders/>
            <w:noWrap w:val="0"/>
            <w:vAlign w:val="center"/>
          </w:tcPr>
          <w:p w14:paraId="603EBADF">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74ED8939">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运输</w:t>
            </w:r>
          </w:p>
        </w:tc>
        <w:tc>
          <w:tcPr>
            <w:tcW w:w="347" w:type="pct"/>
            <w:noWrap w:val="0"/>
            <w:vAlign w:val="center"/>
          </w:tcPr>
          <w:p w14:paraId="454D9FC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运输</w:t>
            </w:r>
          </w:p>
        </w:tc>
        <w:tc>
          <w:tcPr>
            <w:tcW w:w="747" w:type="pct"/>
            <w:noWrap w:val="0"/>
            <w:vAlign w:val="center"/>
          </w:tcPr>
          <w:p w14:paraId="6F9934D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叉车</w:t>
            </w:r>
          </w:p>
        </w:tc>
        <w:tc>
          <w:tcPr>
            <w:tcW w:w="668" w:type="pct"/>
            <w:noWrap w:val="0"/>
            <w:vAlign w:val="center"/>
          </w:tcPr>
          <w:p w14:paraId="6CF79D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0056</w:t>
            </w:r>
          </w:p>
        </w:tc>
        <w:tc>
          <w:tcPr>
            <w:tcW w:w="400" w:type="pct"/>
            <w:noWrap w:val="0"/>
            <w:vAlign w:val="center"/>
          </w:tcPr>
          <w:p w14:paraId="7EAA59F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6E0781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141B67B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2806A57A">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CPCD30-Q19K</w:t>
            </w:r>
          </w:p>
        </w:tc>
        <w:tc>
          <w:tcPr>
            <w:tcW w:w="0" w:type="auto"/>
            <w:noWrap w:val="0"/>
            <w:vAlign w:val="center"/>
          </w:tcPr>
          <w:p w14:paraId="007FE22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1C0BB16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0A0AE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0ED4FA2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8"/>
                <w:sz w:val="21"/>
                <w:szCs w:val="21"/>
                <w:lang w:val="en-US" w:eastAsia="zh-CN"/>
              </w:rPr>
            </w:pPr>
            <w:r>
              <w:rPr>
                <w:rFonts w:hint="eastAsia" w:ascii="Times New Roman" w:hAnsi="Times New Roman" w:eastAsia="宋体" w:cs="Times New Roman"/>
                <w:color w:val="auto"/>
                <w:spacing w:val="-8"/>
                <w:sz w:val="21"/>
                <w:szCs w:val="21"/>
                <w:lang w:val="en-US" w:eastAsia="zh-CN"/>
              </w:rPr>
              <w:t>30</w:t>
            </w:r>
          </w:p>
        </w:tc>
        <w:tc>
          <w:tcPr>
            <w:tcW w:w="304" w:type="pct"/>
            <w:vMerge w:val="continue"/>
            <w:tcBorders/>
            <w:noWrap w:val="0"/>
            <w:vAlign w:val="center"/>
          </w:tcPr>
          <w:p w14:paraId="0E03932C">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restart"/>
            <w:noWrap w:val="0"/>
            <w:vAlign w:val="center"/>
          </w:tcPr>
          <w:p w14:paraId="43F6D08D">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射芯</w:t>
            </w:r>
          </w:p>
        </w:tc>
        <w:tc>
          <w:tcPr>
            <w:tcW w:w="347" w:type="pct"/>
            <w:vMerge w:val="restart"/>
            <w:noWrap w:val="0"/>
            <w:vAlign w:val="center"/>
          </w:tcPr>
          <w:p w14:paraId="448B098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i w:val="0"/>
                <w:iCs w:val="0"/>
                <w:color w:val="auto"/>
                <w:kern w:val="0"/>
                <w:sz w:val="21"/>
                <w:szCs w:val="21"/>
                <w:u w:val="none"/>
                <w:lang w:val="en-US" w:eastAsia="zh-CN" w:bidi="ar"/>
              </w:rPr>
              <w:t>射芯</w:t>
            </w:r>
          </w:p>
        </w:tc>
        <w:tc>
          <w:tcPr>
            <w:tcW w:w="747" w:type="pct"/>
            <w:noWrap w:val="0"/>
            <w:vAlign w:val="center"/>
          </w:tcPr>
          <w:p w14:paraId="4017BD44">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全自动</w:t>
            </w:r>
            <w:r>
              <w:rPr>
                <w:rStyle w:val="126"/>
                <w:rFonts w:hint="eastAsia" w:ascii="Times New Roman" w:hAnsi="Times New Roman" w:eastAsia="宋体" w:cs="Times New Roman"/>
                <w:color w:val="auto"/>
                <w:sz w:val="21"/>
                <w:szCs w:val="21"/>
                <w:lang w:val="en-US" w:eastAsia="zh-CN" w:bidi="ar"/>
              </w:rPr>
              <w:t>射芯</w:t>
            </w:r>
            <w:r>
              <w:rPr>
                <w:rStyle w:val="126"/>
                <w:rFonts w:hint="default" w:ascii="Times New Roman" w:hAnsi="Times New Roman" w:eastAsia="宋体" w:cs="Times New Roman"/>
                <w:color w:val="auto"/>
                <w:sz w:val="21"/>
                <w:szCs w:val="21"/>
                <w:lang w:val="en-US" w:eastAsia="zh-CN" w:bidi="ar"/>
              </w:rPr>
              <w:t>机</w:t>
            </w:r>
          </w:p>
        </w:tc>
        <w:tc>
          <w:tcPr>
            <w:tcW w:w="668" w:type="pct"/>
            <w:noWrap w:val="0"/>
            <w:vAlign w:val="center"/>
          </w:tcPr>
          <w:p w14:paraId="3EBDFF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0057~</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0060</w:t>
            </w:r>
          </w:p>
        </w:tc>
        <w:tc>
          <w:tcPr>
            <w:tcW w:w="400" w:type="pct"/>
            <w:noWrap w:val="0"/>
            <w:vAlign w:val="center"/>
          </w:tcPr>
          <w:p w14:paraId="344F77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2DF22A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47FFDE2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1AE8345E">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FY-800</w:t>
            </w:r>
          </w:p>
        </w:tc>
        <w:tc>
          <w:tcPr>
            <w:tcW w:w="0" w:type="auto"/>
            <w:noWrap w:val="0"/>
            <w:vAlign w:val="center"/>
          </w:tcPr>
          <w:p w14:paraId="6990983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752057E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745A1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AF75F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31</w:t>
            </w:r>
          </w:p>
        </w:tc>
        <w:tc>
          <w:tcPr>
            <w:tcW w:w="304" w:type="pct"/>
            <w:vMerge w:val="continue"/>
            <w:tcBorders/>
            <w:noWrap w:val="0"/>
            <w:vAlign w:val="center"/>
          </w:tcPr>
          <w:p w14:paraId="112AA4DB">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vMerge w:val="continue"/>
            <w:noWrap w:val="0"/>
            <w:vAlign w:val="center"/>
          </w:tcPr>
          <w:p w14:paraId="2AD48245">
            <w:pPr>
              <w:jc w:val="center"/>
              <w:rPr>
                <w:rFonts w:hint="eastAsia" w:ascii="Times New Roman" w:hAnsi="Times New Roman" w:cs="Times New Roman"/>
                <w:color w:val="auto"/>
                <w:sz w:val="21"/>
                <w:szCs w:val="21"/>
                <w:lang w:val="en-US" w:eastAsia="zh-CN"/>
              </w:rPr>
            </w:pPr>
          </w:p>
        </w:tc>
        <w:tc>
          <w:tcPr>
            <w:tcW w:w="347" w:type="pct"/>
            <w:vMerge w:val="continue"/>
            <w:noWrap w:val="0"/>
            <w:vAlign w:val="center"/>
          </w:tcPr>
          <w:p w14:paraId="3286AF5C">
            <w:pPr>
              <w:jc w:val="center"/>
              <w:rPr>
                <w:rFonts w:hint="default" w:ascii="Times New Roman" w:hAnsi="Times New Roman" w:eastAsia="宋体" w:cs="Times New Roman"/>
                <w:color w:val="auto"/>
                <w:sz w:val="21"/>
                <w:szCs w:val="21"/>
                <w:lang w:val="en-US" w:eastAsia="zh-CN"/>
              </w:rPr>
            </w:pPr>
          </w:p>
        </w:tc>
        <w:tc>
          <w:tcPr>
            <w:tcW w:w="747" w:type="pct"/>
            <w:noWrap w:val="0"/>
            <w:vAlign w:val="center"/>
          </w:tcPr>
          <w:p w14:paraId="182360EE">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全自动</w:t>
            </w:r>
            <w:r>
              <w:rPr>
                <w:rStyle w:val="126"/>
                <w:rFonts w:hint="eastAsia" w:ascii="Times New Roman" w:hAnsi="Times New Roman" w:eastAsia="宋体" w:cs="Times New Roman"/>
                <w:color w:val="auto"/>
                <w:sz w:val="21"/>
                <w:szCs w:val="21"/>
                <w:lang w:val="en-US" w:eastAsia="zh-CN" w:bidi="ar"/>
              </w:rPr>
              <w:t>射芯</w:t>
            </w:r>
            <w:r>
              <w:rPr>
                <w:rStyle w:val="126"/>
                <w:rFonts w:hint="default" w:ascii="Times New Roman" w:hAnsi="Times New Roman" w:eastAsia="宋体" w:cs="Times New Roman"/>
                <w:color w:val="auto"/>
                <w:sz w:val="21"/>
                <w:szCs w:val="21"/>
                <w:lang w:val="en-US" w:eastAsia="zh-CN" w:bidi="ar"/>
              </w:rPr>
              <w:t>机</w:t>
            </w:r>
          </w:p>
        </w:tc>
        <w:tc>
          <w:tcPr>
            <w:tcW w:w="668" w:type="pct"/>
            <w:noWrap w:val="0"/>
            <w:vAlign w:val="center"/>
          </w:tcPr>
          <w:p w14:paraId="699234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0061</w:t>
            </w:r>
          </w:p>
        </w:tc>
        <w:tc>
          <w:tcPr>
            <w:tcW w:w="400" w:type="pct"/>
            <w:noWrap w:val="0"/>
            <w:vAlign w:val="center"/>
          </w:tcPr>
          <w:p w14:paraId="1C340F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1844BA8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2A6A537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65568122">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FY-1000</w:t>
            </w:r>
          </w:p>
        </w:tc>
        <w:tc>
          <w:tcPr>
            <w:tcW w:w="0" w:type="auto"/>
            <w:noWrap w:val="0"/>
            <w:vAlign w:val="center"/>
          </w:tcPr>
          <w:p w14:paraId="469A911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6C0A89C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r w14:paraId="10E45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4682DF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32</w:t>
            </w:r>
          </w:p>
        </w:tc>
        <w:tc>
          <w:tcPr>
            <w:tcW w:w="304" w:type="pct"/>
            <w:vMerge w:val="continue"/>
            <w:tcBorders/>
            <w:noWrap w:val="0"/>
            <w:vAlign w:val="center"/>
          </w:tcPr>
          <w:p w14:paraId="0890D7D7">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101D420D">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造型</w:t>
            </w:r>
          </w:p>
        </w:tc>
        <w:tc>
          <w:tcPr>
            <w:tcW w:w="347" w:type="pct"/>
            <w:noWrap w:val="0"/>
            <w:vAlign w:val="center"/>
          </w:tcPr>
          <w:p w14:paraId="73DBEA3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造型</w:t>
            </w:r>
          </w:p>
        </w:tc>
        <w:tc>
          <w:tcPr>
            <w:tcW w:w="747" w:type="pct"/>
            <w:noWrap w:val="0"/>
            <w:vAlign w:val="center"/>
          </w:tcPr>
          <w:p w14:paraId="5847945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eastAsia" w:cs="Times New Roman"/>
                <w:color w:val="auto"/>
                <w:sz w:val="21"/>
                <w:szCs w:val="21"/>
                <w:lang w:val="en-US" w:eastAsia="zh-CN" w:bidi="ar"/>
              </w:rPr>
              <w:t>覆膜砂</w:t>
            </w:r>
            <w:r>
              <w:rPr>
                <w:rStyle w:val="126"/>
                <w:rFonts w:hint="default" w:ascii="Times New Roman" w:hAnsi="Times New Roman" w:eastAsia="宋体" w:cs="Times New Roman"/>
                <w:color w:val="auto"/>
                <w:sz w:val="21"/>
                <w:szCs w:val="21"/>
                <w:lang w:val="en-US" w:eastAsia="zh-CN" w:bidi="ar"/>
              </w:rPr>
              <w:t>模具</w:t>
            </w:r>
          </w:p>
        </w:tc>
        <w:tc>
          <w:tcPr>
            <w:tcW w:w="668" w:type="pct"/>
            <w:noWrap w:val="0"/>
            <w:vAlign w:val="center"/>
          </w:tcPr>
          <w:p w14:paraId="52C1ACB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pacing w:val="7"/>
                <w:sz w:val="21"/>
                <w:szCs w:val="21"/>
                <w:lang w:val="en-US" w:eastAsia="zh-CN"/>
              </w:rPr>
              <w:t>/</w:t>
            </w:r>
          </w:p>
        </w:tc>
        <w:tc>
          <w:tcPr>
            <w:tcW w:w="400" w:type="pct"/>
            <w:noWrap w:val="0"/>
            <w:vAlign w:val="center"/>
          </w:tcPr>
          <w:p w14:paraId="5F672D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7D8BC3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33F8A12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50EAF139">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w:t>
            </w:r>
          </w:p>
        </w:tc>
        <w:tc>
          <w:tcPr>
            <w:tcW w:w="0" w:type="auto"/>
            <w:noWrap w:val="0"/>
            <w:vAlign w:val="center"/>
          </w:tcPr>
          <w:p w14:paraId="456AF6D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6339CAC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345</w:t>
            </w:r>
            <w:r>
              <w:rPr>
                <w:rFonts w:hint="eastAsia" w:ascii="Times New Roman" w:hAnsi="Times New Roman" w:eastAsia="宋体" w:cs="Times New Roman"/>
                <w:i w:val="0"/>
                <w:iCs w:val="0"/>
                <w:color w:val="auto"/>
                <w:kern w:val="0"/>
                <w:sz w:val="21"/>
                <w:szCs w:val="21"/>
                <w:u w:val="none"/>
                <w:lang w:val="en-US" w:eastAsia="zh-CN" w:bidi="ar"/>
              </w:rPr>
              <w:t>套</w:t>
            </w:r>
          </w:p>
        </w:tc>
      </w:tr>
      <w:tr w14:paraId="25AD0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noWrap w:val="0"/>
            <w:vAlign w:val="center"/>
          </w:tcPr>
          <w:p w14:paraId="7FB770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lang w:val="en-US" w:eastAsia="zh-CN"/>
              </w:rPr>
              <w:t>33</w:t>
            </w:r>
          </w:p>
        </w:tc>
        <w:tc>
          <w:tcPr>
            <w:tcW w:w="304" w:type="pct"/>
            <w:vMerge w:val="continue"/>
            <w:tcBorders/>
            <w:noWrap w:val="0"/>
            <w:vAlign w:val="center"/>
          </w:tcPr>
          <w:p w14:paraId="6E40FBBC">
            <w:pPr>
              <w:pStyle w:val="12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373" w:type="pct"/>
            <w:noWrap w:val="0"/>
            <w:vAlign w:val="center"/>
          </w:tcPr>
          <w:p w14:paraId="724D829B">
            <w:pPr>
              <w:keepNext w:val="0"/>
              <w:keepLines w:val="0"/>
              <w:widowControl/>
              <w:suppressLineNumbers w:val="0"/>
              <w:jc w:val="center"/>
              <w:textAlignment w:val="center"/>
              <w:rPr>
                <w:rFonts w:hint="eastAsia" w:ascii="Times New Roman" w:hAnsi="Times New Roman" w:cs="Times New Roman"/>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废气处理</w:t>
            </w:r>
          </w:p>
        </w:tc>
        <w:tc>
          <w:tcPr>
            <w:tcW w:w="347" w:type="pct"/>
            <w:noWrap w:val="0"/>
            <w:vAlign w:val="center"/>
          </w:tcPr>
          <w:p w14:paraId="6A453AEA">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废气处理</w:t>
            </w:r>
          </w:p>
        </w:tc>
        <w:tc>
          <w:tcPr>
            <w:tcW w:w="747" w:type="pct"/>
            <w:noWrap w:val="0"/>
            <w:vAlign w:val="center"/>
          </w:tcPr>
          <w:p w14:paraId="5F6B5A9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Style w:val="126"/>
                <w:rFonts w:hint="default" w:ascii="Times New Roman" w:hAnsi="Times New Roman" w:eastAsia="宋体" w:cs="Times New Roman"/>
                <w:color w:val="auto"/>
                <w:sz w:val="21"/>
                <w:szCs w:val="21"/>
                <w:lang w:val="en-US" w:eastAsia="zh-CN" w:bidi="ar"/>
              </w:rPr>
              <w:t>环保设施</w:t>
            </w:r>
          </w:p>
        </w:tc>
        <w:tc>
          <w:tcPr>
            <w:tcW w:w="668" w:type="pct"/>
            <w:noWrap w:val="0"/>
            <w:vAlign w:val="center"/>
          </w:tcPr>
          <w:p w14:paraId="16C26E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0062~</w:t>
            </w:r>
            <w:r>
              <w:rPr>
                <w:rFonts w:hint="eastAsia" w:cs="Times New Roman"/>
                <w:color w:val="auto"/>
                <w:spacing w:val="7"/>
                <w:sz w:val="21"/>
                <w:szCs w:val="21"/>
                <w:lang w:val="en-US" w:eastAsia="zh-CN"/>
              </w:rPr>
              <w:t>MF</w:t>
            </w:r>
            <w:r>
              <w:rPr>
                <w:rFonts w:hint="default" w:ascii="Times New Roman" w:hAnsi="Times New Roman" w:eastAsia="宋体" w:cs="Times New Roman"/>
                <w:color w:val="auto"/>
                <w:spacing w:val="7"/>
                <w:sz w:val="21"/>
                <w:szCs w:val="21"/>
                <w:lang w:val="en-US" w:eastAsia="zh-CN"/>
              </w:rPr>
              <w:t>0065</w:t>
            </w:r>
          </w:p>
        </w:tc>
        <w:tc>
          <w:tcPr>
            <w:tcW w:w="400" w:type="pct"/>
            <w:noWrap w:val="0"/>
            <w:vAlign w:val="center"/>
          </w:tcPr>
          <w:p w14:paraId="238E73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2"/>
                <w:position w:val="1"/>
                <w:sz w:val="21"/>
                <w:szCs w:val="21"/>
                <w:lang w:val="en-US" w:eastAsia="zh-CN"/>
              </w:rPr>
            </w:pPr>
          </w:p>
        </w:tc>
        <w:tc>
          <w:tcPr>
            <w:tcW w:w="0" w:type="auto"/>
            <w:noWrap w:val="0"/>
            <w:vAlign w:val="center"/>
          </w:tcPr>
          <w:p w14:paraId="1568E2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0" w:type="auto"/>
            <w:noWrap w:val="0"/>
            <w:vAlign w:val="center"/>
          </w:tcPr>
          <w:p w14:paraId="70A2EC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762" w:type="pct"/>
            <w:noWrap w:val="0"/>
            <w:vAlign w:val="center"/>
          </w:tcPr>
          <w:p w14:paraId="34D0009E">
            <w:pPr>
              <w:keepNext w:val="0"/>
              <w:keepLines w:val="0"/>
              <w:widowControl/>
              <w:suppressLineNumbers w:val="0"/>
              <w:jc w:val="center"/>
              <w:textAlignment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w:t>
            </w:r>
          </w:p>
        </w:tc>
        <w:tc>
          <w:tcPr>
            <w:tcW w:w="0" w:type="auto"/>
            <w:noWrap w:val="0"/>
            <w:vAlign w:val="center"/>
          </w:tcPr>
          <w:p w14:paraId="24D678B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c>
          <w:tcPr>
            <w:tcW w:w="0" w:type="auto"/>
            <w:noWrap w:val="0"/>
            <w:vAlign w:val="center"/>
          </w:tcPr>
          <w:p w14:paraId="4B8248C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auto"/>
                <w:sz w:val="21"/>
                <w:szCs w:val="21"/>
              </w:rPr>
            </w:pPr>
          </w:p>
        </w:tc>
      </w:tr>
    </w:tbl>
    <w:p w14:paraId="0F035C6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lang w:eastAsia="zh-CN"/>
        </w:rPr>
      </w:pPr>
      <w:r>
        <w:rPr>
          <w:rFonts w:hint="default" w:ascii="Times New Roman" w:hAnsi="Times New Roman" w:eastAsia="宋体" w:cs="Times New Roman"/>
          <w:b/>
          <w:bCs/>
          <w:color w:val="auto"/>
          <w:spacing w:val="7"/>
          <w:sz w:val="24"/>
          <w:szCs w:val="24"/>
          <w:lang w:eastAsia="zh-CN"/>
        </w:rPr>
        <w:t>表4</w:t>
      </w:r>
      <w:r>
        <w:rPr>
          <w:rFonts w:hint="eastAsia" w:ascii="Times New Roman" w:hAnsi="Times New Roman" w:eastAsia="宋体" w:cs="Times New Roman"/>
          <w:b/>
          <w:bCs/>
          <w:color w:val="auto"/>
          <w:spacing w:val="7"/>
          <w:sz w:val="24"/>
          <w:szCs w:val="24"/>
          <w:lang w:val="en-US" w:eastAsia="zh-CN"/>
        </w:rPr>
        <w:t xml:space="preserve">  </w:t>
      </w:r>
      <w:r>
        <w:rPr>
          <w:rFonts w:hint="default" w:ascii="Times New Roman" w:hAnsi="Times New Roman" w:eastAsia="宋体" w:cs="Times New Roman"/>
          <w:b/>
          <w:bCs/>
          <w:color w:val="auto"/>
          <w:spacing w:val="7"/>
          <w:sz w:val="24"/>
          <w:szCs w:val="24"/>
          <w:lang w:eastAsia="zh-CN"/>
        </w:rPr>
        <w:t>建设项目废气产排污节点、污染物及污染治理设施信息表</w:t>
      </w:r>
    </w:p>
    <w:tbl>
      <w:tblPr>
        <w:tblStyle w:val="129"/>
        <w:tblW w:w="510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4"/>
        <w:gridCol w:w="614"/>
        <w:gridCol w:w="627"/>
        <w:gridCol w:w="811"/>
        <w:gridCol w:w="557"/>
        <w:gridCol w:w="1122"/>
        <w:gridCol w:w="509"/>
        <w:gridCol w:w="558"/>
        <w:gridCol w:w="878"/>
        <w:gridCol w:w="890"/>
        <w:gridCol w:w="594"/>
        <w:gridCol w:w="643"/>
        <w:gridCol w:w="598"/>
        <w:gridCol w:w="777"/>
        <w:gridCol w:w="638"/>
        <w:gridCol w:w="684"/>
        <w:gridCol w:w="617"/>
        <w:gridCol w:w="1007"/>
        <w:gridCol w:w="746"/>
        <w:gridCol w:w="622"/>
        <w:gridCol w:w="470"/>
      </w:tblGrid>
      <w:tr w14:paraId="51219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63" w:type="dxa"/>
            <w:vMerge w:val="restart"/>
            <w:tcBorders>
              <w:top w:val="single" w:color="000000" w:sz="10" w:space="0"/>
              <w:left w:val="single" w:color="000000" w:sz="10" w:space="0"/>
              <w:bottom w:val="nil"/>
            </w:tcBorders>
            <w:noWrap w:val="0"/>
            <w:textDirection w:val="tbRlV"/>
            <w:vAlign w:val="center"/>
          </w:tcPr>
          <w:p w14:paraId="5218D734">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序号</w:t>
            </w:r>
          </w:p>
        </w:tc>
        <w:tc>
          <w:tcPr>
            <w:tcW w:w="613" w:type="dxa"/>
            <w:vMerge w:val="restart"/>
            <w:tcBorders>
              <w:top w:val="single" w:color="000000" w:sz="10" w:space="0"/>
              <w:bottom w:val="nil"/>
            </w:tcBorders>
            <w:noWrap w:val="0"/>
            <w:vAlign w:val="center"/>
          </w:tcPr>
          <w:p w14:paraId="2310229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主要生产单元名称</w:t>
            </w:r>
          </w:p>
        </w:tc>
        <w:tc>
          <w:tcPr>
            <w:tcW w:w="626" w:type="dxa"/>
            <w:vMerge w:val="restart"/>
            <w:tcBorders>
              <w:top w:val="single" w:color="000000" w:sz="10" w:space="0"/>
              <w:bottom w:val="nil"/>
            </w:tcBorders>
            <w:noWrap w:val="0"/>
            <w:vAlign w:val="center"/>
          </w:tcPr>
          <w:p w14:paraId="5E1154D5">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生产设施编号</w:t>
            </w:r>
          </w:p>
        </w:tc>
        <w:tc>
          <w:tcPr>
            <w:tcW w:w="810" w:type="dxa"/>
            <w:vMerge w:val="restart"/>
            <w:tcBorders>
              <w:top w:val="single" w:color="000000" w:sz="10" w:space="0"/>
              <w:bottom w:val="nil"/>
            </w:tcBorders>
            <w:noWrap w:val="0"/>
            <w:vAlign w:val="center"/>
          </w:tcPr>
          <w:p w14:paraId="79BCD809">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生产设施名称</w:t>
            </w:r>
          </w:p>
        </w:tc>
        <w:tc>
          <w:tcPr>
            <w:tcW w:w="556" w:type="dxa"/>
            <w:vMerge w:val="restart"/>
            <w:tcBorders>
              <w:top w:val="single" w:color="000000" w:sz="10" w:space="0"/>
              <w:bottom w:val="nil"/>
            </w:tcBorders>
            <w:noWrap w:val="0"/>
            <w:vAlign w:val="center"/>
          </w:tcPr>
          <w:p w14:paraId="16C1F182">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对应产污环节名称</w:t>
            </w:r>
          </w:p>
        </w:tc>
        <w:tc>
          <w:tcPr>
            <w:tcW w:w="1120" w:type="dxa"/>
            <w:vMerge w:val="restart"/>
            <w:tcBorders>
              <w:top w:val="single" w:color="000000" w:sz="10" w:space="0"/>
              <w:bottom w:val="nil"/>
              <w:right w:val="single" w:color="000000" w:sz="4" w:space="0"/>
            </w:tcBorders>
            <w:noWrap w:val="0"/>
            <w:vAlign w:val="center"/>
          </w:tcPr>
          <w:p w14:paraId="04479C6D">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污染物种类</w:t>
            </w:r>
          </w:p>
        </w:tc>
        <w:tc>
          <w:tcPr>
            <w:tcW w:w="508" w:type="dxa"/>
            <w:vMerge w:val="restart"/>
            <w:tcBorders>
              <w:top w:val="single" w:color="000000" w:sz="10" w:space="0"/>
              <w:left w:val="single" w:color="000000" w:sz="4" w:space="0"/>
              <w:bottom w:val="nil"/>
            </w:tcBorders>
            <w:noWrap w:val="0"/>
            <w:vAlign w:val="center"/>
          </w:tcPr>
          <w:p w14:paraId="2DDCA1DD">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排放形式</w:t>
            </w:r>
          </w:p>
        </w:tc>
        <w:tc>
          <w:tcPr>
            <w:tcW w:w="6249" w:type="dxa"/>
            <w:gridSpan w:val="9"/>
            <w:tcBorders>
              <w:top w:val="single" w:color="000000" w:sz="10" w:space="0"/>
              <w:bottom w:val="single" w:color="000000" w:sz="4" w:space="0"/>
            </w:tcBorders>
            <w:noWrap w:val="0"/>
            <w:vAlign w:val="center"/>
          </w:tcPr>
          <w:p w14:paraId="0F97E283">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设施参数</w:t>
            </w:r>
          </w:p>
        </w:tc>
        <w:tc>
          <w:tcPr>
            <w:tcW w:w="616" w:type="dxa"/>
            <w:vMerge w:val="restart"/>
            <w:tcBorders>
              <w:top w:val="single" w:color="000000" w:sz="10" w:space="0"/>
              <w:bottom w:val="nil"/>
              <w:right w:val="single" w:color="000000" w:sz="4" w:space="0"/>
            </w:tcBorders>
            <w:noWrap w:val="0"/>
            <w:vAlign w:val="center"/>
          </w:tcPr>
          <w:p w14:paraId="5FC0F6CA">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有组织排放口编号</w:t>
            </w:r>
          </w:p>
        </w:tc>
        <w:tc>
          <w:tcPr>
            <w:tcW w:w="1005" w:type="dxa"/>
            <w:vMerge w:val="restart"/>
            <w:tcBorders>
              <w:top w:val="single" w:color="000000" w:sz="10" w:space="0"/>
              <w:left w:val="single" w:color="000000" w:sz="4" w:space="0"/>
              <w:bottom w:val="nil"/>
              <w:right w:val="single" w:color="000000" w:sz="4" w:space="0"/>
            </w:tcBorders>
            <w:noWrap w:val="0"/>
            <w:vAlign w:val="center"/>
          </w:tcPr>
          <w:p w14:paraId="68F8337D">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有组织排放口名称</w:t>
            </w:r>
          </w:p>
        </w:tc>
        <w:tc>
          <w:tcPr>
            <w:tcW w:w="745" w:type="dxa"/>
            <w:vMerge w:val="restart"/>
            <w:tcBorders>
              <w:top w:val="single" w:color="000000" w:sz="10" w:space="0"/>
              <w:left w:val="single" w:color="000000" w:sz="4" w:space="0"/>
              <w:bottom w:val="nil"/>
              <w:right w:val="single" w:color="000000" w:sz="4" w:space="0"/>
            </w:tcBorders>
            <w:noWrap w:val="0"/>
            <w:vAlign w:val="center"/>
          </w:tcPr>
          <w:p w14:paraId="2E988A77">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排放口设置是否符合要求</w:t>
            </w:r>
          </w:p>
        </w:tc>
        <w:tc>
          <w:tcPr>
            <w:tcW w:w="621" w:type="dxa"/>
            <w:vMerge w:val="restart"/>
            <w:tcBorders>
              <w:top w:val="single" w:color="000000" w:sz="10" w:space="0"/>
              <w:left w:val="single" w:color="000000" w:sz="4" w:space="0"/>
              <w:bottom w:val="nil"/>
            </w:tcBorders>
            <w:noWrap w:val="0"/>
            <w:vAlign w:val="center"/>
          </w:tcPr>
          <w:p w14:paraId="0D4F34C9">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排放口类型</w:t>
            </w:r>
          </w:p>
        </w:tc>
        <w:tc>
          <w:tcPr>
            <w:tcW w:w="469" w:type="dxa"/>
            <w:vMerge w:val="restart"/>
            <w:tcBorders>
              <w:top w:val="single" w:color="000000" w:sz="10" w:space="0"/>
              <w:bottom w:val="nil"/>
              <w:right w:val="single" w:color="000000" w:sz="10" w:space="0"/>
            </w:tcBorders>
            <w:noWrap w:val="0"/>
            <w:textDirection w:val="tbRlV"/>
            <w:vAlign w:val="center"/>
          </w:tcPr>
          <w:p w14:paraId="2798F246">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其他信息</w:t>
            </w:r>
          </w:p>
        </w:tc>
      </w:tr>
      <w:tr w14:paraId="1AC99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63" w:type="dxa"/>
            <w:vMerge w:val="continue"/>
            <w:tcBorders>
              <w:top w:val="nil"/>
              <w:left w:val="single" w:color="000000" w:sz="10" w:space="0"/>
            </w:tcBorders>
            <w:noWrap w:val="0"/>
            <w:textDirection w:val="tbRlV"/>
            <w:vAlign w:val="center"/>
          </w:tcPr>
          <w:p w14:paraId="0309AB5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613" w:type="dxa"/>
            <w:vMerge w:val="continue"/>
            <w:tcBorders>
              <w:top w:val="nil"/>
            </w:tcBorders>
            <w:noWrap w:val="0"/>
            <w:vAlign w:val="center"/>
          </w:tcPr>
          <w:p w14:paraId="634D1516">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626" w:type="dxa"/>
            <w:vMerge w:val="continue"/>
            <w:tcBorders>
              <w:top w:val="nil"/>
            </w:tcBorders>
            <w:noWrap w:val="0"/>
            <w:vAlign w:val="center"/>
          </w:tcPr>
          <w:p w14:paraId="7D53CA4E">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810" w:type="dxa"/>
            <w:vMerge w:val="continue"/>
            <w:tcBorders>
              <w:top w:val="nil"/>
            </w:tcBorders>
            <w:noWrap w:val="0"/>
            <w:vAlign w:val="center"/>
          </w:tcPr>
          <w:p w14:paraId="1919BE12">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556" w:type="dxa"/>
            <w:vMerge w:val="continue"/>
            <w:tcBorders>
              <w:top w:val="nil"/>
            </w:tcBorders>
            <w:noWrap w:val="0"/>
            <w:vAlign w:val="center"/>
          </w:tcPr>
          <w:p w14:paraId="05C58284">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1120" w:type="dxa"/>
            <w:vMerge w:val="continue"/>
            <w:tcBorders>
              <w:top w:val="nil"/>
              <w:right w:val="single" w:color="000000" w:sz="4" w:space="0"/>
            </w:tcBorders>
            <w:noWrap w:val="0"/>
            <w:vAlign w:val="center"/>
          </w:tcPr>
          <w:p w14:paraId="4AD67CD7">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508" w:type="dxa"/>
            <w:vMerge w:val="continue"/>
            <w:tcBorders>
              <w:top w:val="nil"/>
              <w:left w:val="single" w:color="000000" w:sz="4" w:space="0"/>
            </w:tcBorders>
            <w:noWrap w:val="0"/>
            <w:vAlign w:val="center"/>
          </w:tcPr>
          <w:p w14:paraId="44C66A3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p>
        </w:tc>
        <w:tc>
          <w:tcPr>
            <w:tcW w:w="557" w:type="dxa"/>
            <w:tcBorders>
              <w:top w:val="single" w:color="000000" w:sz="4" w:space="0"/>
            </w:tcBorders>
            <w:noWrap w:val="0"/>
            <w:vAlign w:val="center"/>
          </w:tcPr>
          <w:p w14:paraId="5A1967E4">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污染治理设施编号</w:t>
            </w:r>
          </w:p>
        </w:tc>
        <w:tc>
          <w:tcPr>
            <w:tcW w:w="876" w:type="dxa"/>
            <w:tcBorders>
              <w:top w:val="single" w:color="000000" w:sz="4" w:space="0"/>
            </w:tcBorders>
            <w:noWrap w:val="0"/>
            <w:vAlign w:val="center"/>
          </w:tcPr>
          <w:p w14:paraId="0E8E6F1B">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污染治理设施名称</w:t>
            </w:r>
          </w:p>
        </w:tc>
        <w:tc>
          <w:tcPr>
            <w:tcW w:w="888" w:type="dxa"/>
            <w:tcBorders>
              <w:top w:val="single" w:color="000000" w:sz="4" w:space="0"/>
              <w:right w:val="single" w:color="000000" w:sz="4" w:space="0"/>
            </w:tcBorders>
            <w:noWrap w:val="0"/>
            <w:vAlign w:val="center"/>
          </w:tcPr>
          <w:p w14:paraId="1E10CD5F">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污染治理设施工艺</w:t>
            </w:r>
          </w:p>
        </w:tc>
        <w:tc>
          <w:tcPr>
            <w:tcW w:w="593" w:type="dxa"/>
            <w:tcBorders>
              <w:top w:val="single" w:color="000000" w:sz="4" w:space="0"/>
              <w:left w:val="single" w:color="000000" w:sz="4" w:space="0"/>
              <w:right w:val="single" w:color="000000" w:sz="4" w:space="0"/>
            </w:tcBorders>
            <w:noWrap w:val="0"/>
            <w:vAlign w:val="center"/>
          </w:tcPr>
          <w:p w14:paraId="2A2DB42E">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参数名称</w:t>
            </w:r>
          </w:p>
        </w:tc>
        <w:tc>
          <w:tcPr>
            <w:tcW w:w="642" w:type="dxa"/>
            <w:tcBorders>
              <w:top w:val="single" w:color="000000" w:sz="4" w:space="0"/>
              <w:left w:val="single" w:color="000000" w:sz="4" w:space="0"/>
              <w:right w:val="single" w:color="000000" w:sz="4" w:space="0"/>
            </w:tcBorders>
            <w:noWrap w:val="0"/>
            <w:vAlign w:val="center"/>
          </w:tcPr>
          <w:p w14:paraId="75AEE336">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设计值</w:t>
            </w:r>
          </w:p>
        </w:tc>
        <w:tc>
          <w:tcPr>
            <w:tcW w:w="597" w:type="dxa"/>
            <w:tcBorders>
              <w:top w:val="single" w:color="000000" w:sz="4" w:space="0"/>
              <w:left w:val="single" w:color="000000" w:sz="4" w:space="0"/>
              <w:right w:val="single" w:color="000000" w:sz="4" w:space="0"/>
            </w:tcBorders>
            <w:noWrap w:val="0"/>
            <w:vAlign w:val="center"/>
          </w:tcPr>
          <w:p w14:paraId="4E6C6154">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计量单位</w:t>
            </w:r>
          </w:p>
        </w:tc>
        <w:tc>
          <w:tcPr>
            <w:tcW w:w="776" w:type="dxa"/>
            <w:tcBorders>
              <w:top w:val="single" w:color="000000" w:sz="4" w:space="0"/>
              <w:left w:val="single" w:color="000000" w:sz="4" w:space="0"/>
              <w:right w:val="single" w:color="000000" w:sz="4" w:space="0"/>
            </w:tcBorders>
            <w:noWrap w:val="0"/>
            <w:vAlign w:val="center"/>
          </w:tcPr>
          <w:p w14:paraId="5085169D">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其他污染治理设施参数信息</w:t>
            </w:r>
          </w:p>
        </w:tc>
        <w:tc>
          <w:tcPr>
            <w:tcW w:w="637" w:type="dxa"/>
            <w:tcBorders>
              <w:top w:val="single" w:color="000000" w:sz="4" w:space="0"/>
              <w:left w:val="single" w:color="000000" w:sz="4" w:space="0"/>
              <w:right w:val="single" w:color="000000" w:sz="4" w:space="0"/>
            </w:tcBorders>
            <w:noWrap w:val="0"/>
            <w:vAlign w:val="center"/>
          </w:tcPr>
          <w:p w14:paraId="3BA3603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是否为可行技术</w:t>
            </w:r>
          </w:p>
        </w:tc>
        <w:tc>
          <w:tcPr>
            <w:tcW w:w="683" w:type="dxa"/>
            <w:tcBorders>
              <w:top w:val="single" w:color="000000" w:sz="4" w:space="0"/>
              <w:left w:val="single" w:color="000000" w:sz="4" w:space="0"/>
            </w:tcBorders>
            <w:noWrap w:val="0"/>
            <w:vAlign w:val="center"/>
          </w:tcPr>
          <w:p w14:paraId="1B6BA7B0">
            <w:pPr>
              <w:pStyle w:val="128"/>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pacing w:val="6"/>
                <w:sz w:val="21"/>
                <w:szCs w:val="21"/>
              </w:rPr>
            </w:pPr>
            <w:r>
              <w:rPr>
                <w:rFonts w:hint="default" w:ascii="Times New Roman" w:hAnsi="Times New Roman" w:eastAsia="宋体" w:cs="Times New Roman"/>
                <w:b/>
                <w:bCs/>
                <w:color w:val="auto"/>
                <w:spacing w:val="6"/>
                <w:sz w:val="21"/>
                <w:szCs w:val="21"/>
              </w:rPr>
              <w:t>污染治理设施其他信息</w:t>
            </w:r>
          </w:p>
        </w:tc>
        <w:tc>
          <w:tcPr>
            <w:tcW w:w="616" w:type="dxa"/>
            <w:vMerge w:val="continue"/>
            <w:tcBorders>
              <w:top w:val="nil"/>
              <w:right w:val="single" w:color="000000" w:sz="4" w:space="0"/>
            </w:tcBorders>
            <w:noWrap w:val="0"/>
            <w:vAlign w:val="center"/>
          </w:tcPr>
          <w:p w14:paraId="315F03C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c>
          <w:tcPr>
            <w:tcW w:w="1005" w:type="dxa"/>
            <w:vMerge w:val="continue"/>
            <w:tcBorders>
              <w:top w:val="nil"/>
              <w:left w:val="single" w:color="000000" w:sz="4" w:space="0"/>
              <w:right w:val="single" w:color="000000" w:sz="4" w:space="0"/>
            </w:tcBorders>
            <w:noWrap w:val="0"/>
            <w:vAlign w:val="center"/>
          </w:tcPr>
          <w:p w14:paraId="1A83470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c>
          <w:tcPr>
            <w:tcW w:w="745" w:type="dxa"/>
            <w:vMerge w:val="continue"/>
            <w:tcBorders>
              <w:top w:val="nil"/>
              <w:left w:val="single" w:color="000000" w:sz="4" w:space="0"/>
              <w:right w:val="single" w:color="000000" w:sz="4" w:space="0"/>
            </w:tcBorders>
            <w:noWrap w:val="0"/>
            <w:vAlign w:val="center"/>
          </w:tcPr>
          <w:p w14:paraId="0436D3D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c>
          <w:tcPr>
            <w:tcW w:w="621" w:type="dxa"/>
            <w:vMerge w:val="continue"/>
            <w:tcBorders>
              <w:top w:val="nil"/>
              <w:left w:val="single" w:color="000000" w:sz="4" w:space="0"/>
            </w:tcBorders>
            <w:noWrap w:val="0"/>
            <w:vAlign w:val="center"/>
          </w:tcPr>
          <w:p w14:paraId="6F5B2A1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c>
          <w:tcPr>
            <w:tcW w:w="469" w:type="dxa"/>
            <w:vMerge w:val="continue"/>
            <w:tcBorders>
              <w:top w:val="nil"/>
              <w:right w:val="single" w:color="000000" w:sz="10" w:space="0"/>
            </w:tcBorders>
            <w:noWrap w:val="0"/>
            <w:textDirection w:val="tbRlV"/>
            <w:vAlign w:val="center"/>
          </w:tcPr>
          <w:p w14:paraId="7BA5573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auto"/>
                <w:sz w:val="21"/>
                <w:szCs w:val="21"/>
              </w:rPr>
            </w:pPr>
          </w:p>
        </w:tc>
      </w:tr>
      <w:tr w14:paraId="62DAA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jc w:val="center"/>
        </w:trPr>
        <w:tc>
          <w:tcPr>
            <w:tcW w:w="363" w:type="dxa"/>
            <w:vMerge w:val="restart"/>
            <w:tcBorders>
              <w:left w:val="single" w:color="000000" w:sz="10" w:space="0"/>
            </w:tcBorders>
            <w:noWrap w:val="0"/>
            <w:vAlign w:val="center"/>
          </w:tcPr>
          <w:p w14:paraId="6E8912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1</w:t>
            </w:r>
          </w:p>
        </w:tc>
        <w:tc>
          <w:tcPr>
            <w:tcW w:w="613" w:type="dxa"/>
            <w:vMerge w:val="restart"/>
            <w:noWrap w:val="0"/>
            <w:vAlign w:val="center"/>
          </w:tcPr>
          <w:p w14:paraId="498664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熔化</w:t>
            </w:r>
          </w:p>
        </w:tc>
        <w:tc>
          <w:tcPr>
            <w:tcW w:w="626" w:type="dxa"/>
            <w:noWrap w:val="0"/>
            <w:vAlign w:val="center"/>
          </w:tcPr>
          <w:p w14:paraId="2CA621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z w:val="21"/>
                <w:szCs w:val="21"/>
                <w:lang w:val="en-US" w:eastAsia="zh-CN"/>
              </w:rPr>
              <w:t>SC</w:t>
            </w:r>
            <w:r>
              <w:rPr>
                <w:rFonts w:hint="default" w:ascii="Times New Roman" w:hAnsi="Times New Roman" w:eastAsia="宋体" w:cs="Times New Roman"/>
                <w:color w:val="auto"/>
                <w:spacing w:val="7"/>
                <w:sz w:val="21"/>
                <w:szCs w:val="21"/>
              </w:rPr>
              <w:t>00</w:t>
            </w:r>
            <w:r>
              <w:rPr>
                <w:rFonts w:hint="eastAsia" w:ascii="Times New Roman" w:hAnsi="Times New Roman" w:eastAsia="宋体" w:cs="Times New Roman"/>
                <w:color w:val="auto"/>
                <w:spacing w:val="7"/>
                <w:sz w:val="21"/>
                <w:szCs w:val="21"/>
                <w:lang w:val="en-US" w:eastAsia="zh-CN"/>
              </w:rPr>
              <w:t>01-SC0003</w:t>
            </w:r>
          </w:p>
        </w:tc>
        <w:tc>
          <w:tcPr>
            <w:tcW w:w="810" w:type="dxa"/>
            <w:noWrap w:val="0"/>
            <w:vAlign w:val="center"/>
          </w:tcPr>
          <w:p w14:paraId="0658ED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z w:val="21"/>
                <w:szCs w:val="21"/>
              </w:rPr>
              <w:t>中频感应熔化电炉</w:t>
            </w:r>
          </w:p>
        </w:tc>
        <w:tc>
          <w:tcPr>
            <w:tcW w:w="556" w:type="dxa"/>
            <w:vMerge w:val="restart"/>
            <w:noWrap w:val="0"/>
            <w:vAlign w:val="center"/>
          </w:tcPr>
          <w:p w14:paraId="310A9D6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熔化</w:t>
            </w:r>
          </w:p>
        </w:tc>
        <w:tc>
          <w:tcPr>
            <w:tcW w:w="1120" w:type="dxa"/>
            <w:vMerge w:val="restart"/>
            <w:tcBorders>
              <w:right w:val="single" w:color="000000" w:sz="4" w:space="0"/>
            </w:tcBorders>
            <w:noWrap w:val="0"/>
            <w:vAlign w:val="center"/>
          </w:tcPr>
          <w:p w14:paraId="64B67E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508" w:type="dxa"/>
            <w:vMerge w:val="restart"/>
            <w:tcBorders>
              <w:left w:val="single" w:color="000000" w:sz="4" w:space="0"/>
            </w:tcBorders>
            <w:noWrap w:val="0"/>
            <w:vAlign w:val="center"/>
          </w:tcPr>
          <w:p w14:paraId="67154F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有组织</w:t>
            </w:r>
          </w:p>
        </w:tc>
        <w:tc>
          <w:tcPr>
            <w:tcW w:w="557" w:type="dxa"/>
            <w:vMerge w:val="restart"/>
            <w:noWrap w:val="0"/>
            <w:vAlign w:val="center"/>
          </w:tcPr>
          <w:p w14:paraId="42E5A7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TA001</w:t>
            </w:r>
          </w:p>
        </w:tc>
        <w:tc>
          <w:tcPr>
            <w:tcW w:w="876" w:type="dxa"/>
            <w:vMerge w:val="restart"/>
            <w:noWrap w:val="0"/>
            <w:vAlign w:val="center"/>
          </w:tcPr>
          <w:p w14:paraId="7ED9ED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布袋除尘</w:t>
            </w:r>
          </w:p>
        </w:tc>
        <w:tc>
          <w:tcPr>
            <w:tcW w:w="888" w:type="dxa"/>
            <w:vMerge w:val="restart"/>
            <w:tcBorders>
              <w:right w:val="single" w:color="000000" w:sz="4" w:space="0"/>
            </w:tcBorders>
            <w:noWrap w:val="0"/>
            <w:vAlign w:val="center"/>
          </w:tcPr>
          <w:p w14:paraId="666BF0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布袋除尘</w:t>
            </w:r>
          </w:p>
        </w:tc>
        <w:tc>
          <w:tcPr>
            <w:tcW w:w="593" w:type="dxa"/>
            <w:vMerge w:val="restart"/>
            <w:tcBorders>
              <w:left w:val="single" w:color="000000" w:sz="4" w:space="0"/>
              <w:right w:val="single" w:color="000000" w:sz="4" w:space="0"/>
            </w:tcBorders>
            <w:noWrap w:val="0"/>
            <w:vAlign w:val="center"/>
          </w:tcPr>
          <w:p w14:paraId="6E7EE3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风量</w:t>
            </w:r>
          </w:p>
        </w:tc>
        <w:tc>
          <w:tcPr>
            <w:tcW w:w="642" w:type="dxa"/>
            <w:vMerge w:val="restart"/>
            <w:tcBorders>
              <w:left w:val="single" w:color="000000" w:sz="4" w:space="0"/>
              <w:right w:val="single" w:color="000000" w:sz="4" w:space="0"/>
            </w:tcBorders>
            <w:noWrap w:val="0"/>
            <w:vAlign w:val="center"/>
          </w:tcPr>
          <w:p w14:paraId="39CE704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5000</w:t>
            </w:r>
          </w:p>
        </w:tc>
        <w:tc>
          <w:tcPr>
            <w:tcW w:w="597" w:type="dxa"/>
            <w:vMerge w:val="restart"/>
            <w:tcBorders>
              <w:left w:val="single" w:color="000000" w:sz="4" w:space="0"/>
              <w:right w:val="single" w:color="000000" w:sz="4" w:space="0"/>
            </w:tcBorders>
            <w:noWrap w:val="0"/>
            <w:vAlign w:val="center"/>
          </w:tcPr>
          <w:p w14:paraId="40958F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m</w:t>
            </w:r>
            <w:r>
              <w:rPr>
                <w:rFonts w:hint="eastAsia" w:ascii="Times New Roman" w:hAnsi="Times New Roman" w:eastAsia="宋体" w:cs="Times New Roman"/>
                <w:color w:val="auto"/>
                <w:spacing w:val="3"/>
                <w:position w:val="1"/>
                <w:sz w:val="21"/>
                <w:szCs w:val="21"/>
                <w:vertAlign w:val="superscript"/>
                <w:lang w:val="en-US" w:eastAsia="zh-CN"/>
              </w:rPr>
              <w:t>3</w:t>
            </w:r>
            <w:r>
              <w:rPr>
                <w:rFonts w:hint="default" w:ascii="Times New Roman" w:hAnsi="Times New Roman" w:eastAsia="宋体" w:cs="Times New Roman"/>
                <w:color w:val="auto"/>
                <w:spacing w:val="3"/>
                <w:position w:val="1"/>
                <w:sz w:val="21"/>
                <w:szCs w:val="21"/>
              </w:rPr>
              <w:t>/h</w:t>
            </w:r>
          </w:p>
        </w:tc>
        <w:tc>
          <w:tcPr>
            <w:tcW w:w="776" w:type="dxa"/>
            <w:vMerge w:val="restart"/>
            <w:tcBorders>
              <w:left w:val="single" w:color="000000" w:sz="4" w:space="0"/>
              <w:right w:val="single" w:color="000000" w:sz="4" w:space="0"/>
            </w:tcBorders>
            <w:noWrap w:val="0"/>
            <w:vAlign w:val="center"/>
          </w:tcPr>
          <w:p w14:paraId="2596C9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kern w:val="2"/>
                <w:position w:val="1"/>
                <w:sz w:val="21"/>
                <w:szCs w:val="21"/>
                <w:lang w:val="en-US" w:eastAsia="zh-CN" w:bidi="ar-SA"/>
              </w:rPr>
              <w:t>/</w:t>
            </w:r>
          </w:p>
        </w:tc>
        <w:tc>
          <w:tcPr>
            <w:tcW w:w="637" w:type="dxa"/>
            <w:vMerge w:val="restart"/>
            <w:tcBorders>
              <w:left w:val="single" w:color="000000" w:sz="4" w:space="0"/>
              <w:right w:val="single" w:color="000000" w:sz="4" w:space="0"/>
            </w:tcBorders>
            <w:noWrap w:val="0"/>
            <w:vAlign w:val="center"/>
          </w:tcPr>
          <w:p w14:paraId="191ECE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是</w:t>
            </w:r>
          </w:p>
        </w:tc>
        <w:tc>
          <w:tcPr>
            <w:tcW w:w="683" w:type="dxa"/>
            <w:vMerge w:val="restart"/>
            <w:tcBorders>
              <w:left w:val="single" w:color="000000" w:sz="4" w:space="0"/>
            </w:tcBorders>
            <w:noWrap w:val="0"/>
            <w:vAlign w:val="center"/>
          </w:tcPr>
          <w:p w14:paraId="57DD3D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16" w:type="dxa"/>
            <w:vMerge w:val="restart"/>
            <w:tcBorders>
              <w:right w:val="single" w:color="000000" w:sz="4" w:space="0"/>
            </w:tcBorders>
            <w:noWrap w:val="0"/>
            <w:vAlign w:val="center"/>
          </w:tcPr>
          <w:p w14:paraId="267639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DA001</w:t>
            </w:r>
          </w:p>
        </w:tc>
        <w:tc>
          <w:tcPr>
            <w:tcW w:w="1005" w:type="dxa"/>
            <w:vMerge w:val="restart"/>
            <w:tcBorders>
              <w:left w:val="single" w:color="000000" w:sz="4" w:space="0"/>
              <w:right w:val="single" w:color="000000" w:sz="4" w:space="0"/>
            </w:tcBorders>
            <w:noWrap w:val="0"/>
            <w:vAlign w:val="center"/>
          </w:tcPr>
          <w:p w14:paraId="64E02A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现有熔化废气排气筒</w:t>
            </w:r>
          </w:p>
        </w:tc>
        <w:tc>
          <w:tcPr>
            <w:tcW w:w="745" w:type="dxa"/>
            <w:vMerge w:val="restart"/>
            <w:tcBorders>
              <w:left w:val="single" w:color="000000" w:sz="4" w:space="0"/>
              <w:right w:val="single" w:color="000000" w:sz="4" w:space="0"/>
            </w:tcBorders>
            <w:noWrap w:val="0"/>
            <w:vAlign w:val="center"/>
          </w:tcPr>
          <w:p w14:paraId="2541E4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是</w:t>
            </w:r>
          </w:p>
        </w:tc>
        <w:tc>
          <w:tcPr>
            <w:tcW w:w="621" w:type="dxa"/>
            <w:vMerge w:val="restart"/>
            <w:tcBorders>
              <w:left w:val="single" w:color="000000" w:sz="4" w:space="0"/>
            </w:tcBorders>
            <w:noWrap w:val="0"/>
            <w:vAlign w:val="center"/>
          </w:tcPr>
          <w:p w14:paraId="04ACDB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一般排放口</w:t>
            </w:r>
          </w:p>
        </w:tc>
        <w:tc>
          <w:tcPr>
            <w:tcW w:w="469" w:type="dxa"/>
            <w:vMerge w:val="restart"/>
            <w:tcBorders>
              <w:right w:val="single" w:color="000000" w:sz="10" w:space="0"/>
            </w:tcBorders>
            <w:noWrap w:val="0"/>
            <w:vAlign w:val="center"/>
          </w:tcPr>
          <w:p w14:paraId="3CC9B9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36CAC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jc w:val="center"/>
        </w:trPr>
        <w:tc>
          <w:tcPr>
            <w:tcW w:w="363" w:type="dxa"/>
            <w:vMerge w:val="continue"/>
            <w:tcBorders>
              <w:left w:val="single" w:color="000000" w:sz="10" w:space="0"/>
            </w:tcBorders>
            <w:noWrap w:val="0"/>
            <w:vAlign w:val="center"/>
          </w:tcPr>
          <w:p w14:paraId="07571A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rPr>
            </w:pPr>
          </w:p>
        </w:tc>
        <w:tc>
          <w:tcPr>
            <w:tcW w:w="613" w:type="dxa"/>
            <w:vMerge w:val="continue"/>
            <w:noWrap w:val="0"/>
            <w:vAlign w:val="center"/>
          </w:tcPr>
          <w:p w14:paraId="5788179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rPr>
            </w:pPr>
          </w:p>
        </w:tc>
        <w:tc>
          <w:tcPr>
            <w:tcW w:w="626" w:type="dxa"/>
            <w:noWrap w:val="0"/>
            <w:vAlign w:val="center"/>
          </w:tcPr>
          <w:p w14:paraId="610387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7"/>
                <w:sz w:val="21"/>
                <w:szCs w:val="21"/>
                <w:lang w:val="en-US" w:eastAsia="zh-CN"/>
              </w:rPr>
              <w:t>SC0053-SC0054</w:t>
            </w:r>
          </w:p>
        </w:tc>
        <w:tc>
          <w:tcPr>
            <w:tcW w:w="810" w:type="dxa"/>
            <w:noWrap w:val="0"/>
            <w:vAlign w:val="center"/>
          </w:tcPr>
          <w:p w14:paraId="50DF637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Style w:val="126"/>
                <w:color w:val="auto"/>
                <w:sz w:val="21"/>
                <w:szCs w:val="21"/>
                <w:lang w:val="en-US" w:eastAsia="zh-CN" w:bidi="ar"/>
              </w:rPr>
              <w:t>高频电炉</w:t>
            </w:r>
          </w:p>
        </w:tc>
        <w:tc>
          <w:tcPr>
            <w:tcW w:w="556" w:type="dxa"/>
            <w:vMerge w:val="continue"/>
            <w:noWrap w:val="0"/>
            <w:vAlign w:val="center"/>
          </w:tcPr>
          <w:p w14:paraId="51D801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1120" w:type="dxa"/>
            <w:vMerge w:val="continue"/>
            <w:tcBorders>
              <w:right w:val="single" w:color="000000" w:sz="4" w:space="0"/>
            </w:tcBorders>
            <w:noWrap w:val="0"/>
            <w:vAlign w:val="center"/>
          </w:tcPr>
          <w:p w14:paraId="40AED1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508" w:type="dxa"/>
            <w:vMerge w:val="continue"/>
            <w:tcBorders>
              <w:left w:val="single" w:color="000000" w:sz="4" w:space="0"/>
            </w:tcBorders>
            <w:noWrap w:val="0"/>
            <w:vAlign w:val="center"/>
          </w:tcPr>
          <w:p w14:paraId="0D0E75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557" w:type="dxa"/>
            <w:vMerge w:val="continue"/>
            <w:noWrap w:val="0"/>
            <w:vAlign w:val="center"/>
          </w:tcPr>
          <w:p w14:paraId="51E45F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876" w:type="dxa"/>
            <w:vMerge w:val="continue"/>
            <w:noWrap w:val="0"/>
            <w:vAlign w:val="center"/>
          </w:tcPr>
          <w:p w14:paraId="377669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888" w:type="dxa"/>
            <w:vMerge w:val="continue"/>
            <w:tcBorders>
              <w:right w:val="single" w:color="000000" w:sz="4" w:space="0"/>
            </w:tcBorders>
            <w:noWrap w:val="0"/>
            <w:vAlign w:val="center"/>
          </w:tcPr>
          <w:p w14:paraId="2B2781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593" w:type="dxa"/>
            <w:vMerge w:val="continue"/>
            <w:tcBorders>
              <w:left w:val="single" w:color="000000" w:sz="4" w:space="0"/>
              <w:right w:val="single" w:color="000000" w:sz="4" w:space="0"/>
            </w:tcBorders>
            <w:noWrap w:val="0"/>
            <w:vAlign w:val="center"/>
          </w:tcPr>
          <w:p w14:paraId="125CDB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642" w:type="dxa"/>
            <w:vMerge w:val="continue"/>
            <w:tcBorders>
              <w:left w:val="single" w:color="000000" w:sz="4" w:space="0"/>
              <w:right w:val="single" w:color="000000" w:sz="4" w:space="0"/>
            </w:tcBorders>
            <w:noWrap w:val="0"/>
            <w:vAlign w:val="center"/>
          </w:tcPr>
          <w:p w14:paraId="4E4380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597" w:type="dxa"/>
            <w:vMerge w:val="continue"/>
            <w:tcBorders>
              <w:left w:val="single" w:color="000000" w:sz="4" w:space="0"/>
              <w:right w:val="single" w:color="000000" w:sz="4" w:space="0"/>
            </w:tcBorders>
            <w:noWrap w:val="0"/>
            <w:vAlign w:val="center"/>
          </w:tcPr>
          <w:p w14:paraId="7FF95C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776" w:type="dxa"/>
            <w:vMerge w:val="continue"/>
            <w:tcBorders>
              <w:left w:val="single" w:color="000000" w:sz="4" w:space="0"/>
              <w:right w:val="single" w:color="000000" w:sz="4" w:space="0"/>
            </w:tcBorders>
            <w:noWrap w:val="0"/>
            <w:vAlign w:val="center"/>
          </w:tcPr>
          <w:p w14:paraId="24A6F2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637" w:type="dxa"/>
            <w:vMerge w:val="continue"/>
            <w:tcBorders>
              <w:left w:val="single" w:color="000000" w:sz="4" w:space="0"/>
              <w:right w:val="single" w:color="000000" w:sz="4" w:space="0"/>
            </w:tcBorders>
            <w:noWrap w:val="0"/>
            <w:vAlign w:val="center"/>
          </w:tcPr>
          <w:p w14:paraId="15E776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683" w:type="dxa"/>
            <w:vMerge w:val="continue"/>
            <w:tcBorders>
              <w:left w:val="single" w:color="000000" w:sz="4" w:space="0"/>
            </w:tcBorders>
            <w:noWrap w:val="0"/>
            <w:vAlign w:val="center"/>
          </w:tcPr>
          <w:p w14:paraId="089BAB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616" w:type="dxa"/>
            <w:vMerge w:val="continue"/>
            <w:tcBorders>
              <w:right w:val="single" w:color="000000" w:sz="4" w:space="0"/>
            </w:tcBorders>
            <w:noWrap w:val="0"/>
            <w:vAlign w:val="center"/>
          </w:tcPr>
          <w:p w14:paraId="0983EB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1005" w:type="dxa"/>
            <w:vMerge w:val="continue"/>
            <w:tcBorders>
              <w:left w:val="single" w:color="000000" w:sz="4" w:space="0"/>
              <w:right w:val="single" w:color="000000" w:sz="4" w:space="0"/>
            </w:tcBorders>
            <w:noWrap w:val="0"/>
            <w:vAlign w:val="center"/>
          </w:tcPr>
          <w:p w14:paraId="174285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745" w:type="dxa"/>
            <w:vMerge w:val="continue"/>
            <w:tcBorders>
              <w:left w:val="single" w:color="000000" w:sz="4" w:space="0"/>
              <w:right w:val="single" w:color="000000" w:sz="4" w:space="0"/>
            </w:tcBorders>
            <w:noWrap w:val="0"/>
            <w:vAlign w:val="center"/>
          </w:tcPr>
          <w:p w14:paraId="362BD1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621" w:type="dxa"/>
            <w:vMerge w:val="continue"/>
            <w:tcBorders>
              <w:left w:val="single" w:color="000000" w:sz="4" w:space="0"/>
            </w:tcBorders>
            <w:noWrap w:val="0"/>
            <w:vAlign w:val="center"/>
          </w:tcPr>
          <w:p w14:paraId="1F9F985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c>
          <w:tcPr>
            <w:tcW w:w="469" w:type="dxa"/>
            <w:vMerge w:val="continue"/>
            <w:tcBorders>
              <w:right w:val="single" w:color="000000" w:sz="10" w:space="0"/>
            </w:tcBorders>
            <w:noWrap w:val="0"/>
            <w:vAlign w:val="center"/>
          </w:tcPr>
          <w:p w14:paraId="62BDA1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p>
        </w:tc>
      </w:tr>
      <w:tr w14:paraId="449CF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63" w:type="dxa"/>
            <w:tcBorders>
              <w:left w:val="single" w:color="000000" w:sz="10" w:space="0"/>
            </w:tcBorders>
            <w:noWrap w:val="0"/>
            <w:vAlign w:val="center"/>
          </w:tcPr>
          <w:p w14:paraId="08821A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2</w:t>
            </w:r>
          </w:p>
        </w:tc>
        <w:tc>
          <w:tcPr>
            <w:tcW w:w="613" w:type="dxa"/>
            <w:noWrap w:val="0"/>
            <w:vAlign w:val="center"/>
          </w:tcPr>
          <w:p w14:paraId="63FE168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砂处理</w:t>
            </w:r>
          </w:p>
        </w:tc>
        <w:tc>
          <w:tcPr>
            <w:tcW w:w="626" w:type="dxa"/>
            <w:noWrap w:val="0"/>
            <w:vAlign w:val="center"/>
          </w:tcPr>
          <w:p w14:paraId="31D4F05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z w:val="21"/>
                <w:szCs w:val="21"/>
                <w:lang w:val="en-US" w:eastAsia="zh-CN"/>
              </w:rPr>
              <w:t>SC</w:t>
            </w:r>
            <w:r>
              <w:rPr>
                <w:rFonts w:hint="default" w:ascii="Times New Roman" w:hAnsi="Times New Roman" w:eastAsia="宋体" w:cs="Times New Roman"/>
                <w:color w:val="auto"/>
                <w:spacing w:val="7"/>
                <w:sz w:val="21"/>
                <w:szCs w:val="21"/>
              </w:rPr>
              <w:t>00</w:t>
            </w:r>
            <w:r>
              <w:rPr>
                <w:rFonts w:hint="eastAsia" w:ascii="Times New Roman" w:hAnsi="Times New Roman" w:eastAsia="宋体" w:cs="Times New Roman"/>
                <w:color w:val="auto"/>
                <w:spacing w:val="7"/>
                <w:sz w:val="21"/>
                <w:szCs w:val="21"/>
                <w:lang w:val="en-US" w:eastAsia="zh-CN"/>
              </w:rPr>
              <w:t>50</w:t>
            </w:r>
          </w:p>
        </w:tc>
        <w:tc>
          <w:tcPr>
            <w:tcW w:w="810" w:type="dxa"/>
            <w:noWrap w:val="0"/>
            <w:vAlign w:val="center"/>
          </w:tcPr>
          <w:p w14:paraId="6D59B0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z w:val="21"/>
                <w:szCs w:val="21"/>
              </w:rPr>
              <w:t>砂处理及其除尘系统</w:t>
            </w:r>
          </w:p>
        </w:tc>
        <w:tc>
          <w:tcPr>
            <w:tcW w:w="556" w:type="dxa"/>
            <w:noWrap w:val="0"/>
            <w:vAlign w:val="center"/>
          </w:tcPr>
          <w:p w14:paraId="61117EE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砂处理</w:t>
            </w:r>
          </w:p>
        </w:tc>
        <w:tc>
          <w:tcPr>
            <w:tcW w:w="1120" w:type="dxa"/>
            <w:tcBorders>
              <w:right w:val="single" w:color="000000" w:sz="4" w:space="0"/>
            </w:tcBorders>
            <w:noWrap w:val="0"/>
            <w:vAlign w:val="center"/>
          </w:tcPr>
          <w:p w14:paraId="7FDBE9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508" w:type="dxa"/>
            <w:vMerge w:val="continue"/>
            <w:tcBorders>
              <w:left w:val="single" w:color="000000" w:sz="4" w:space="0"/>
            </w:tcBorders>
            <w:noWrap w:val="0"/>
            <w:vAlign w:val="center"/>
          </w:tcPr>
          <w:p w14:paraId="77B1DF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557" w:type="dxa"/>
            <w:noWrap w:val="0"/>
            <w:vAlign w:val="center"/>
          </w:tcPr>
          <w:p w14:paraId="5825A9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TA002</w:t>
            </w:r>
          </w:p>
        </w:tc>
        <w:tc>
          <w:tcPr>
            <w:tcW w:w="876" w:type="dxa"/>
            <w:noWrap w:val="0"/>
            <w:vAlign w:val="center"/>
          </w:tcPr>
          <w:p w14:paraId="7DEC4C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布袋除尘</w:t>
            </w:r>
          </w:p>
        </w:tc>
        <w:tc>
          <w:tcPr>
            <w:tcW w:w="888" w:type="dxa"/>
            <w:tcBorders>
              <w:right w:val="single" w:color="000000" w:sz="4" w:space="0"/>
            </w:tcBorders>
            <w:noWrap w:val="0"/>
            <w:vAlign w:val="center"/>
          </w:tcPr>
          <w:p w14:paraId="35911C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布袋除尘</w:t>
            </w:r>
          </w:p>
        </w:tc>
        <w:tc>
          <w:tcPr>
            <w:tcW w:w="593" w:type="dxa"/>
            <w:tcBorders>
              <w:left w:val="single" w:color="000000" w:sz="4" w:space="0"/>
              <w:right w:val="single" w:color="000000" w:sz="4" w:space="0"/>
            </w:tcBorders>
            <w:noWrap w:val="0"/>
            <w:vAlign w:val="center"/>
          </w:tcPr>
          <w:p w14:paraId="09BCBC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风量</w:t>
            </w:r>
          </w:p>
        </w:tc>
        <w:tc>
          <w:tcPr>
            <w:tcW w:w="642" w:type="dxa"/>
            <w:tcBorders>
              <w:left w:val="single" w:color="000000" w:sz="4" w:space="0"/>
              <w:right w:val="single" w:color="000000" w:sz="4" w:space="0"/>
            </w:tcBorders>
            <w:noWrap w:val="0"/>
            <w:vAlign w:val="center"/>
          </w:tcPr>
          <w:p w14:paraId="25F56E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cs="Times New Roman"/>
                <w:color w:val="auto"/>
                <w:spacing w:val="3"/>
                <w:position w:val="1"/>
                <w:sz w:val="21"/>
                <w:szCs w:val="21"/>
                <w:lang w:val="en-US" w:eastAsia="zh-CN"/>
              </w:rPr>
              <w:t>7</w:t>
            </w:r>
            <w:r>
              <w:rPr>
                <w:rFonts w:hint="eastAsia" w:ascii="Times New Roman" w:hAnsi="Times New Roman" w:eastAsia="宋体" w:cs="Times New Roman"/>
                <w:color w:val="auto"/>
                <w:spacing w:val="3"/>
                <w:position w:val="1"/>
                <w:sz w:val="21"/>
                <w:szCs w:val="21"/>
                <w:lang w:val="en-US" w:eastAsia="zh-CN"/>
              </w:rPr>
              <w:t>000</w:t>
            </w:r>
          </w:p>
        </w:tc>
        <w:tc>
          <w:tcPr>
            <w:tcW w:w="597" w:type="dxa"/>
            <w:tcBorders>
              <w:left w:val="single" w:color="000000" w:sz="4" w:space="0"/>
              <w:right w:val="single" w:color="000000" w:sz="4" w:space="0"/>
            </w:tcBorders>
            <w:noWrap w:val="0"/>
            <w:vAlign w:val="center"/>
          </w:tcPr>
          <w:p w14:paraId="7BE146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m</w:t>
            </w:r>
            <w:r>
              <w:rPr>
                <w:rFonts w:hint="eastAsia" w:ascii="Times New Roman" w:hAnsi="Times New Roman" w:eastAsia="宋体" w:cs="Times New Roman"/>
                <w:color w:val="auto"/>
                <w:spacing w:val="3"/>
                <w:position w:val="1"/>
                <w:sz w:val="21"/>
                <w:szCs w:val="21"/>
                <w:vertAlign w:val="superscript"/>
                <w:lang w:val="en-US" w:eastAsia="zh-CN"/>
              </w:rPr>
              <w:t>3</w:t>
            </w:r>
            <w:r>
              <w:rPr>
                <w:rFonts w:hint="default" w:ascii="Times New Roman" w:hAnsi="Times New Roman" w:eastAsia="宋体" w:cs="Times New Roman"/>
                <w:color w:val="auto"/>
                <w:spacing w:val="3"/>
                <w:position w:val="1"/>
                <w:sz w:val="21"/>
                <w:szCs w:val="21"/>
              </w:rPr>
              <w:t>/h</w:t>
            </w:r>
          </w:p>
        </w:tc>
        <w:tc>
          <w:tcPr>
            <w:tcW w:w="776" w:type="dxa"/>
            <w:tcBorders>
              <w:left w:val="single" w:color="000000" w:sz="4" w:space="0"/>
              <w:right w:val="single" w:color="000000" w:sz="4" w:space="0"/>
            </w:tcBorders>
            <w:noWrap w:val="0"/>
            <w:vAlign w:val="center"/>
          </w:tcPr>
          <w:p w14:paraId="127339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kern w:val="2"/>
                <w:position w:val="1"/>
                <w:sz w:val="21"/>
                <w:szCs w:val="21"/>
                <w:lang w:val="en-US" w:eastAsia="zh-CN" w:bidi="ar-SA"/>
              </w:rPr>
              <w:t>/</w:t>
            </w:r>
          </w:p>
        </w:tc>
        <w:tc>
          <w:tcPr>
            <w:tcW w:w="637" w:type="dxa"/>
            <w:tcBorders>
              <w:left w:val="single" w:color="000000" w:sz="4" w:space="0"/>
              <w:right w:val="single" w:color="000000" w:sz="4" w:space="0"/>
            </w:tcBorders>
            <w:noWrap w:val="0"/>
            <w:vAlign w:val="center"/>
          </w:tcPr>
          <w:p w14:paraId="4D33FC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是</w:t>
            </w:r>
          </w:p>
        </w:tc>
        <w:tc>
          <w:tcPr>
            <w:tcW w:w="683" w:type="dxa"/>
            <w:tcBorders>
              <w:left w:val="single" w:color="000000" w:sz="4" w:space="0"/>
            </w:tcBorders>
            <w:noWrap w:val="0"/>
            <w:vAlign w:val="center"/>
          </w:tcPr>
          <w:p w14:paraId="78DE23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616" w:type="dxa"/>
            <w:tcBorders>
              <w:right w:val="single" w:color="000000" w:sz="4" w:space="0"/>
            </w:tcBorders>
            <w:noWrap w:val="0"/>
            <w:vAlign w:val="center"/>
          </w:tcPr>
          <w:p w14:paraId="122F9C2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DA002</w:t>
            </w:r>
          </w:p>
        </w:tc>
        <w:tc>
          <w:tcPr>
            <w:tcW w:w="1005" w:type="dxa"/>
            <w:tcBorders>
              <w:left w:val="single" w:color="000000" w:sz="4" w:space="0"/>
              <w:right w:val="single" w:color="000000" w:sz="4" w:space="0"/>
            </w:tcBorders>
            <w:noWrap w:val="0"/>
            <w:vAlign w:val="center"/>
          </w:tcPr>
          <w:p w14:paraId="671312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砂处理废气排气筒</w:t>
            </w:r>
          </w:p>
        </w:tc>
        <w:tc>
          <w:tcPr>
            <w:tcW w:w="745" w:type="dxa"/>
            <w:tcBorders>
              <w:left w:val="single" w:color="000000" w:sz="4" w:space="0"/>
              <w:right w:val="single" w:color="000000" w:sz="4" w:space="0"/>
            </w:tcBorders>
            <w:noWrap w:val="0"/>
            <w:vAlign w:val="center"/>
          </w:tcPr>
          <w:p w14:paraId="62A97F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是</w:t>
            </w:r>
          </w:p>
        </w:tc>
        <w:tc>
          <w:tcPr>
            <w:tcW w:w="621" w:type="dxa"/>
            <w:tcBorders>
              <w:left w:val="single" w:color="000000" w:sz="4" w:space="0"/>
            </w:tcBorders>
            <w:noWrap w:val="0"/>
            <w:vAlign w:val="center"/>
          </w:tcPr>
          <w:p w14:paraId="590CB8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一般排放口</w:t>
            </w:r>
          </w:p>
        </w:tc>
        <w:tc>
          <w:tcPr>
            <w:tcW w:w="469" w:type="dxa"/>
            <w:tcBorders>
              <w:right w:val="single" w:color="000000" w:sz="10" w:space="0"/>
            </w:tcBorders>
            <w:noWrap w:val="0"/>
            <w:vAlign w:val="center"/>
          </w:tcPr>
          <w:p w14:paraId="2C015C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75F12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63" w:type="dxa"/>
            <w:tcBorders>
              <w:left w:val="single" w:color="000000" w:sz="10" w:space="0"/>
            </w:tcBorders>
            <w:noWrap w:val="0"/>
            <w:vAlign w:val="center"/>
          </w:tcPr>
          <w:p w14:paraId="45664F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3</w:t>
            </w:r>
          </w:p>
        </w:tc>
        <w:tc>
          <w:tcPr>
            <w:tcW w:w="613" w:type="dxa"/>
            <w:noWrap w:val="0"/>
            <w:vAlign w:val="center"/>
          </w:tcPr>
          <w:p w14:paraId="77253D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造型/</w:t>
            </w:r>
            <w:r>
              <w:rPr>
                <w:rFonts w:hint="eastAsia" w:ascii="Times New Roman" w:hAnsi="Times New Roman" w:eastAsia="宋体" w:cs="Times New Roman"/>
                <w:color w:val="auto"/>
                <w:spacing w:val="3"/>
                <w:position w:val="1"/>
                <w:sz w:val="21"/>
                <w:szCs w:val="21"/>
                <w:lang w:val="en-US" w:eastAsia="zh-CN"/>
              </w:rPr>
              <w:t>浇铸</w:t>
            </w:r>
          </w:p>
        </w:tc>
        <w:tc>
          <w:tcPr>
            <w:tcW w:w="626" w:type="dxa"/>
            <w:noWrap w:val="0"/>
            <w:vAlign w:val="center"/>
          </w:tcPr>
          <w:p w14:paraId="2D0D98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7"/>
                <w:sz w:val="21"/>
                <w:szCs w:val="21"/>
                <w:lang w:val="en-US" w:eastAsia="zh-CN"/>
              </w:rPr>
              <w:t>SC0055</w:t>
            </w:r>
          </w:p>
        </w:tc>
        <w:tc>
          <w:tcPr>
            <w:tcW w:w="810" w:type="dxa"/>
            <w:noWrap w:val="0"/>
            <w:vAlign w:val="center"/>
          </w:tcPr>
          <w:p w14:paraId="521553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Style w:val="126"/>
                <w:color w:val="auto"/>
                <w:sz w:val="21"/>
                <w:szCs w:val="21"/>
                <w:lang w:val="en-US" w:eastAsia="zh-CN" w:bidi="ar"/>
              </w:rPr>
              <w:t>浇铸机械手</w:t>
            </w:r>
          </w:p>
        </w:tc>
        <w:tc>
          <w:tcPr>
            <w:tcW w:w="556" w:type="dxa"/>
            <w:noWrap w:val="0"/>
            <w:vAlign w:val="center"/>
          </w:tcPr>
          <w:p w14:paraId="476A50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cs="Times New Roman"/>
                <w:color w:val="auto"/>
                <w:spacing w:val="3"/>
                <w:position w:val="1"/>
                <w:sz w:val="21"/>
                <w:szCs w:val="21"/>
                <w:lang w:val="en-US" w:eastAsia="zh-CN"/>
              </w:rPr>
              <w:t>造型/</w:t>
            </w:r>
            <w:r>
              <w:rPr>
                <w:rFonts w:hint="eastAsia" w:ascii="Times New Roman" w:hAnsi="Times New Roman" w:eastAsia="宋体" w:cs="Times New Roman"/>
                <w:color w:val="auto"/>
                <w:spacing w:val="3"/>
                <w:position w:val="1"/>
                <w:sz w:val="21"/>
                <w:szCs w:val="21"/>
                <w:lang w:val="en-US" w:eastAsia="zh-CN"/>
              </w:rPr>
              <w:t>浇铸</w:t>
            </w:r>
          </w:p>
        </w:tc>
        <w:tc>
          <w:tcPr>
            <w:tcW w:w="1120" w:type="dxa"/>
            <w:tcBorders>
              <w:right w:val="single" w:color="000000" w:sz="4" w:space="0"/>
            </w:tcBorders>
            <w:noWrap w:val="0"/>
            <w:vAlign w:val="center"/>
          </w:tcPr>
          <w:p w14:paraId="545DE29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颗粒物、挥发性有机物</w:t>
            </w:r>
          </w:p>
        </w:tc>
        <w:tc>
          <w:tcPr>
            <w:tcW w:w="508" w:type="dxa"/>
            <w:vMerge w:val="continue"/>
            <w:tcBorders>
              <w:left w:val="single" w:color="000000" w:sz="4" w:space="0"/>
            </w:tcBorders>
            <w:noWrap w:val="0"/>
            <w:vAlign w:val="center"/>
          </w:tcPr>
          <w:p w14:paraId="57939E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557" w:type="dxa"/>
            <w:noWrap w:val="0"/>
            <w:vAlign w:val="center"/>
          </w:tcPr>
          <w:p w14:paraId="229CC2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TA00</w:t>
            </w:r>
            <w:r>
              <w:rPr>
                <w:rFonts w:hint="eastAsia" w:cs="Times New Roman"/>
                <w:color w:val="auto"/>
                <w:spacing w:val="3"/>
                <w:position w:val="1"/>
                <w:sz w:val="21"/>
                <w:szCs w:val="21"/>
                <w:lang w:val="en-US" w:eastAsia="zh-CN"/>
              </w:rPr>
              <w:t>4-1</w:t>
            </w:r>
          </w:p>
        </w:tc>
        <w:tc>
          <w:tcPr>
            <w:tcW w:w="876" w:type="dxa"/>
            <w:noWrap w:val="0"/>
            <w:vAlign w:val="center"/>
          </w:tcPr>
          <w:p w14:paraId="719260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布袋除尘+二级活性炭吸附</w:t>
            </w:r>
          </w:p>
        </w:tc>
        <w:tc>
          <w:tcPr>
            <w:tcW w:w="888" w:type="dxa"/>
            <w:tcBorders>
              <w:right w:val="single" w:color="000000" w:sz="4" w:space="0"/>
            </w:tcBorders>
            <w:noWrap w:val="0"/>
            <w:vAlign w:val="center"/>
          </w:tcPr>
          <w:p w14:paraId="0E60B6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布袋除尘+二级活性炭吸附</w:t>
            </w:r>
          </w:p>
        </w:tc>
        <w:tc>
          <w:tcPr>
            <w:tcW w:w="593" w:type="dxa"/>
            <w:tcBorders>
              <w:left w:val="single" w:color="000000" w:sz="4" w:space="0"/>
              <w:right w:val="single" w:color="000000" w:sz="4" w:space="0"/>
            </w:tcBorders>
            <w:noWrap w:val="0"/>
            <w:vAlign w:val="center"/>
          </w:tcPr>
          <w:p w14:paraId="71F3E1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风量</w:t>
            </w:r>
          </w:p>
        </w:tc>
        <w:tc>
          <w:tcPr>
            <w:tcW w:w="642" w:type="dxa"/>
            <w:vMerge w:val="restart"/>
            <w:tcBorders>
              <w:left w:val="single" w:color="000000" w:sz="4" w:space="0"/>
              <w:right w:val="single" w:color="000000" w:sz="4" w:space="0"/>
            </w:tcBorders>
            <w:noWrap w:val="0"/>
            <w:vAlign w:val="center"/>
          </w:tcPr>
          <w:p w14:paraId="0C4CDB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cs="Times New Roman"/>
                <w:color w:val="auto"/>
                <w:spacing w:val="3"/>
                <w:position w:val="1"/>
                <w:sz w:val="21"/>
                <w:szCs w:val="21"/>
                <w:lang w:val="en-US" w:eastAsia="zh-CN"/>
              </w:rPr>
              <w:t>8</w:t>
            </w:r>
            <w:r>
              <w:rPr>
                <w:rFonts w:hint="eastAsia" w:ascii="Times New Roman" w:hAnsi="Times New Roman" w:eastAsia="宋体" w:cs="Times New Roman"/>
                <w:color w:val="auto"/>
                <w:spacing w:val="3"/>
                <w:position w:val="1"/>
                <w:sz w:val="21"/>
                <w:szCs w:val="21"/>
                <w:lang w:val="en-US" w:eastAsia="zh-CN"/>
              </w:rPr>
              <w:t>000</w:t>
            </w:r>
          </w:p>
        </w:tc>
        <w:tc>
          <w:tcPr>
            <w:tcW w:w="597" w:type="dxa"/>
            <w:tcBorders>
              <w:left w:val="single" w:color="000000" w:sz="4" w:space="0"/>
              <w:right w:val="single" w:color="000000" w:sz="4" w:space="0"/>
            </w:tcBorders>
            <w:noWrap w:val="0"/>
            <w:vAlign w:val="center"/>
          </w:tcPr>
          <w:p w14:paraId="143D37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m</w:t>
            </w:r>
            <w:r>
              <w:rPr>
                <w:rFonts w:hint="eastAsia" w:ascii="Times New Roman" w:hAnsi="Times New Roman" w:eastAsia="宋体" w:cs="Times New Roman"/>
                <w:color w:val="auto"/>
                <w:spacing w:val="3"/>
                <w:position w:val="1"/>
                <w:sz w:val="21"/>
                <w:szCs w:val="21"/>
                <w:vertAlign w:val="superscript"/>
                <w:lang w:val="en-US" w:eastAsia="zh-CN"/>
              </w:rPr>
              <w:t>3</w:t>
            </w:r>
            <w:r>
              <w:rPr>
                <w:rFonts w:hint="default" w:ascii="Times New Roman" w:hAnsi="Times New Roman" w:eastAsia="宋体" w:cs="Times New Roman"/>
                <w:color w:val="auto"/>
                <w:spacing w:val="3"/>
                <w:position w:val="1"/>
                <w:sz w:val="21"/>
                <w:szCs w:val="21"/>
              </w:rPr>
              <w:t>/h</w:t>
            </w:r>
          </w:p>
        </w:tc>
        <w:tc>
          <w:tcPr>
            <w:tcW w:w="776" w:type="dxa"/>
            <w:vMerge w:val="restart"/>
            <w:tcBorders>
              <w:left w:val="single" w:color="000000" w:sz="4" w:space="0"/>
              <w:right w:val="single" w:color="000000" w:sz="4" w:space="0"/>
            </w:tcBorders>
            <w:noWrap w:val="0"/>
            <w:vAlign w:val="center"/>
          </w:tcPr>
          <w:p w14:paraId="3BF21F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kern w:val="2"/>
                <w:position w:val="1"/>
                <w:sz w:val="21"/>
                <w:szCs w:val="21"/>
                <w:lang w:val="en-US" w:eastAsia="zh-CN" w:bidi="ar-SA"/>
              </w:rPr>
              <w:t>/</w:t>
            </w:r>
          </w:p>
        </w:tc>
        <w:tc>
          <w:tcPr>
            <w:tcW w:w="637" w:type="dxa"/>
            <w:vMerge w:val="restart"/>
            <w:tcBorders>
              <w:left w:val="single" w:color="000000" w:sz="4" w:space="0"/>
              <w:right w:val="single" w:color="000000" w:sz="4" w:space="0"/>
            </w:tcBorders>
            <w:noWrap w:val="0"/>
            <w:vAlign w:val="center"/>
          </w:tcPr>
          <w:p w14:paraId="15BBE2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是</w:t>
            </w:r>
          </w:p>
        </w:tc>
        <w:tc>
          <w:tcPr>
            <w:tcW w:w="683" w:type="dxa"/>
            <w:vMerge w:val="restart"/>
            <w:tcBorders>
              <w:left w:val="single" w:color="000000" w:sz="4" w:space="0"/>
            </w:tcBorders>
            <w:noWrap w:val="0"/>
            <w:vAlign w:val="center"/>
          </w:tcPr>
          <w:p w14:paraId="03E501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616" w:type="dxa"/>
            <w:vMerge w:val="restart"/>
            <w:tcBorders>
              <w:right w:val="single" w:color="000000" w:sz="4" w:space="0"/>
            </w:tcBorders>
            <w:noWrap w:val="0"/>
            <w:vAlign w:val="center"/>
          </w:tcPr>
          <w:p w14:paraId="21BF80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4</w:t>
            </w:r>
          </w:p>
        </w:tc>
        <w:tc>
          <w:tcPr>
            <w:tcW w:w="1005" w:type="dxa"/>
            <w:vMerge w:val="restart"/>
            <w:tcBorders>
              <w:left w:val="single" w:color="000000" w:sz="4" w:space="0"/>
              <w:right w:val="single" w:color="000000" w:sz="4" w:space="0"/>
            </w:tcBorders>
            <w:noWrap w:val="0"/>
            <w:vAlign w:val="center"/>
          </w:tcPr>
          <w:p w14:paraId="3B8165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微负压</w:t>
            </w:r>
            <w:r>
              <w:rPr>
                <w:rFonts w:hint="eastAsia" w:cs="Times New Roman"/>
                <w:color w:val="auto"/>
                <w:spacing w:val="3"/>
                <w:position w:val="1"/>
                <w:sz w:val="21"/>
                <w:szCs w:val="21"/>
                <w:lang w:val="en-US" w:eastAsia="zh-CN"/>
              </w:rPr>
              <w:t>（侧吸）</w:t>
            </w:r>
            <w:r>
              <w:rPr>
                <w:rFonts w:hint="eastAsia" w:ascii="Times New Roman" w:hAnsi="Times New Roman" w:eastAsia="宋体" w:cs="Times New Roman"/>
                <w:color w:val="auto"/>
                <w:spacing w:val="3"/>
                <w:position w:val="1"/>
                <w:sz w:val="21"/>
                <w:szCs w:val="21"/>
                <w:lang w:val="en-US" w:eastAsia="zh-CN"/>
              </w:rPr>
              <w:t>收集废气、制芯（射芯）、废气排气筒</w:t>
            </w:r>
          </w:p>
        </w:tc>
        <w:tc>
          <w:tcPr>
            <w:tcW w:w="745" w:type="dxa"/>
            <w:vMerge w:val="restart"/>
            <w:tcBorders>
              <w:left w:val="single" w:color="000000" w:sz="4" w:space="0"/>
              <w:right w:val="single" w:color="000000" w:sz="4" w:space="0"/>
            </w:tcBorders>
            <w:noWrap w:val="0"/>
            <w:vAlign w:val="center"/>
          </w:tcPr>
          <w:p w14:paraId="47FDB8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是</w:t>
            </w:r>
          </w:p>
        </w:tc>
        <w:tc>
          <w:tcPr>
            <w:tcW w:w="621" w:type="dxa"/>
            <w:vMerge w:val="restart"/>
            <w:tcBorders>
              <w:left w:val="single" w:color="000000" w:sz="4" w:space="0"/>
            </w:tcBorders>
            <w:noWrap w:val="0"/>
            <w:vAlign w:val="center"/>
          </w:tcPr>
          <w:p w14:paraId="2AA0A62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一般排放口</w:t>
            </w:r>
          </w:p>
        </w:tc>
        <w:tc>
          <w:tcPr>
            <w:tcW w:w="469" w:type="dxa"/>
            <w:vMerge w:val="restart"/>
            <w:tcBorders>
              <w:right w:val="single" w:color="000000" w:sz="10" w:space="0"/>
            </w:tcBorders>
            <w:noWrap w:val="0"/>
            <w:vAlign w:val="center"/>
          </w:tcPr>
          <w:p w14:paraId="2F87E8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p w14:paraId="660B28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r>
      <w:tr w14:paraId="57AC2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63" w:type="dxa"/>
            <w:tcBorders>
              <w:left w:val="single" w:color="000000" w:sz="10" w:space="0"/>
            </w:tcBorders>
            <w:noWrap w:val="0"/>
            <w:vAlign w:val="center"/>
          </w:tcPr>
          <w:p w14:paraId="60F1C3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4</w:t>
            </w:r>
          </w:p>
        </w:tc>
        <w:tc>
          <w:tcPr>
            <w:tcW w:w="613" w:type="dxa"/>
            <w:noWrap w:val="0"/>
            <w:vAlign w:val="center"/>
          </w:tcPr>
          <w:p w14:paraId="60F4DA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制芯（射芯）</w:t>
            </w:r>
          </w:p>
        </w:tc>
        <w:tc>
          <w:tcPr>
            <w:tcW w:w="626" w:type="dxa"/>
            <w:noWrap w:val="0"/>
            <w:vAlign w:val="center"/>
          </w:tcPr>
          <w:p w14:paraId="73C3AA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7"/>
                <w:sz w:val="21"/>
                <w:szCs w:val="21"/>
                <w:lang w:val="en-US" w:eastAsia="zh-CN"/>
              </w:rPr>
              <w:t>SC0032-SC0041/SC0057-SC0061</w:t>
            </w:r>
          </w:p>
        </w:tc>
        <w:tc>
          <w:tcPr>
            <w:tcW w:w="810" w:type="dxa"/>
            <w:noWrap w:val="0"/>
            <w:vAlign w:val="center"/>
          </w:tcPr>
          <w:p w14:paraId="240ACF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Style w:val="126"/>
                <w:rFonts w:hint="eastAsia"/>
                <w:color w:val="auto"/>
                <w:sz w:val="21"/>
                <w:szCs w:val="21"/>
                <w:lang w:val="en-US" w:eastAsia="zh-CN" w:bidi="ar"/>
              </w:rPr>
              <w:t>覆膜砂</w:t>
            </w:r>
            <w:r>
              <w:rPr>
                <w:rStyle w:val="126"/>
                <w:color w:val="auto"/>
                <w:sz w:val="21"/>
                <w:szCs w:val="21"/>
                <w:lang w:val="en-US" w:eastAsia="zh-CN" w:bidi="ar"/>
              </w:rPr>
              <w:t>射芯机、全自动</w:t>
            </w:r>
            <w:r>
              <w:rPr>
                <w:rStyle w:val="126"/>
                <w:rFonts w:hint="eastAsia"/>
                <w:color w:val="auto"/>
                <w:sz w:val="21"/>
                <w:szCs w:val="21"/>
                <w:lang w:val="en-US" w:eastAsia="zh-CN" w:bidi="ar"/>
              </w:rPr>
              <w:t>射芯</w:t>
            </w:r>
            <w:r>
              <w:rPr>
                <w:rStyle w:val="126"/>
                <w:color w:val="auto"/>
                <w:sz w:val="21"/>
                <w:szCs w:val="21"/>
                <w:lang w:val="en-US" w:eastAsia="zh-CN" w:bidi="ar"/>
              </w:rPr>
              <w:t>机</w:t>
            </w:r>
          </w:p>
        </w:tc>
        <w:tc>
          <w:tcPr>
            <w:tcW w:w="556" w:type="dxa"/>
            <w:noWrap w:val="0"/>
            <w:vAlign w:val="center"/>
          </w:tcPr>
          <w:p w14:paraId="33EF0A7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制芯（射芯）</w:t>
            </w:r>
          </w:p>
        </w:tc>
        <w:tc>
          <w:tcPr>
            <w:tcW w:w="1120" w:type="dxa"/>
            <w:tcBorders>
              <w:right w:val="single" w:color="000000" w:sz="4" w:space="0"/>
            </w:tcBorders>
            <w:noWrap w:val="0"/>
            <w:vAlign w:val="center"/>
          </w:tcPr>
          <w:p w14:paraId="746E41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颗粒物、挥发性有机物</w:t>
            </w:r>
          </w:p>
        </w:tc>
        <w:tc>
          <w:tcPr>
            <w:tcW w:w="508" w:type="dxa"/>
            <w:vMerge w:val="continue"/>
            <w:tcBorders>
              <w:left w:val="single" w:color="000000" w:sz="4" w:space="0"/>
            </w:tcBorders>
            <w:noWrap w:val="0"/>
            <w:vAlign w:val="center"/>
          </w:tcPr>
          <w:p w14:paraId="233C0D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557" w:type="dxa"/>
            <w:noWrap w:val="0"/>
            <w:vAlign w:val="center"/>
          </w:tcPr>
          <w:p w14:paraId="70F461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TA00</w:t>
            </w:r>
            <w:r>
              <w:rPr>
                <w:rFonts w:hint="eastAsia" w:cs="Times New Roman"/>
                <w:color w:val="auto"/>
                <w:spacing w:val="3"/>
                <w:position w:val="1"/>
                <w:sz w:val="21"/>
                <w:szCs w:val="21"/>
                <w:lang w:val="en-US" w:eastAsia="zh-CN"/>
              </w:rPr>
              <w:t>4-2</w:t>
            </w:r>
          </w:p>
        </w:tc>
        <w:tc>
          <w:tcPr>
            <w:tcW w:w="876" w:type="dxa"/>
            <w:noWrap w:val="0"/>
            <w:vAlign w:val="center"/>
          </w:tcPr>
          <w:p w14:paraId="095519A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布袋除尘+二级活性炭吸附</w:t>
            </w:r>
          </w:p>
        </w:tc>
        <w:tc>
          <w:tcPr>
            <w:tcW w:w="888" w:type="dxa"/>
            <w:tcBorders>
              <w:right w:val="single" w:color="000000" w:sz="4" w:space="0"/>
            </w:tcBorders>
            <w:noWrap w:val="0"/>
            <w:vAlign w:val="center"/>
          </w:tcPr>
          <w:p w14:paraId="01824D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布袋除尘+二级活性炭吸附</w:t>
            </w:r>
          </w:p>
        </w:tc>
        <w:tc>
          <w:tcPr>
            <w:tcW w:w="593" w:type="dxa"/>
            <w:tcBorders>
              <w:left w:val="single" w:color="000000" w:sz="4" w:space="0"/>
              <w:right w:val="single" w:color="000000" w:sz="4" w:space="0"/>
            </w:tcBorders>
            <w:noWrap w:val="0"/>
            <w:vAlign w:val="center"/>
          </w:tcPr>
          <w:p w14:paraId="690B82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风量</w:t>
            </w:r>
          </w:p>
        </w:tc>
        <w:tc>
          <w:tcPr>
            <w:tcW w:w="642" w:type="dxa"/>
            <w:vMerge w:val="continue"/>
            <w:tcBorders>
              <w:left w:val="single" w:color="000000" w:sz="4" w:space="0"/>
              <w:right w:val="single" w:color="000000" w:sz="4" w:space="0"/>
            </w:tcBorders>
            <w:noWrap w:val="0"/>
            <w:vAlign w:val="center"/>
          </w:tcPr>
          <w:p w14:paraId="1751CD7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597" w:type="dxa"/>
            <w:tcBorders>
              <w:left w:val="single" w:color="000000" w:sz="4" w:space="0"/>
              <w:right w:val="single" w:color="000000" w:sz="4" w:space="0"/>
            </w:tcBorders>
            <w:noWrap w:val="0"/>
            <w:vAlign w:val="center"/>
          </w:tcPr>
          <w:p w14:paraId="31AB19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m</w:t>
            </w:r>
            <w:r>
              <w:rPr>
                <w:rFonts w:hint="eastAsia" w:ascii="Times New Roman" w:hAnsi="Times New Roman" w:eastAsia="宋体" w:cs="Times New Roman"/>
                <w:color w:val="auto"/>
                <w:spacing w:val="3"/>
                <w:position w:val="1"/>
                <w:sz w:val="21"/>
                <w:szCs w:val="21"/>
                <w:vertAlign w:val="superscript"/>
                <w:lang w:val="en-US" w:eastAsia="zh-CN"/>
              </w:rPr>
              <w:t>3</w:t>
            </w:r>
            <w:r>
              <w:rPr>
                <w:rFonts w:hint="default" w:ascii="Times New Roman" w:hAnsi="Times New Roman" w:eastAsia="宋体" w:cs="Times New Roman"/>
                <w:color w:val="auto"/>
                <w:spacing w:val="3"/>
                <w:position w:val="1"/>
                <w:sz w:val="21"/>
                <w:szCs w:val="21"/>
              </w:rPr>
              <w:t>/h</w:t>
            </w:r>
          </w:p>
        </w:tc>
        <w:tc>
          <w:tcPr>
            <w:tcW w:w="776" w:type="dxa"/>
            <w:vMerge w:val="continue"/>
            <w:tcBorders>
              <w:left w:val="single" w:color="000000" w:sz="4" w:space="0"/>
              <w:right w:val="single" w:color="000000" w:sz="4" w:space="0"/>
            </w:tcBorders>
            <w:noWrap w:val="0"/>
            <w:vAlign w:val="center"/>
          </w:tcPr>
          <w:p w14:paraId="64578D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637" w:type="dxa"/>
            <w:vMerge w:val="continue"/>
            <w:tcBorders>
              <w:left w:val="single" w:color="000000" w:sz="4" w:space="0"/>
              <w:right w:val="single" w:color="000000" w:sz="4" w:space="0"/>
            </w:tcBorders>
            <w:noWrap w:val="0"/>
            <w:vAlign w:val="center"/>
          </w:tcPr>
          <w:p w14:paraId="6A60F15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683" w:type="dxa"/>
            <w:vMerge w:val="continue"/>
            <w:tcBorders>
              <w:left w:val="single" w:color="000000" w:sz="4" w:space="0"/>
            </w:tcBorders>
            <w:noWrap w:val="0"/>
            <w:vAlign w:val="center"/>
          </w:tcPr>
          <w:p w14:paraId="0B3195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616" w:type="dxa"/>
            <w:vMerge w:val="continue"/>
            <w:tcBorders>
              <w:right w:val="single" w:color="000000" w:sz="4" w:space="0"/>
            </w:tcBorders>
            <w:noWrap w:val="0"/>
            <w:vAlign w:val="center"/>
          </w:tcPr>
          <w:p w14:paraId="01D92B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005" w:type="dxa"/>
            <w:vMerge w:val="continue"/>
            <w:tcBorders>
              <w:left w:val="single" w:color="000000" w:sz="4" w:space="0"/>
              <w:right w:val="single" w:color="000000" w:sz="4" w:space="0"/>
            </w:tcBorders>
            <w:noWrap w:val="0"/>
            <w:vAlign w:val="center"/>
          </w:tcPr>
          <w:p w14:paraId="60FD48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745" w:type="dxa"/>
            <w:vMerge w:val="continue"/>
            <w:tcBorders>
              <w:left w:val="single" w:color="000000" w:sz="4" w:space="0"/>
              <w:right w:val="single" w:color="000000" w:sz="4" w:space="0"/>
            </w:tcBorders>
            <w:noWrap w:val="0"/>
            <w:vAlign w:val="center"/>
          </w:tcPr>
          <w:p w14:paraId="432749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621" w:type="dxa"/>
            <w:vMerge w:val="continue"/>
            <w:tcBorders>
              <w:left w:val="single" w:color="000000" w:sz="4" w:space="0"/>
            </w:tcBorders>
            <w:noWrap w:val="0"/>
            <w:vAlign w:val="center"/>
          </w:tcPr>
          <w:p w14:paraId="20CCA6C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469" w:type="dxa"/>
            <w:vMerge w:val="continue"/>
            <w:tcBorders>
              <w:right w:val="single" w:color="000000" w:sz="10" w:space="0"/>
            </w:tcBorders>
            <w:noWrap w:val="0"/>
            <w:vAlign w:val="center"/>
          </w:tcPr>
          <w:p w14:paraId="79EEB8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r>
      <w:tr w14:paraId="0F2D1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63" w:type="dxa"/>
            <w:tcBorders>
              <w:left w:val="single" w:color="000000" w:sz="10" w:space="0"/>
            </w:tcBorders>
            <w:noWrap w:val="0"/>
            <w:vAlign w:val="center"/>
          </w:tcPr>
          <w:p w14:paraId="752AFE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5</w:t>
            </w:r>
          </w:p>
        </w:tc>
        <w:tc>
          <w:tcPr>
            <w:tcW w:w="613" w:type="dxa"/>
            <w:noWrap w:val="0"/>
            <w:vAlign w:val="center"/>
          </w:tcPr>
          <w:p w14:paraId="67A075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抛丸</w:t>
            </w:r>
          </w:p>
        </w:tc>
        <w:tc>
          <w:tcPr>
            <w:tcW w:w="626" w:type="dxa"/>
            <w:noWrap w:val="0"/>
            <w:vAlign w:val="center"/>
          </w:tcPr>
          <w:p w14:paraId="18EB54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7"/>
                <w:sz w:val="21"/>
                <w:szCs w:val="21"/>
                <w:lang w:val="en-US" w:eastAsia="zh-CN"/>
              </w:rPr>
              <w:t>SC0042-SC0047</w:t>
            </w:r>
          </w:p>
        </w:tc>
        <w:tc>
          <w:tcPr>
            <w:tcW w:w="810" w:type="dxa"/>
            <w:noWrap w:val="0"/>
            <w:vAlign w:val="center"/>
          </w:tcPr>
          <w:p w14:paraId="3EA685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Style w:val="126"/>
                <w:color w:val="auto"/>
                <w:sz w:val="21"/>
                <w:szCs w:val="21"/>
                <w:lang w:val="en-US" w:eastAsia="zh-CN" w:bidi="ar"/>
              </w:rPr>
              <w:t>抛丸清理机</w:t>
            </w:r>
          </w:p>
        </w:tc>
        <w:tc>
          <w:tcPr>
            <w:tcW w:w="556" w:type="dxa"/>
            <w:noWrap w:val="0"/>
            <w:vAlign w:val="center"/>
          </w:tcPr>
          <w:p w14:paraId="0D15E6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抛丸</w:t>
            </w:r>
          </w:p>
        </w:tc>
        <w:tc>
          <w:tcPr>
            <w:tcW w:w="1120" w:type="dxa"/>
            <w:tcBorders>
              <w:right w:val="single" w:color="000000" w:sz="4" w:space="0"/>
            </w:tcBorders>
            <w:noWrap w:val="0"/>
            <w:vAlign w:val="center"/>
          </w:tcPr>
          <w:p w14:paraId="5D5BF5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颗粒物</w:t>
            </w:r>
          </w:p>
        </w:tc>
        <w:tc>
          <w:tcPr>
            <w:tcW w:w="508" w:type="dxa"/>
            <w:vMerge w:val="continue"/>
            <w:tcBorders>
              <w:left w:val="single" w:color="000000" w:sz="4" w:space="0"/>
            </w:tcBorders>
            <w:noWrap w:val="0"/>
            <w:vAlign w:val="center"/>
          </w:tcPr>
          <w:p w14:paraId="4743B0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557" w:type="dxa"/>
            <w:noWrap w:val="0"/>
            <w:vAlign w:val="center"/>
          </w:tcPr>
          <w:p w14:paraId="164749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TA00</w:t>
            </w:r>
            <w:r>
              <w:rPr>
                <w:rFonts w:hint="eastAsia" w:cs="Times New Roman"/>
                <w:color w:val="auto"/>
                <w:spacing w:val="3"/>
                <w:position w:val="1"/>
                <w:sz w:val="21"/>
                <w:szCs w:val="21"/>
                <w:lang w:val="en-US" w:eastAsia="zh-CN"/>
              </w:rPr>
              <w:t>5、TA006</w:t>
            </w:r>
          </w:p>
        </w:tc>
        <w:tc>
          <w:tcPr>
            <w:tcW w:w="876" w:type="dxa"/>
            <w:noWrap w:val="0"/>
            <w:vAlign w:val="center"/>
          </w:tcPr>
          <w:p w14:paraId="4E98DAF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自带布袋除尘</w:t>
            </w:r>
          </w:p>
        </w:tc>
        <w:tc>
          <w:tcPr>
            <w:tcW w:w="888" w:type="dxa"/>
            <w:tcBorders>
              <w:right w:val="single" w:color="000000" w:sz="4" w:space="0"/>
            </w:tcBorders>
            <w:noWrap w:val="0"/>
            <w:vAlign w:val="center"/>
          </w:tcPr>
          <w:p w14:paraId="34AEBF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自带布袋除尘</w:t>
            </w:r>
          </w:p>
        </w:tc>
        <w:tc>
          <w:tcPr>
            <w:tcW w:w="593" w:type="dxa"/>
            <w:tcBorders>
              <w:left w:val="single" w:color="000000" w:sz="4" w:space="0"/>
              <w:right w:val="single" w:color="000000" w:sz="4" w:space="0"/>
            </w:tcBorders>
            <w:noWrap w:val="0"/>
            <w:vAlign w:val="center"/>
          </w:tcPr>
          <w:p w14:paraId="650EFB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风量</w:t>
            </w:r>
          </w:p>
        </w:tc>
        <w:tc>
          <w:tcPr>
            <w:tcW w:w="642" w:type="dxa"/>
            <w:tcBorders>
              <w:left w:val="single" w:color="000000" w:sz="4" w:space="0"/>
              <w:right w:val="single" w:color="000000" w:sz="4" w:space="0"/>
            </w:tcBorders>
            <w:noWrap w:val="0"/>
            <w:vAlign w:val="center"/>
          </w:tcPr>
          <w:p w14:paraId="321530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cs="Times New Roman"/>
                <w:color w:val="auto"/>
                <w:spacing w:val="3"/>
                <w:position w:val="1"/>
                <w:sz w:val="21"/>
                <w:szCs w:val="21"/>
                <w:lang w:val="en-US" w:eastAsia="zh-CN"/>
              </w:rPr>
              <w:t>4</w:t>
            </w:r>
            <w:r>
              <w:rPr>
                <w:rFonts w:hint="eastAsia" w:ascii="Times New Roman" w:hAnsi="Times New Roman" w:eastAsia="宋体" w:cs="Times New Roman"/>
                <w:color w:val="auto"/>
                <w:spacing w:val="3"/>
                <w:position w:val="1"/>
                <w:sz w:val="21"/>
                <w:szCs w:val="21"/>
                <w:lang w:val="en-US" w:eastAsia="zh-CN"/>
              </w:rPr>
              <w:t>000</w:t>
            </w:r>
          </w:p>
        </w:tc>
        <w:tc>
          <w:tcPr>
            <w:tcW w:w="597" w:type="dxa"/>
            <w:vMerge w:val="restart"/>
            <w:tcBorders>
              <w:left w:val="single" w:color="000000" w:sz="4" w:space="0"/>
              <w:right w:val="single" w:color="000000" w:sz="4" w:space="0"/>
            </w:tcBorders>
            <w:noWrap w:val="0"/>
            <w:vAlign w:val="center"/>
          </w:tcPr>
          <w:p w14:paraId="0E1DF16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m</w:t>
            </w:r>
            <w:r>
              <w:rPr>
                <w:rFonts w:hint="eastAsia" w:ascii="Times New Roman" w:hAnsi="Times New Roman" w:eastAsia="宋体" w:cs="Times New Roman"/>
                <w:color w:val="auto"/>
                <w:spacing w:val="3"/>
                <w:position w:val="1"/>
                <w:sz w:val="21"/>
                <w:szCs w:val="21"/>
                <w:vertAlign w:val="superscript"/>
                <w:lang w:val="en-US" w:eastAsia="zh-CN"/>
              </w:rPr>
              <w:t>3</w:t>
            </w:r>
            <w:r>
              <w:rPr>
                <w:rFonts w:hint="default" w:ascii="Times New Roman" w:hAnsi="Times New Roman" w:eastAsia="宋体" w:cs="Times New Roman"/>
                <w:color w:val="auto"/>
                <w:spacing w:val="3"/>
                <w:position w:val="1"/>
                <w:sz w:val="21"/>
                <w:szCs w:val="21"/>
              </w:rPr>
              <w:t>/h</w:t>
            </w:r>
          </w:p>
        </w:tc>
        <w:tc>
          <w:tcPr>
            <w:tcW w:w="776" w:type="dxa"/>
            <w:tcBorders>
              <w:left w:val="single" w:color="000000" w:sz="4" w:space="0"/>
              <w:right w:val="single" w:color="000000" w:sz="4" w:space="0"/>
            </w:tcBorders>
            <w:noWrap w:val="0"/>
            <w:vAlign w:val="center"/>
          </w:tcPr>
          <w:p w14:paraId="327381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kern w:val="2"/>
                <w:position w:val="1"/>
                <w:sz w:val="21"/>
                <w:szCs w:val="21"/>
                <w:lang w:val="en-US" w:eastAsia="zh-CN" w:bidi="ar-SA"/>
              </w:rPr>
              <w:t>/</w:t>
            </w:r>
          </w:p>
        </w:tc>
        <w:tc>
          <w:tcPr>
            <w:tcW w:w="637" w:type="dxa"/>
            <w:tcBorders>
              <w:left w:val="single" w:color="000000" w:sz="4" w:space="0"/>
              <w:right w:val="single" w:color="000000" w:sz="4" w:space="0"/>
            </w:tcBorders>
            <w:noWrap w:val="0"/>
            <w:vAlign w:val="center"/>
          </w:tcPr>
          <w:p w14:paraId="5D7278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是</w:t>
            </w:r>
          </w:p>
        </w:tc>
        <w:tc>
          <w:tcPr>
            <w:tcW w:w="683" w:type="dxa"/>
            <w:tcBorders>
              <w:left w:val="single" w:color="000000" w:sz="4" w:space="0"/>
            </w:tcBorders>
            <w:noWrap w:val="0"/>
            <w:vAlign w:val="center"/>
          </w:tcPr>
          <w:p w14:paraId="6E7DE0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616" w:type="dxa"/>
            <w:tcBorders>
              <w:right w:val="single" w:color="000000" w:sz="4" w:space="0"/>
            </w:tcBorders>
            <w:noWrap w:val="0"/>
            <w:vAlign w:val="center"/>
          </w:tcPr>
          <w:p w14:paraId="57C99EA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5、DA006</w:t>
            </w:r>
          </w:p>
        </w:tc>
        <w:tc>
          <w:tcPr>
            <w:tcW w:w="1005" w:type="dxa"/>
            <w:tcBorders>
              <w:left w:val="single" w:color="000000" w:sz="4" w:space="0"/>
              <w:right w:val="single" w:color="000000" w:sz="4" w:space="0"/>
            </w:tcBorders>
            <w:noWrap w:val="0"/>
            <w:vAlign w:val="center"/>
          </w:tcPr>
          <w:p w14:paraId="33AD9F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抛丸废气排气筒</w:t>
            </w:r>
          </w:p>
        </w:tc>
        <w:tc>
          <w:tcPr>
            <w:tcW w:w="745" w:type="dxa"/>
            <w:tcBorders>
              <w:left w:val="single" w:color="000000" w:sz="4" w:space="0"/>
              <w:right w:val="single" w:color="000000" w:sz="4" w:space="0"/>
            </w:tcBorders>
            <w:noWrap w:val="0"/>
            <w:vAlign w:val="center"/>
          </w:tcPr>
          <w:p w14:paraId="708101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是</w:t>
            </w:r>
          </w:p>
        </w:tc>
        <w:tc>
          <w:tcPr>
            <w:tcW w:w="621" w:type="dxa"/>
            <w:tcBorders>
              <w:left w:val="single" w:color="000000" w:sz="4" w:space="0"/>
            </w:tcBorders>
            <w:noWrap w:val="0"/>
            <w:vAlign w:val="center"/>
          </w:tcPr>
          <w:p w14:paraId="2DA60C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一般排放口</w:t>
            </w:r>
          </w:p>
        </w:tc>
        <w:tc>
          <w:tcPr>
            <w:tcW w:w="469" w:type="dxa"/>
            <w:tcBorders>
              <w:right w:val="single" w:color="000000" w:sz="10" w:space="0"/>
            </w:tcBorders>
            <w:noWrap w:val="0"/>
            <w:vAlign w:val="center"/>
          </w:tcPr>
          <w:p w14:paraId="2427EEE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77457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63" w:type="dxa"/>
            <w:tcBorders>
              <w:left w:val="single" w:color="000000" w:sz="10" w:space="0"/>
            </w:tcBorders>
            <w:noWrap w:val="0"/>
            <w:vAlign w:val="center"/>
          </w:tcPr>
          <w:p w14:paraId="7E2A46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6</w:t>
            </w:r>
          </w:p>
        </w:tc>
        <w:tc>
          <w:tcPr>
            <w:tcW w:w="613" w:type="dxa"/>
            <w:noWrap w:val="0"/>
            <w:vAlign w:val="center"/>
          </w:tcPr>
          <w:p w14:paraId="61ED6F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打磨</w:t>
            </w:r>
          </w:p>
        </w:tc>
        <w:tc>
          <w:tcPr>
            <w:tcW w:w="626" w:type="dxa"/>
            <w:noWrap w:val="0"/>
            <w:vAlign w:val="center"/>
          </w:tcPr>
          <w:p w14:paraId="71A77C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810" w:type="dxa"/>
            <w:noWrap w:val="0"/>
            <w:vAlign w:val="center"/>
          </w:tcPr>
          <w:p w14:paraId="1B7372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556" w:type="dxa"/>
            <w:noWrap w:val="0"/>
            <w:vAlign w:val="center"/>
          </w:tcPr>
          <w:p w14:paraId="1FBAB4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打磨</w:t>
            </w:r>
          </w:p>
        </w:tc>
        <w:tc>
          <w:tcPr>
            <w:tcW w:w="1120" w:type="dxa"/>
            <w:tcBorders>
              <w:right w:val="single" w:color="000000" w:sz="4" w:space="0"/>
            </w:tcBorders>
            <w:noWrap w:val="0"/>
            <w:vAlign w:val="center"/>
          </w:tcPr>
          <w:p w14:paraId="307788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颗粒物</w:t>
            </w:r>
          </w:p>
        </w:tc>
        <w:tc>
          <w:tcPr>
            <w:tcW w:w="508" w:type="dxa"/>
            <w:vMerge w:val="continue"/>
            <w:tcBorders>
              <w:left w:val="single" w:color="000000" w:sz="4" w:space="0"/>
            </w:tcBorders>
            <w:noWrap w:val="0"/>
            <w:vAlign w:val="center"/>
          </w:tcPr>
          <w:p w14:paraId="09F698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557" w:type="dxa"/>
            <w:noWrap w:val="0"/>
            <w:vAlign w:val="center"/>
          </w:tcPr>
          <w:p w14:paraId="2ADE82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TA003</w:t>
            </w:r>
          </w:p>
        </w:tc>
        <w:tc>
          <w:tcPr>
            <w:tcW w:w="876" w:type="dxa"/>
            <w:noWrap w:val="0"/>
            <w:vAlign w:val="center"/>
          </w:tcPr>
          <w:p w14:paraId="571AAB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布袋除尘</w:t>
            </w:r>
          </w:p>
        </w:tc>
        <w:tc>
          <w:tcPr>
            <w:tcW w:w="888" w:type="dxa"/>
            <w:tcBorders>
              <w:right w:val="single" w:color="000000" w:sz="4" w:space="0"/>
            </w:tcBorders>
            <w:noWrap w:val="0"/>
            <w:vAlign w:val="center"/>
          </w:tcPr>
          <w:p w14:paraId="5F1811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布袋除尘</w:t>
            </w:r>
          </w:p>
        </w:tc>
        <w:tc>
          <w:tcPr>
            <w:tcW w:w="593" w:type="dxa"/>
            <w:tcBorders>
              <w:left w:val="single" w:color="000000" w:sz="4" w:space="0"/>
              <w:right w:val="single" w:color="000000" w:sz="4" w:space="0"/>
            </w:tcBorders>
            <w:noWrap w:val="0"/>
            <w:vAlign w:val="center"/>
          </w:tcPr>
          <w:p w14:paraId="5BA09E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风量</w:t>
            </w:r>
          </w:p>
        </w:tc>
        <w:tc>
          <w:tcPr>
            <w:tcW w:w="642" w:type="dxa"/>
            <w:tcBorders>
              <w:left w:val="single" w:color="000000" w:sz="4" w:space="0"/>
              <w:right w:val="single" w:color="000000" w:sz="4" w:space="0"/>
            </w:tcBorders>
            <w:noWrap w:val="0"/>
            <w:vAlign w:val="center"/>
          </w:tcPr>
          <w:p w14:paraId="6FDA6B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7000</w:t>
            </w:r>
          </w:p>
        </w:tc>
        <w:tc>
          <w:tcPr>
            <w:tcW w:w="597" w:type="dxa"/>
            <w:vMerge w:val="continue"/>
            <w:tcBorders>
              <w:left w:val="single" w:color="000000" w:sz="4" w:space="0"/>
              <w:right w:val="single" w:color="000000" w:sz="4" w:space="0"/>
            </w:tcBorders>
            <w:noWrap w:val="0"/>
            <w:vAlign w:val="center"/>
          </w:tcPr>
          <w:p w14:paraId="024985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776" w:type="dxa"/>
            <w:tcBorders>
              <w:left w:val="single" w:color="000000" w:sz="4" w:space="0"/>
              <w:right w:val="single" w:color="000000" w:sz="4" w:space="0"/>
            </w:tcBorders>
            <w:noWrap w:val="0"/>
            <w:vAlign w:val="center"/>
          </w:tcPr>
          <w:p w14:paraId="5933EC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kern w:val="2"/>
                <w:position w:val="1"/>
                <w:sz w:val="21"/>
                <w:szCs w:val="21"/>
                <w:lang w:val="en-US" w:eastAsia="zh-CN" w:bidi="ar-SA"/>
              </w:rPr>
              <w:t>/</w:t>
            </w:r>
          </w:p>
        </w:tc>
        <w:tc>
          <w:tcPr>
            <w:tcW w:w="637" w:type="dxa"/>
            <w:tcBorders>
              <w:left w:val="single" w:color="000000" w:sz="4" w:space="0"/>
              <w:right w:val="single" w:color="000000" w:sz="4" w:space="0"/>
            </w:tcBorders>
            <w:shd w:val="clear" w:color="auto" w:fill="auto"/>
            <w:noWrap w:val="0"/>
            <w:vAlign w:val="center"/>
          </w:tcPr>
          <w:p w14:paraId="6EEFDE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是</w:t>
            </w:r>
          </w:p>
        </w:tc>
        <w:tc>
          <w:tcPr>
            <w:tcW w:w="683" w:type="dxa"/>
            <w:tcBorders>
              <w:left w:val="single" w:color="000000" w:sz="4" w:space="0"/>
            </w:tcBorders>
            <w:shd w:val="clear" w:color="auto" w:fill="auto"/>
            <w:noWrap w:val="0"/>
            <w:vAlign w:val="center"/>
          </w:tcPr>
          <w:p w14:paraId="23EBEA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616" w:type="dxa"/>
            <w:tcBorders>
              <w:right w:val="single" w:color="000000" w:sz="4" w:space="0"/>
            </w:tcBorders>
            <w:noWrap w:val="0"/>
            <w:vAlign w:val="center"/>
          </w:tcPr>
          <w:p w14:paraId="4D6943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3</w:t>
            </w:r>
          </w:p>
        </w:tc>
        <w:tc>
          <w:tcPr>
            <w:tcW w:w="1005" w:type="dxa"/>
            <w:tcBorders>
              <w:left w:val="single" w:color="000000" w:sz="4" w:space="0"/>
              <w:right w:val="single" w:color="000000" w:sz="4" w:space="0"/>
            </w:tcBorders>
            <w:noWrap w:val="0"/>
            <w:vAlign w:val="center"/>
          </w:tcPr>
          <w:p w14:paraId="2339F6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打磨废气排气筒</w:t>
            </w:r>
          </w:p>
        </w:tc>
        <w:tc>
          <w:tcPr>
            <w:tcW w:w="745" w:type="dxa"/>
            <w:tcBorders>
              <w:left w:val="single" w:color="000000" w:sz="4" w:space="0"/>
              <w:right w:val="single" w:color="000000" w:sz="4" w:space="0"/>
            </w:tcBorders>
            <w:noWrap w:val="0"/>
            <w:vAlign w:val="center"/>
          </w:tcPr>
          <w:p w14:paraId="2CBE9A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是</w:t>
            </w:r>
          </w:p>
        </w:tc>
        <w:tc>
          <w:tcPr>
            <w:tcW w:w="621" w:type="dxa"/>
            <w:tcBorders>
              <w:left w:val="single" w:color="000000" w:sz="4" w:space="0"/>
            </w:tcBorders>
            <w:noWrap w:val="0"/>
            <w:vAlign w:val="center"/>
          </w:tcPr>
          <w:p w14:paraId="20627A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一般排放口</w:t>
            </w:r>
          </w:p>
        </w:tc>
        <w:tc>
          <w:tcPr>
            <w:tcW w:w="469" w:type="dxa"/>
            <w:tcBorders>
              <w:right w:val="single" w:color="000000" w:sz="10" w:space="0"/>
            </w:tcBorders>
            <w:noWrap w:val="0"/>
            <w:vAlign w:val="center"/>
          </w:tcPr>
          <w:p w14:paraId="006D657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39E9487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eastAsia="zh-CN"/>
        </w:rPr>
      </w:pPr>
      <w:r>
        <w:rPr>
          <w:rFonts w:hint="default" w:ascii="Times New Roman" w:hAnsi="Times New Roman" w:eastAsia="宋体" w:cs="Times New Roman"/>
          <w:b/>
          <w:bCs/>
          <w:color w:val="auto"/>
          <w:spacing w:val="7"/>
          <w:sz w:val="24"/>
          <w:szCs w:val="24"/>
          <w:lang w:eastAsia="zh-CN"/>
        </w:rPr>
        <w:t>表</w:t>
      </w:r>
      <w:r>
        <w:rPr>
          <w:rFonts w:hint="eastAsia" w:ascii="Times New Roman" w:hAnsi="Times New Roman" w:eastAsia="宋体" w:cs="Times New Roman"/>
          <w:b/>
          <w:bCs/>
          <w:color w:val="auto"/>
          <w:spacing w:val="7"/>
          <w:sz w:val="24"/>
          <w:szCs w:val="24"/>
          <w:lang w:eastAsia="zh-CN"/>
        </w:rPr>
        <w:t>5</w:t>
      </w:r>
      <w:r>
        <w:rPr>
          <w:rFonts w:hint="eastAsia" w:ascii="Times New Roman" w:hAnsi="Times New Roman" w:eastAsia="宋体" w:cs="Times New Roman"/>
          <w:b/>
          <w:bCs/>
          <w:color w:val="auto"/>
          <w:spacing w:val="7"/>
          <w:sz w:val="24"/>
          <w:szCs w:val="24"/>
          <w:lang w:val="en-US" w:eastAsia="zh-CN"/>
        </w:rPr>
        <w:t xml:space="preserve">  </w:t>
      </w:r>
      <w:r>
        <w:rPr>
          <w:rFonts w:hint="eastAsia" w:ascii="Times New Roman" w:hAnsi="Times New Roman" w:eastAsia="宋体" w:cs="Times New Roman"/>
          <w:b/>
          <w:bCs/>
          <w:color w:val="auto"/>
          <w:spacing w:val="7"/>
          <w:sz w:val="24"/>
          <w:szCs w:val="24"/>
          <w:lang w:eastAsia="zh-CN"/>
        </w:rPr>
        <w:t>建设项目大气有组织排放基本情况表</w:t>
      </w:r>
    </w:p>
    <w:tbl>
      <w:tblPr>
        <w:tblStyle w:val="129"/>
        <w:tblW w:w="505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3"/>
        <w:gridCol w:w="634"/>
        <w:gridCol w:w="1113"/>
        <w:gridCol w:w="1233"/>
        <w:gridCol w:w="764"/>
        <w:gridCol w:w="761"/>
        <w:gridCol w:w="612"/>
        <w:gridCol w:w="612"/>
        <w:gridCol w:w="662"/>
        <w:gridCol w:w="936"/>
        <w:gridCol w:w="1803"/>
        <w:gridCol w:w="1214"/>
        <w:gridCol w:w="908"/>
        <w:gridCol w:w="676"/>
        <w:gridCol w:w="668"/>
        <w:gridCol w:w="913"/>
        <w:gridCol w:w="351"/>
      </w:tblGrid>
      <w:tr w14:paraId="124BC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7" w:type="pct"/>
            <w:vMerge w:val="restart"/>
            <w:tcBorders>
              <w:top w:val="single" w:color="auto" w:sz="4" w:space="0"/>
              <w:left w:val="single" w:color="auto" w:sz="4" w:space="0"/>
              <w:bottom w:val="single" w:color="auto" w:sz="4" w:space="0"/>
              <w:right w:val="single" w:color="auto" w:sz="4" w:space="0"/>
            </w:tcBorders>
            <w:noWrap w:val="0"/>
            <w:textDirection w:val="tbRlV"/>
            <w:vAlign w:val="center"/>
          </w:tcPr>
          <w:p w14:paraId="575596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223" w:type="pct"/>
            <w:vMerge w:val="restart"/>
            <w:tcBorders>
              <w:top w:val="single" w:color="auto" w:sz="4" w:space="0"/>
              <w:left w:val="single" w:color="auto" w:sz="4" w:space="0"/>
              <w:bottom w:val="single" w:color="auto" w:sz="4" w:space="0"/>
              <w:right w:val="single" w:color="auto" w:sz="4" w:space="0"/>
            </w:tcBorders>
            <w:noWrap w:val="0"/>
            <w:vAlign w:val="center"/>
          </w:tcPr>
          <w:p w14:paraId="51C579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排放口编号</w:t>
            </w:r>
          </w:p>
        </w:tc>
        <w:tc>
          <w:tcPr>
            <w:tcW w:w="392" w:type="pct"/>
            <w:vMerge w:val="restart"/>
            <w:tcBorders>
              <w:top w:val="single" w:color="auto" w:sz="4" w:space="0"/>
              <w:left w:val="single" w:color="auto" w:sz="4" w:space="0"/>
              <w:bottom w:val="single" w:color="auto" w:sz="4" w:space="0"/>
              <w:right w:val="single" w:color="auto" w:sz="4" w:space="0"/>
            </w:tcBorders>
            <w:noWrap w:val="0"/>
            <w:vAlign w:val="center"/>
          </w:tcPr>
          <w:p w14:paraId="631F11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排放口名称</w:t>
            </w:r>
          </w:p>
        </w:tc>
        <w:tc>
          <w:tcPr>
            <w:tcW w:w="435" w:type="pct"/>
            <w:vMerge w:val="restart"/>
            <w:tcBorders>
              <w:top w:val="single" w:color="auto" w:sz="4" w:space="0"/>
              <w:left w:val="single" w:color="auto" w:sz="4" w:space="0"/>
              <w:bottom w:val="single" w:color="auto" w:sz="4" w:space="0"/>
              <w:right w:val="single" w:color="auto" w:sz="4" w:space="0"/>
            </w:tcBorders>
            <w:noWrap w:val="0"/>
            <w:vAlign w:val="center"/>
          </w:tcPr>
          <w:p w14:paraId="1F6FF7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污染物种类</w:t>
            </w:r>
          </w:p>
        </w:tc>
        <w:tc>
          <w:tcPr>
            <w:tcW w:w="538" w:type="pct"/>
            <w:gridSpan w:val="2"/>
            <w:tcBorders>
              <w:top w:val="single" w:color="auto" w:sz="4" w:space="0"/>
              <w:left w:val="single" w:color="auto" w:sz="4" w:space="0"/>
              <w:bottom w:val="single" w:color="auto" w:sz="4" w:space="0"/>
              <w:right w:val="single" w:color="auto" w:sz="4" w:space="0"/>
            </w:tcBorders>
            <w:noWrap w:val="0"/>
            <w:vAlign w:val="center"/>
          </w:tcPr>
          <w:p w14:paraId="3BA33E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排放口地理坐标</w:t>
            </w:r>
          </w:p>
        </w:tc>
        <w:tc>
          <w:tcPr>
            <w:tcW w:w="996" w:type="pct"/>
            <w:gridSpan w:val="4"/>
            <w:tcBorders>
              <w:top w:val="single" w:color="auto" w:sz="4" w:space="0"/>
              <w:left w:val="single" w:color="auto" w:sz="4" w:space="0"/>
              <w:bottom w:val="single" w:color="auto" w:sz="4" w:space="0"/>
              <w:right w:val="single" w:color="auto" w:sz="4" w:space="0"/>
            </w:tcBorders>
            <w:noWrap w:val="0"/>
            <w:vAlign w:val="center"/>
          </w:tcPr>
          <w:p w14:paraId="298FB2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排气筒参数</w:t>
            </w:r>
          </w:p>
        </w:tc>
        <w:tc>
          <w:tcPr>
            <w:tcW w:w="1385" w:type="pct"/>
            <w:gridSpan w:val="3"/>
            <w:tcBorders>
              <w:top w:val="single" w:color="auto" w:sz="4" w:space="0"/>
              <w:left w:val="single" w:color="auto" w:sz="4" w:space="0"/>
              <w:bottom w:val="single" w:color="auto" w:sz="4" w:space="0"/>
              <w:right w:val="single" w:color="auto" w:sz="4" w:space="0"/>
            </w:tcBorders>
            <w:noWrap w:val="0"/>
            <w:vAlign w:val="center"/>
          </w:tcPr>
          <w:p w14:paraId="1B22101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国家或地方污染物排放标准</w:t>
            </w:r>
          </w:p>
        </w:tc>
        <w:tc>
          <w:tcPr>
            <w:tcW w:w="238" w:type="pct"/>
            <w:vMerge w:val="restart"/>
            <w:tcBorders>
              <w:top w:val="single" w:color="auto" w:sz="4" w:space="0"/>
              <w:left w:val="single" w:color="auto" w:sz="4" w:space="0"/>
              <w:bottom w:val="single" w:color="auto" w:sz="4" w:space="0"/>
              <w:right w:val="single" w:color="auto" w:sz="4" w:space="0"/>
            </w:tcBorders>
            <w:noWrap w:val="0"/>
            <w:vAlign w:val="center"/>
          </w:tcPr>
          <w:p w14:paraId="267CDE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年许可排放量</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t/a</w:t>
            </w:r>
            <w:r>
              <w:rPr>
                <w:rFonts w:hint="eastAsia" w:ascii="Times New Roman" w:hAnsi="Times New Roman" w:eastAsia="宋体" w:cs="Times New Roman"/>
                <w:b/>
                <w:bCs/>
                <w:color w:val="auto"/>
                <w:spacing w:val="3"/>
                <w:position w:val="1"/>
                <w:sz w:val="21"/>
                <w:szCs w:val="21"/>
                <w:lang w:val="en-US" w:eastAsia="zh-CN"/>
              </w:rPr>
              <w:t>）</w:t>
            </w:r>
          </w:p>
        </w:tc>
        <w:tc>
          <w:tcPr>
            <w:tcW w:w="235" w:type="pct"/>
            <w:vMerge w:val="restart"/>
            <w:tcBorders>
              <w:top w:val="single" w:color="auto" w:sz="4" w:space="0"/>
              <w:left w:val="single" w:color="auto" w:sz="4" w:space="0"/>
              <w:bottom w:val="single" w:color="auto" w:sz="4" w:space="0"/>
              <w:right w:val="single" w:color="auto" w:sz="4" w:space="0"/>
            </w:tcBorders>
            <w:noWrap w:val="0"/>
            <w:vAlign w:val="center"/>
          </w:tcPr>
          <w:p w14:paraId="5F6398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申请特殊排放浓度限值</w:t>
            </w:r>
          </w:p>
        </w:tc>
        <w:tc>
          <w:tcPr>
            <w:tcW w:w="322" w:type="pct"/>
            <w:vMerge w:val="restart"/>
            <w:tcBorders>
              <w:top w:val="single" w:color="auto" w:sz="4" w:space="0"/>
              <w:left w:val="single" w:color="auto" w:sz="4" w:space="0"/>
              <w:bottom w:val="single" w:color="auto" w:sz="4" w:space="0"/>
              <w:right w:val="single" w:color="auto" w:sz="4" w:space="0"/>
            </w:tcBorders>
            <w:noWrap w:val="0"/>
            <w:vAlign w:val="center"/>
          </w:tcPr>
          <w:p w14:paraId="68EDEA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申请特殊时段许可排放量限值</w:t>
            </w:r>
          </w:p>
        </w:tc>
        <w:tc>
          <w:tcPr>
            <w:tcW w:w="123" w:type="pct"/>
            <w:vMerge w:val="restart"/>
            <w:tcBorders>
              <w:top w:val="single" w:color="auto" w:sz="4" w:space="0"/>
              <w:left w:val="single" w:color="auto" w:sz="4" w:space="0"/>
              <w:bottom w:val="single" w:color="auto" w:sz="4" w:space="0"/>
              <w:right w:val="single" w:color="auto" w:sz="4" w:space="0"/>
            </w:tcBorders>
            <w:noWrap w:val="0"/>
            <w:vAlign w:val="center"/>
          </w:tcPr>
          <w:p w14:paraId="6F3FF6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备注</w:t>
            </w:r>
          </w:p>
        </w:tc>
      </w:tr>
      <w:tr w14:paraId="25AB2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07" w:type="pct"/>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33F3E9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223" w:type="pct"/>
            <w:vMerge w:val="continue"/>
            <w:tcBorders>
              <w:top w:val="single" w:color="auto" w:sz="4" w:space="0"/>
              <w:left w:val="single" w:color="auto" w:sz="4" w:space="0"/>
              <w:bottom w:val="single" w:color="auto" w:sz="4" w:space="0"/>
              <w:right w:val="single" w:color="auto" w:sz="4" w:space="0"/>
            </w:tcBorders>
            <w:noWrap w:val="0"/>
            <w:vAlign w:val="center"/>
          </w:tcPr>
          <w:p w14:paraId="7D0560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392" w:type="pct"/>
            <w:vMerge w:val="continue"/>
            <w:tcBorders>
              <w:top w:val="single" w:color="auto" w:sz="4" w:space="0"/>
              <w:left w:val="single" w:color="auto" w:sz="4" w:space="0"/>
              <w:bottom w:val="single" w:color="auto" w:sz="4" w:space="0"/>
              <w:right w:val="single" w:color="auto" w:sz="4" w:space="0"/>
            </w:tcBorders>
            <w:noWrap w:val="0"/>
            <w:vAlign w:val="center"/>
          </w:tcPr>
          <w:p w14:paraId="744380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435" w:type="pct"/>
            <w:vMerge w:val="continue"/>
            <w:tcBorders>
              <w:top w:val="single" w:color="auto" w:sz="4" w:space="0"/>
              <w:left w:val="single" w:color="auto" w:sz="4" w:space="0"/>
              <w:bottom w:val="single" w:color="auto" w:sz="4" w:space="0"/>
              <w:right w:val="single" w:color="auto" w:sz="4" w:space="0"/>
            </w:tcBorders>
            <w:noWrap w:val="0"/>
            <w:vAlign w:val="center"/>
          </w:tcPr>
          <w:p w14:paraId="5E73D4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269" w:type="pct"/>
            <w:tcBorders>
              <w:top w:val="single" w:color="auto" w:sz="4" w:space="0"/>
              <w:left w:val="single" w:color="auto" w:sz="4" w:space="0"/>
              <w:bottom w:val="single" w:color="auto" w:sz="4" w:space="0"/>
              <w:right w:val="single" w:color="auto" w:sz="4" w:space="0"/>
            </w:tcBorders>
            <w:noWrap w:val="0"/>
            <w:vAlign w:val="center"/>
          </w:tcPr>
          <w:p w14:paraId="503614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经度</w:t>
            </w:r>
          </w:p>
        </w:tc>
        <w:tc>
          <w:tcPr>
            <w:tcW w:w="268" w:type="pct"/>
            <w:tcBorders>
              <w:top w:val="single" w:color="auto" w:sz="4" w:space="0"/>
              <w:left w:val="single" w:color="auto" w:sz="4" w:space="0"/>
              <w:bottom w:val="single" w:color="auto" w:sz="4" w:space="0"/>
              <w:right w:val="single" w:color="auto" w:sz="4" w:space="0"/>
            </w:tcBorders>
            <w:noWrap w:val="0"/>
            <w:vAlign w:val="center"/>
          </w:tcPr>
          <w:p w14:paraId="4D2FC4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纬度</w:t>
            </w:r>
          </w:p>
        </w:tc>
        <w:tc>
          <w:tcPr>
            <w:tcW w:w="216" w:type="pct"/>
            <w:tcBorders>
              <w:top w:val="single" w:color="auto" w:sz="4" w:space="0"/>
              <w:left w:val="single" w:color="auto" w:sz="4" w:space="0"/>
              <w:bottom w:val="single" w:color="auto" w:sz="4" w:space="0"/>
              <w:right w:val="single" w:color="auto" w:sz="4" w:space="0"/>
            </w:tcBorders>
            <w:noWrap w:val="0"/>
            <w:vAlign w:val="center"/>
          </w:tcPr>
          <w:p w14:paraId="62E400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高度</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m</w:t>
            </w:r>
            <w:r>
              <w:rPr>
                <w:rFonts w:hint="eastAsia" w:ascii="Times New Roman" w:hAnsi="Times New Roman" w:eastAsia="宋体" w:cs="Times New Roman"/>
                <w:b/>
                <w:bCs/>
                <w:color w:val="auto"/>
                <w:spacing w:val="3"/>
                <w:position w:val="1"/>
                <w:sz w:val="21"/>
                <w:szCs w:val="21"/>
                <w:lang w:val="en-US" w:eastAsia="zh-CN"/>
              </w:rPr>
              <w:t>）</w:t>
            </w:r>
          </w:p>
        </w:tc>
        <w:tc>
          <w:tcPr>
            <w:tcW w:w="216" w:type="pct"/>
            <w:tcBorders>
              <w:top w:val="single" w:color="auto" w:sz="4" w:space="0"/>
              <w:left w:val="single" w:color="auto" w:sz="4" w:space="0"/>
              <w:bottom w:val="single" w:color="auto" w:sz="4" w:space="0"/>
              <w:right w:val="single" w:color="auto" w:sz="4" w:space="0"/>
            </w:tcBorders>
            <w:noWrap w:val="0"/>
            <w:vAlign w:val="center"/>
          </w:tcPr>
          <w:p w14:paraId="36D982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出口内径</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m</w:t>
            </w:r>
            <w:r>
              <w:rPr>
                <w:rFonts w:hint="eastAsia" w:ascii="Times New Roman" w:hAnsi="Times New Roman" w:eastAsia="宋体" w:cs="Times New Roman"/>
                <w:b/>
                <w:bCs/>
                <w:color w:val="auto"/>
                <w:spacing w:val="3"/>
                <w:position w:val="1"/>
                <w:sz w:val="21"/>
                <w:szCs w:val="21"/>
                <w:lang w:val="en-US" w:eastAsia="zh-CN"/>
              </w:rPr>
              <w:t>）</w:t>
            </w:r>
          </w:p>
        </w:tc>
        <w:tc>
          <w:tcPr>
            <w:tcW w:w="233" w:type="pct"/>
            <w:tcBorders>
              <w:top w:val="single" w:color="auto" w:sz="4" w:space="0"/>
              <w:left w:val="single" w:color="auto" w:sz="4" w:space="0"/>
              <w:bottom w:val="single" w:color="auto" w:sz="4" w:space="0"/>
              <w:right w:val="single" w:color="auto" w:sz="4" w:space="0"/>
            </w:tcBorders>
            <w:noWrap w:val="0"/>
            <w:vAlign w:val="center"/>
          </w:tcPr>
          <w:p w14:paraId="55A00C9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排气温度</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w:t>
            </w:r>
            <w:r>
              <w:rPr>
                <w:rFonts w:hint="eastAsia" w:ascii="Times New Roman" w:hAnsi="Times New Roman" w:eastAsia="宋体" w:cs="Times New Roman"/>
                <w:b/>
                <w:bCs/>
                <w:color w:val="auto"/>
                <w:spacing w:val="3"/>
                <w:position w:val="1"/>
                <w:sz w:val="21"/>
                <w:szCs w:val="21"/>
                <w:lang w:val="en-US" w:eastAsia="zh-CN"/>
              </w:rPr>
              <w:t>）</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096A3F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排气量</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m</w:t>
            </w:r>
            <w:r>
              <w:rPr>
                <w:rFonts w:hint="default" w:ascii="Times New Roman" w:hAnsi="Times New Roman" w:eastAsia="宋体" w:cs="Times New Roman"/>
                <w:b/>
                <w:bCs/>
                <w:color w:val="auto"/>
                <w:spacing w:val="3"/>
                <w:position w:val="1"/>
                <w:sz w:val="21"/>
                <w:szCs w:val="21"/>
                <w:vertAlign w:val="superscript"/>
                <w:lang w:val="en-US" w:eastAsia="zh-CN"/>
              </w:rPr>
              <w:t>3</w:t>
            </w:r>
            <w:r>
              <w:rPr>
                <w:rFonts w:hint="default" w:ascii="Times New Roman" w:hAnsi="Times New Roman" w:eastAsia="宋体" w:cs="Times New Roman"/>
                <w:b/>
                <w:bCs/>
                <w:color w:val="auto"/>
                <w:spacing w:val="3"/>
                <w:position w:val="1"/>
                <w:sz w:val="21"/>
                <w:szCs w:val="21"/>
                <w:lang w:val="en-US" w:eastAsia="zh-CN"/>
              </w:rPr>
              <w:t>/h</w:t>
            </w:r>
            <w:r>
              <w:rPr>
                <w:rFonts w:hint="eastAsia" w:ascii="Times New Roman" w:hAnsi="Times New Roman" w:eastAsia="宋体" w:cs="Times New Roman"/>
                <w:b/>
                <w:bCs/>
                <w:color w:val="auto"/>
                <w:spacing w:val="3"/>
                <w:position w:val="1"/>
                <w:sz w:val="21"/>
                <w:szCs w:val="21"/>
                <w:lang w:val="en-US" w:eastAsia="zh-CN"/>
              </w:rPr>
              <w:t>）</w:t>
            </w:r>
          </w:p>
        </w:tc>
        <w:tc>
          <w:tcPr>
            <w:tcW w:w="636" w:type="pct"/>
            <w:tcBorders>
              <w:top w:val="single" w:color="auto" w:sz="4" w:space="0"/>
              <w:left w:val="single" w:color="auto" w:sz="4" w:space="0"/>
              <w:bottom w:val="single" w:color="auto" w:sz="4" w:space="0"/>
              <w:right w:val="single" w:color="auto" w:sz="4" w:space="0"/>
            </w:tcBorders>
            <w:noWrap w:val="0"/>
            <w:vAlign w:val="center"/>
          </w:tcPr>
          <w:p w14:paraId="0C5BAA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标准名称</w:t>
            </w:r>
          </w:p>
        </w:tc>
        <w:tc>
          <w:tcPr>
            <w:tcW w:w="428" w:type="pct"/>
            <w:tcBorders>
              <w:top w:val="single" w:color="auto" w:sz="4" w:space="0"/>
              <w:left w:val="single" w:color="auto" w:sz="4" w:space="0"/>
              <w:bottom w:val="single" w:color="auto" w:sz="4" w:space="0"/>
              <w:right w:val="single" w:color="auto" w:sz="4" w:space="0"/>
            </w:tcBorders>
            <w:noWrap w:val="0"/>
            <w:vAlign w:val="center"/>
          </w:tcPr>
          <w:p w14:paraId="224C9B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浓度限值</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mg/Nm</w:t>
            </w:r>
            <w:r>
              <w:rPr>
                <w:rFonts w:hint="default" w:ascii="Times New Roman" w:hAnsi="Times New Roman" w:eastAsia="宋体" w:cs="Times New Roman"/>
                <w:b/>
                <w:bCs/>
                <w:color w:val="auto"/>
                <w:spacing w:val="3"/>
                <w:position w:val="1"/>
                <w:sz w:val="21"/>
                <w:szCs w:val="21"/>
                <w:vertAlign w:val="superscript"/>
                <w:lang w:val="en-US" w:eastAsia="zh-CN"/>
              </w:rPr>
              <w:t>3</w:t>
            </w:r>
            <w:r>
              <w:rPr>
                <w:rFonts w:hint="eastAsia" w:ascii="Times New Roman" w:hAnsi="Times New Roman" w:eastAsia="宋体" w:cs="Times New Roman"/>
                <w:b/>
                <w:bCs/>
                <w:color w:val="auto"/>
                <w:spacing w:val="3"/>
                <w:position w:val="1"/>
                <w:sz w:val="21"/>
                <w:szCs w:val="21"/>
                <w:lang w:val="en-US" w:eastAsia="zh-CN"/>
              </w:rPr>
              <w:t>）</w:t>
            </w:r>
          </w:p>
        </w:tc>
        <w:tc>
          <w:tcPr>
            <w:tcW w:w="320" w:type="pct"/>
            <w:tcBorders>
              <w:top w:val="single" w:color="auto" w:sz="4" w:space="0"/>
              <w:left w:val="single" w:color="auto" w:sz="4" w:space="0"/>
              <w:bottom w:val="single" w:color="auto" w:sz="4" w:space="0"/>
              <w:right w:val="single" w:color="auto" w:sz="4" w:space="0"/>
            </w:tcBorders>
            <w:noWrap w:val="0"/>
            <w:vAlign w:val="center"/>
          </w:tcPr>
          <w:p w14:paraId="2B159A1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速率限值</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kg/h</w:t>
            </w:r>
            <w:r>
              <w:rPr>
                <w:rFonts w:hint="eastAsia" w:ascii="Times New Roman" w:hAnsi="Times New Roman" w:eastAsia="宋体" w:cs="Times New Roman"/>
                <w:b/>
                <w:bCs/>
                <w:color w:val="auto"/>
                <w:spacing w:val="3"/>
                <w:position w:val="1"/>
                <w:sz w:val="21"/>
                <w:szCs w:val="21"/>
                <w:lang w:val="en-US" w:eastAsia="zh-CN"/>
              </w:rPr>
              <w:t>）</w:t>
            </w:r>
          </w:p>
        </w:tc>
        <w:tc>
          <w:tcPr>
            <w:tcW w:w="238" w:type="pct"/>
            <w:vMerge w:val="continue"/>
            <w:tcBorders>
              <w:top w:val="single" w:color="auto" w:sz="4" w:space="0"/>
              <w:left w:val="single" w:color="auto" w:sz="4" w:space="0"/>
              <w:bottom w:val="single" w:color="auto" w:sz="4" w:space="0"/>
              <w:right w:val="single" w:color="auto" w:sz="4" w:space="0"/>
            </w:tcBorders>
            <w:noWrap w:val="0"/>
            <w:vAlign w:val="center"/>
          </w:tcPr>
          <w:p w14:paraId="59AC9C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FF0000"/>
                <w:spacing w:val="3"/>
                <w:position w:val="1"/>
                <w:sz w:val="21"/>
                <w:szCs w:val="21"/>
                <w:lang w:val="en-US" w:eastAsia="zh-CN"/>
              </w:rPr>
            </w:pPr>
          </w:p>
        </w:tc>
        <w:tc>
          <w:tcPr>
            <w:tcW w:w="235" w:type="pct"/>
            <w:vMerge w:val="continue"/>
            <w:tcBorders>
              <w:top w:val="single" w:color="auto" w:sz="4" w:space="0"/>
              <w:left w:val="single" w:color="auto" w:sz="4" w:space="0"/>
              <w:bottom w:val="single" w:color="auto" w:sz="4" w:space="0"/>
              <w:right w:val="single" w:color="auto" w:sz="4" w:space="0"/>
            </w:tcBorders>
            <w:noWrap w:val="0"/>
            <w:vAlign w:val="center"/>
          </w:tcPr>
          <w:p w14:paraId="162B2C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FF0000"/>
                <w:spacing w:val="3"/>
                <w:position w:val="1"/>
                <w:sz w:val="21"/>
                <w:szCs w:val="21"/>
                <w:lang w:val="en-US" w:eastAsia="zh-CN"/>
              </w:rPr>
            </w:pPr>
          </w:p>
        </w:tc>
        <w:tc>
          <w:tcPr>
            <w:tcW w:w="322" w:type="pct"/>
            <w:vMerge w:val="continue"/>
            <w:tcBorders>
              <w:top w:val="single" w:color="auto" w:sz="4" w:space="0"/>
              <w:left w:val="single" w:color="auto" w:sz="4" w:space="0"/>
              <w:bottom w:val="single" w:color="auto" w:sz="4" w:space="0"/>
              <w:right w:val="single" w:color="auto" w:sz="4" w:space="0"/>
            </w:tcBorders>
            <w:noWrap w:val="0"/>
            <w:vAlign w:val="center"/>
          </w:tcPr>
          <w:p w14:paraId="34EC7D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FF0000"/>
                <w:spacing w:val="3"/>
                <w:position w:val="1"/>
                <w:sz w:val="21"/>
                <w:szCs w:val="21"/>
                <w:lang w:val="en-US" w:eastAsia="zh-CN"/>
              </w:rPr>
            </w:pPr>
          </w:p>
        </w:tc>
        <w:tc>
          <w:tcPr>
            <w:tcW w:w="123" w:type="pct"/>
            <w:vMerge w:val="continue"/>
            <w:tcBorders>
              <w:top w:val="single" w:color="auto" w:sz="4" w:space="0"/>
              <w:left w:val="single" w:color="auto" w:sz="4" w:space="0"/>
              <w:bottom w:val="single" w:color="auto" w:sz="4" w:space="0"/>
              <w:right w:val="single" w:color="auto" w:sz="4" w:space="0"/>
            </w:tcBorders>
            <w:noWrap w:val="0"/>
            <w:vAlign w:val="center"/>
          </w:tcPr>
          <w:p w14:paraId="1CB588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FF0000"/>
                <w:spacing w:val="3"/>
                <w:position w:val="1"/>
                <w:sz w:val="21"/>
                <w:szCs w:val="21"/>
                <w:lang w:val="en-US" w:eastAsia="zh-CN"/>
              </w:rPr>
            </w:pPr>
          </w:p>
        </w:tc>
      </w:tr>
      <w:tr w14:paraId="673D9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jc w:val="center"/>
        </w:trPr>
        <w:tc>
          <w:tcPr>
            <w:tcW w:w="107" w:type="pct"/>
            <w:tcBorders>
              <w:top w:val="single" w:color="auto" w:sz="4" w:space="0"/>
              <w:left w:val="single" w:color="auto" w:sz="4" w:space="0"/>
              <w:right w:val="single" w:color="auto" w:sz="4" w:space="0"/>
            </w:tcBorders>
            <w:noWrap w:val="0"/>
            <w:vAlign w:val="center"/>
          </w:tcPr>
          <w:p w14:paraId="21E40B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1</w:t>
            </w:r>
          </w:p>
        </w:tc>
        <w:tc>
          <w:tcPr>
            <w:tcW w:w="223" w:type="pct"/>
            <w:tcBorders>
              <w:top w:val="single" w:color="auto" w:sz="4" w:space="0"/>
              <w:left w:val="single" w:color="auto" w:sz="4" w:space="0"/>
              <w:right w:val="single" w:color="auto" w:sz="4" w:space="0"/>
            </w:tcBorders>
            <w:noWrap w:val="0"/>
            <w:vAlign w:val="center"/>
          </w:tcPr>
          <w:p w14:paraId="257507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DA001</w:t>
            </w:r>
          </w:p>
        </w:tc>
        <w:tc>
          <w:tcPr>
            <w:tcW w:w="392" w:type="pct"/>
            <w:tcBorders>
              <w:top w:val="single" w:color="auto" w:sz="4" w:space="0"/>
              <w:left w:val="single" w:color="auto" w:sz="4" w:space="0"/>
              <w:right w:val="single" w:color="auto" w:sz="4" w:space="0"/>
            </w:tcBorders>
            <w:noWrap w:val="0"/>
            <w:vAlign w:val="center"/>
          </w:tcPr>
          <w:p w14:paraId="241C83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现有熔化废气排气筒</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6A0EA5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269" w:type="pct"/>
            <w:tcBorders>
              <w:top w:val="single" w:color="auto" w:sz="4" w:space="0"/>
              <w:left w:val="single" w:color="auto" w:sz="4" w:space="0"/>
              <w:right w:val="single" w:color="auto" w:sz="4" w:space="0"/>
            </w:tcBorders>
            <w:shd w:val="clear" w:color="auto" w:fill="auto"/>
            <w:noWrap w:val="0"/>
            <w:vAlign w:val="center"/>
          </w:tcPr>
          <w:p w14:paraId="0C8DCEB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kern w:val="2"/>
                <w:position w:val="1"/>
                <w:sz w:val="21"/>
                <w:szCs w:val="21"/>
                <w:lang w:val="en-US" w:eastAsia="zh-CN" w:bidi="ar-SA"/>
              </w:rPr>
            </w:pPr>
            <w:r>
              <w:rPr>
                <w:rFonts w:hint="default" w:ascii="Times New Roman" w:hAnsi="Times New Roman" w:cs="Times New Roman"/>
                <w:color w:val="auto"/>
                <w:kern w:val="0"/>
                <w:sz w:val="21"/>
                <w:szCs w:val="21"/>
                <w:highlight w:val="none"/>
              </w:rPr>
              <w:t>118.451567</w:t>
            </w:r>
          </w:p>
        </w:tc>
        <w:tc>
          <w:tcPr>
            <w:tcW w:w="268" w:type="pct"/>
            <w:tcBorders>
              <w:top w:val="single" w:color="auto" w:sz="4" w:space="0"/>
              <w:left w:val="single" w:color="auto" w:sz="4" w:space="0"/>
              <w:right w:val="single" w:color="auto" w:sz="4" w:space="0"/>
            </w:tcBorders>
            <w:noWrap w:val="0"/>
            <w:vAlign w:val="center"/>
          </w:tcPr>
          <w:p w14:paraId="7548634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 w:val="21"/>
                <w:szCs w:val="21"/>
                <w:highlight w:val="none"/>
              </w:rPr>
              <w:t>30.695499</w:t>
            </w:r>
          </w:p>
        </w:tc>
        <w:tc>
          <w:tcPr>
            <w:tcW w:w="216" w:type="pct"/>
            <w:tcBorders>
              <w:top w:val="single" w:color="auto" w:sz="4" w:space="0"/>
              <w:left w:val="single" w:color="auto" w:sz="4" w:space="0"/>
              <w:right w:val="single" w:color="auto" w:sz="4" w:space="0"/>
            </w:tcBorders>
            <w:noWrap w:val="0"/>
            <w:vAlign w:val="center"/>
          </w:tcPr>
          <w:p w14:paraId="1C90E6C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15</w:t>
            </w:r>
          </w:p>
        </w:tc>
        <w:tc>
          <w:tcPr>
            <w:tcW w:w="216" w:type="pct"/>
            <w:tcBorders>
              <w:top w:val="single" w:color="auto" w:sz="4" w:space="0"/>
              <w:left w:val="single" w:color="auto" w:sz="4" w:space="0"/>
              <w:right w:val="single" w:color="auto" w:sz="4" w:space="0"/>
            </w:tcBorders>
            <w:noWrap w:val="0"/>
            <w:vAlign w:val="center"/>
          </w:tcPr>
          <w:p w14:paraId="136163A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eastAsia" w:ascii="Times New Roman" w:hAnsi="Times New Roman" w:cs="Times New Roman"/>
                <w:color w:val="auto"/>
                <w:kern w:val="0"/>
                <w:szCs w:val="21"/>
                <w:highlight w:val="none"/>
                <w:lang w:val="en-US" w:eastAsia="zh-CN"/>
              </w:rPr>
              <w:t>0.</w:t>
            </w:r>
            <w:r>
              <w:rPr>
                <w:rFonts w:hint="eastAsia" w:cs="Times New Roman"/>
                <w:color w:val="auto"/>
                <w:kern w:val="0"/>
                <w:szCs w:val="21"/>
                <w:highlight w:val="none"/>
                <w:lang w:val="en-US" w:eastAsia="zh-CN"/>
              </w:rPr>
              <w:t>4</w:t>
            </w:r>
          </w:p>
        </w:tc>
        <w:tc>
          <w:tcPr>
            <w:tcW w:w="233" w:type="pct"/>
            <w:tcBorders>
              <w:top w:val="single" w:color="auto" w:sz="4" w:space="0"/>
              <w:left w:val="single" w:color="auto" w:sz="4" w:space="0"/>
              <w:right w:val="single" w:color="auto" w:sz="4" w:space="0"/>
            </w:tcBorders>
            <w:noWrap w:val="0"/>
            <w:vAlign w:val="center"/>
          </w:tcPr>
          <w:p w14:paraId="7943F4E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eastAsia" w:ascii="Times New Roman" w:hAnsi="Times New Roman" w:cs="Times New Roman"/>
                <w:color w:val="auto"/>
                <w:kern w:val="0"/>
                <w:szCs w:val="21"/>
                <w:highlight w:val="none"/>
                <w:lang w:val="en-US" w:eastAsia="zh-CN"/>
              </w:rPr>
              <w:t>110</w:t>
            </w:r>
          </w:p>
        </w:tc>
        <w:tc>
          <w:tcPr>
            <w:tcW w:w="330" w:type="pct"/>
            <w:tcBorders>
              <w:top w:val="single" w:color="auto" w:sz="4" w:space="0"/>
              <w:left w:val="single" w:color="auto" w:sz="4" w:space="0"/>
              <w:right w:val="single" w:color="auto" w:sz="4" w:space="0"/>
            </w:tcBorders>
            <w:noWrap w:val="0"/>
            <w:vAlign w:val="center"/>
          </w:tcPr>
          <w:p w14:paraId="5C90DE6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5000</w:t>
            </w:r>
          </w:p>
        </w:tc>
        <w:tc>
          <w:tcPr>
            <w:tcW w:w="636" w:type="pct"/>
            <w:tcBorders>
              <w:top w:val="single" w:color="auto" w:sz="4" w:space="0"/>
              <w:left w:val="single" w:color="auto" w:sz="4" w:space="0"/>
              <w:bottom w:val="single" w:color="auto" w:sz="4" w:space="0"/>
              <w:right w:val="single" w:color="auto" w:sz="4" w:space="0"/>
            </w:tcBorders>
            <w:noWrap w:val="0"/>
            <w:vAlign w:val="center"/>
          </w:tcPr>
          <w:p w14:paraId="0F0EBC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《铸造工业大气污染物排放标准》</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GB</w:t>
            </w:r>
            <w:r>
              <w:rPr>
                <w:rFonts w:hint="eastAsia" w:ascii="Times New Roman" w:hAnsi="Times New Roman" w:eastAsia="宋体" w:cs="Times New Roman"/>
                <w:color w:val="auto"/>
                <w:spacing w:val="3"/>
                <w:position w:val="1"/>
                <w:sz w:val="21"/>
                <w:szCs w:val="21"/>
                <w:lang w:val="en-US" w:eastAsia="zh-CN"/>
              </w:rPr>
              <w:t xml:space="preserve"> </w:t>
            </w:r>
            <w:r>
              <w:rPr>
                <w:rFonts w:hint="default" w:ascii="Times New Roman" w:hAnsi="Times New Roman" w:eastAsia="宋体" w:cs="Times New Roman"/>
                <w:color w:val="auto"/>
                <w:spacing w:val="3"/>
                <w:position w:val="1"/>
                <w:sz w:val="21"/>
                <w:szCs w:val="21"/>
                <w:lang w:val="en-US" w:eastAsia="zh-CN"/>
              </w:rPr>
              <w:t>39726-2020）</w:t>
            </w:r>
          </w:p>
        </w:tc>
        <w:tc>
          <w:tcPr>
            <w:tcW w:w="428" w:type="pct"/>
            <w:tcBorders>
              <w:top w:val="single" w:color="auto" w:sz="4" w:space="0"/>
              <w:left w:val="single" w:color="auto" w:sz="4" w:space="0"/>
              <w:bottom w:val="single" w:color="auto" w:sz="4" w:space="0"/>
              <w:right w:val="single" w:color="auto" w:sz="4" w:space="0"/>
            </w:tcBorders>
            <w:noWrap w:val="0"/>
            <w:vAlign w:val="center"/>
          </w:tcPr>
          <w:p w14:paraId="2E06F9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30</w:t>
            </w:r>
          </w:p>
        </w:tc>
        <w:tc>
          <w:tcPr>
            <w:tcW w:w="320" w:type="pct"/>
            <w:tcBorders>
              <w:top w:val="single" w:color="auto" w:sz="4" w:space="0"/>
              <w:left w:val="single" w:color="auto" w:sz="4" w:space="0"/>
              <w:bottom w:val="single" w:color="auto" w:sz="4" w:space="0"/>
              <w:right w:val="single" w:color="auto" w:sz="4" w:space="0"/>
            </w:tcBorders>
            <w:noWrap w:val="0"/>
            <w:vAlign w:val="center"/>
          </w:tcPr>
          <w:p w14:paraId="78203A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8EE198">
            <w:pPr>
              <w:pStyle w:val="102"/>
              <w:keepLines w:val="0"/>
              <w:pageBreakBefore w:val="0"/>
              <w:kinsoku/>
              <w:wordWrap/>
              <w:topLinePunct w:val="0"/>
              <w:bidi w:val="0"/>
              <w:adjustRightInd w:val="0"/>
              <w:snapToGrid w:val="0"/>
              <w:spacing w:line="240" w:lineRule="auto"/>
              <w:ind w:left="0" w:leftChars="0" w:firstLine="0" w:firstLineChars="0"/>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0.022</w:t>
            </w:r>
            <w:r>
              <w:rPr>
                <w:rFonts w:hint="eastAsia" w:ascii="Times New Roman" w:hAnsi="Times New Roman" w:eastAsia="宋体" w:cs="Times New Roman"/>
                <w:bCs/>
                <w:color w:val="auto"/>
                <w:sz w:val="21"/>
                <w:szCs w:val="21"/>
                <w:highlight w:val="none"/>
                <w:lang w:val="en-US" w:eastAsia="zh-CN"/>
              </w:rPr>
              <w:t>75</w:t>
            </w:r>
          </w:p>
        </w:tc>
        <w:tc>
          <w:tcPr>
            <w:tcW w:w="235" w:type="pct"/>
            <w:tcBorders>
              <w:top w:val="single" w:color="auto" w:sz="4" w:space="0"/>
              <w:left w:val="single" w:color="auto" w:sz="4" w:space="0"/>
              <w:bottom w:val="single" w:color="auto" w:sz="4" w:space="0"/>
              <w:right w:val="single" w:color="auto" w:sz="4" w:space="0"/>
            </w:tcBorders>
            <w:noWrap w:val="0"/>
            <w:vAlign w:val="center"/>
          </w:tcPr>
          <w:p w14:paraId="376DD0F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50E89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3" w:type="pct"/>
            <w:tcBorders>
              <w:top w:val="single" w:color="auto" w:sz="4" w:space="0"/>
              <w:left w:val="single" w:color="auto" w:sz="4" w:space="0"/>
              <w:bottom w:val="single" w:color="auto" w:sz="4" w:space="0"/>
              <w:right w:val="single" w:color="auto" w:sz="4" w:space="0"/>
            </w:tcBorders>
            <w:noWrap w:val="0"/>
            <w:vAlign w:val="center"/>
          </w:tcPr>
          <w:p w14:paraId="63B4CA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66398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07" w:type="pct"/>
            <w:tcBorders>
              <w:left w:val="single" w:color="auto" w:sz="4" w:space="0"/>
              <w:right w:val="single" w:color="auto" w:sz="4" w:space="0"/>
            </w:tcBorders>
            <w:noWrap w:val="0"/>
            <w:vAlign w:val="center"/>
          </w:tcPr>
          <w:p w14:paraId="37F8DC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2</w:t>
            </w:r>
          </w:p>
        </w:tc>
        <w:tc>
          <w:tcPr>
            <w:tcW w:w="223" w:type="pct"/>
            <w:tcBorders>
              <w:left w:val="single" w:color="auto" w:sz="4" w:space="0"/>
              <w:right w:val="single" w:color="auto" w:sz="4" w:space="0"/>
            </w:tcBorders>
            <w:noWrap w:val="0"/>
            <w:vAlign w:val="center"/>
          </w:tcPr>
          <w:p w14:paraId="79CCAF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DA002</w:t>
            </w:r>
          </w:p>
        </w:tc>
        <w:tc>
          <w:tcPr>
            <w:tcW w:w="392" w:type="pct"/>
            <w:tcBorders>
              <w:left w:val="single" w:color="auto" w:sz="4" w:space="0"/>
              <w:right w:val="single" w:color="auto" w:sz="4" w:space="0"/>
            </w:tcBorders>
            <w:noWrap w:val="0"/>
            <w:vAlign w:val="center"/>
          </w:tcPr>
          <w:p w14:paraId="07B0F9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砂处理废气排气筒</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6CCCA5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269" w:type="pct"/>
            <w:tcBorders>
              <w:left w:val="single" w:color="auto" w:sz="4" w:space="0"/>
              <w:right w:val="single" w:color="auto" w:sz="4" w:space="0"/>
            </w:tcBorders>
            <w:shd w:val="clear" w:color="auto" w:fill="auto"/>
            <w:noWrap w:val="0"/>
            <w:vAlign w:val="center"/>
          </w:tcPr>
          <w:p w14:paraId="6502D14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kern w:val="2"/>
                <w:position w:val="1"/>
                <w:sz w:val="21"/>
                <w:szCs w:val="21"/>
                <w:lang w:val="en-US" w:eastAsia="zh-CN" w:bidi="ar-SA"/>
              </w:rPr>
            </w:pPr>
            <w:r>
              <w:rPr>
                <w:rFonts w:hint="default" w:ascii="Times New Roman" w:hAnsi="Times New Roman" w:cs="Times New Roman"/>
                <w:color w:val="auto"/>
                <w:kern w:val="0"/>
                <w:sz w:val="21"/>
                <w:szCs w:val="21"/>
                <w:highlight w:val="none"/>
              </w:rPr>
              <w:t>118.451481</w:t>
            </w:r>
          </w:p>
        </w:tc>
        <w:tc>
          <w:tcPr>
            <w:tcW w:w="268" w:type="pct"/>
            <w:tcBorders>
              <w:left w:val="single" w:color="auto" w:sz="4" w:space="0"/>
              <w:right w:val="single" w:color="auto" w:sz="4" w:space="0"/>
            </w:tcBorders>
            <w:noWrap w:val="0"/>
            <w:vAlign w:val="center"/>
          </w:tcPr>
          <w:p w14:paraId="3D275E4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 w:val="21"/>
                <w:szCs w:val="21"/>
                <w:highlight w:val="none"/>
              </w:rPr>
              <w:t>30.694839</w:t>
            </w:r>
          </w:p>
        </w:tc>
        <w:tc>
          <w:tcPr>
            <w:tcW w:w="216" w:type="pct"/>
            <w:tcBorders>
              <w:left w:val="single" w:color="auto" w:sz="4" w:space="0"/>
              <w:right w:val="single" w:color="auto" w:sz="4" w:space="0"/>
            </w:tcBorders>
            <w:noWrap w:val="0"/>
            <w:vAlign w:val="center"/>
          </w:tcPr>
          <w:p w14:paraId="6F4E5E1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15</w:t>
            </w:r>
          </w:p>
        </w:tc>
        <w:tc>
          <w:tcPr>
            <w:tcW w:w="216" w:type="pct"/>
            <w:tcBorders>
              <w:left w:val="single" w:color="auto" w:sz="4" w:space="0"/>
              <w:right w:val="single" w:color="auto" w:sz="4" w:space="0"/>
            </w:tcBorders>
            <w:noWrap w:val="0"/>
            <w:vAlign w:val="center"/>
          </w:tcPr>
          <w:p w14:paraId="5FE3E7E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eastAsia" w:cs="Times New Roman"/>
                <w:color w:val="auto"/>
                <w:kern w:val="0"/>
                <w:szCs w:val="21"/>
                <w:highlight w:val="none"/>
                <w:lang w:val="en-US" w:eastAsia="zh-CN"/>
              </w:rPr>
              <w:t>0.4</w:t>
            </w:r>
          </w:p>
        </w:tc>
        <w:tc>
          <w:tcPr>
            <w:tcW w:w="233" w:type="pct"/>
            <w:tcBorders>
              <w:left w:val="single" w:color="auto" w:sz="4" w:space="0"/>
              <w:right w:val="single" w:color="auto" w:sz="4" w:space="0"/>
            </w:tcBorders>
            <w:noWrap w:val="0"/>
            <w:vAlign w:val="center"/>
          </w:tcPr>
          <w:p w14:paraId="66823D4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25</w:t>
            </w:r>
          </w:p>
        </w:tc>
        <w:tc>
          <w:tcPr>
            <w:tcW w:w="330" w:type="pct"/>
            <w:tcBorders>
              <w:left w:val="single" w:color="auto" w:sz="4" w:space="0"/>
              <w:right w:val="single" w:color="auto" w:sz="4" w:space="0"/>
            </w:tcBorders>
            <w:noWrap w:val="0"/>
            <w:vAlign w:val="center"/>
          </w:tcPr>
          <w:p w14:paraId="0A97B69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7000</w:t>
            </w:r>
          </w:p>
        </w:tc>
        <w:tc>
          <w:tcPr>
            <w:tcW w:w="636" w:type="pct"/>
            <w:tcBorders>
              <w:top w:val="single" w:color="auto" w:sz="4" w:space="0"/>
              <w:left w:val="single" w:color="auto" w:sz="4" w:space="0"/>
              <w:right w:val="single" w:color="auto" w:sz="4" w:space="0"/>
            </w:tcBorders>
            <w:noWrap w:val="0"/>
            <w:vAlign w:val="center"/>
          </w:tcPr>
          <w:p w14:paraId="61C43B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《铸造工业大气污染物排放标准》</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GB</w:t>
            </w:r>
            <w:r>
              <w:rPr>
                <w:rFonts w:hint="eastAsia" w:ascii="Times New Roman" w:hAnsi="Times New Roman" w:eastAsia="宋体" w:cs="Times New Roman"/>
                <w:color w:val="auto"/>
                <w:spacing w:val="3"/>
                <w:position w:val="1"/>
                <w:sz w:val="21"/>
                <w:szCs w:val="21"/>
                <w:lang w:val="en-US" w:eastAsia="zh-CN"/>
              </w:rPr>
              <w:t xml:space="preserve"> </w:t>
            </w:r>
            <w:r>
              <w:rPr>
                <w:rFonts w:hint="default" w:ascii="Times New Roman" w:hAnsi="Times New Roman" w:eastAsia="宋体" w:cs="Times New Roman"/>
                <w:color w:val="auto"/>
                <w:spacing w:val="3"/>
                <w:position w:val="1"/>
                <w:sz w:val="21"/>
                <w:szCs w:val="21"/>
                <w:lang w:val="en-US" w:eastAsia="zh-CN"/>
              </w:rPr>
              <w:t>39726-2020）</w:t>
            </w:r>
          </w:p>
        </w:tc>
        <w:tc>
          <w:tcPr>
            <w:tcW w:w="428" w:type="pct"/>
            <w:tcBorders>
              <w:top w:val="single" w:color="auto" w:sz="4" w:space="0"/>
              <w:left w:val="single" w:color="auto" w:sz="4" w:space="0"/>
              <w:right w:val="single" w:color="auto" w:sz="4" w:space="0"/>
            </w:tcBorders>
            <w:noWrap w:val="0"/>
            <w:vAlign w:val="center"/>
          </w:tcPr>
          <w:p w14:paraId="4EC7C5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30</w:t>
            </w:r>
          </w:p>
        </w:tc>
        <w:tc>
          <w:tcPr>
            <w:tcW w:w="320" w:type="pct"/>
            <w:tcBorders>
              <w:top w:val="single" w:color="auto" w:sz="4" w:space="0"/>
              <w:left w:val="single" w:color="auto" w:sz="4" w:space="0"/>
              <w:right w:val="single" w:color="auto" w:sz="4" w:space="0"/>
            </w:tcBorders>
            <w:noWrap w:val="0"/>
            <w:vAlign w:val="center"/>
          </w:tcPr>
          <w:p w14:paraId="3C9242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8" w:type="pct"/>
            <w:tcBorders>
              <w:top w:val="single" w:color="auto" w:sz="4" w:space="0"/>
              <w:left w:val="single" w:color="auto" w:sz="4" w:space="0"/>
              <w:right w:val="single" w:color="auto" w:sz="4" w:space="0"/>
            </w:tcBorders>
            <w:shd w:val="clear" w:color="auto" w:fill="auto"/>
            <w:noWrap w:val="0"/>
            <w:vAlign w:val="center"/>
          </w:tcPr>
          <w:p w14:paraId="4766C6CC">
            <w:pPr>
              <w:pStyle w:val="102"/>
              <w:keepLines w:val="0"/>
              <w:pageBreakBefore w:val="0"/>
              <w:kinsoku/>
              <w:wordWrap/>
              <w:topLinePunct w:val="0"/>
              <w:bidi w:val="0"/>
              <w:adjustRightInd w:val="0"/>
              <w:snapToGrid w:val="0"/>
              <w:spacing w:line="240" w:lineRule="auto"/>
              <w:ind w:left="0" w:leftChars="0" w:firstLine="0" w:firstLineChars="0"/>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0.</w:t>
            </w:r>
            <w:r>
              <w:rPr>
                <w:rFonts w:hint="eastAsia" w:ascii="Times New Roman" w:hAnsi="Times New Roman" w:eastAsia="宋体" w:cs="Times New Roman"/>
                <w:bCs/>
                <w:color w:val="auto"/>
                <w:sz w:val="21"/>
                <w:szCs w:val="21"/>
                <w:highlight w:val="none"/>
                <w:lang w:val="en-US" w:eastAsia="zh-CN"/>
              </w:rPr>
              <w:t>76</w:t>
            </w:r>
          </w:p>
        </w:tc>
        <w:tc>
          <w:tcPr>
            <w:tcW w:w="235" w:type="pct"/>
            <w:tcBorders>
              <w:top w:val="single" w:color="auto" w:sz="4" w:space="0"/>
              <w:left w:val="single" w:color="auto" w:sz="4" w:space="0"/>
              <w:right w:val="single" w:color="auto" w:sz="4" w:space="0"/>
            </w:tcBorders>
            <w:noWrap w:val="0"/>
            <w:vAlign w:val="center"/>
          </w:tcPr>
          <w:p w14:paraId="7B268F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22" w:type="pct"/>
            <w:tcBorders>
              <w:top w:val="single" w:color="auto" w:sz="4" w:space="0"/>
              <w:left w:val="single" w:color="auto" w:sz="4" w:space="0"/>
              <w:right w:val="single" w:color="auto" w:sz="4" w:space="0"/>
            </w:tcBorders>
            <w:noWrap w:val="0"/>
            <w:vAlign w:val="center"/>
          </w:tcPr>
          <w:p w14:paraId="15234B0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3" w:type="pct"/>
            <w:tcBorders>
              <w:top w:val="single" w:color="auto" w:sz="4" w:space="0"/>
              <w:left w:val="single" w:color="auto" w:sz="4" w:space="0"/>
              <w:right w:val="single" w:color="auto" w:sz="4" w:space="0"/>
            </w:tcBorders>
            <w:noWrap w:val="0"/>
            <w:vAlign w:val="center"/>
          </w:tcPr>
          <w:p w14:paraId="7D68CA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2FC6B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07" w:type="pct"/>
            <w:tcBorders>
              <w:left w:val="single" w:color="auto" w:sz="4" w:space="0"/>
              <w:right w:val="single" w:color="auto" w:sz="4" w:space="0"/>
            </w:tcBorders>
            <w:noWrap w:val="0"/>
            <w:vAlign w:val="center"/>
          </w:tcPr>
          <w:p w14:paraId="054D7EA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3</w:t>
            </w:r>
          </w:p>
        </w:tc>
        <w:tc>
          <w:tcPr>
            <w:tcW w:w="223" w:type="pct"/>
            <w:tcBorders>
              <w:left w:val="single" w:color="auto" w:sz="4" w:space="0"/>
              <w:right w:val="single" w:color="auto" w:sz="4" w:space="0"/>
            </w:tcBorders>
            <w:noWrap w:val="0"/>
            <w:vAlign w:val="center"/>
          </w:tcPr>
          <w:p w14:paraId="4E47B4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DA003</w:t>
            </w:r>
          </w:p>
        </w:tc>
        <w:tc>
          <w:tcPr>
            <w:tcW w:w="392" w:type="pct"/>
            <w:tcBorders>
              <w:left w:val="single" w:color="auto" w:sz="4" w:space="0"/>
              <w:right w:val="single" w:color="auto" w:sz="4" w:space="0"/>
            </w:tcBorders>
            <w:noWrap w:val="0"/>
            <w:vAlign w:val="center"/>
          </w:tcPr>
          <w:p w14:paraId="5E1ADA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cs="Times New Roman"/>
                <w:color w:val="auto"/>
                <w:spacing w:val="3"/>
                <w:position w:val="1"/>
                <w:sz w:val="21"/>
                <w:szCs w:val="21"/>
                <w:lang w:val="en-US" w:eastAsia="zh-CN"/>
              </w:rPr>
              <w:t>打磨</w:t>
            </w:r>
            <w:r>
              <w:rPr>
                <w:rFonts w:hint="eastAsia" w:ascii="Times New Roman" w:hAnsi="Times New Roman" w:eastAsia="宋体" w:cs="Times New Roman"/>
                <w:color w:val="auto"/>
                <w:spacing w:val="3"/>
                <w:position w:val="1"/>
                <w:sz w:val="21"/>
                <w:szCs w:val="21"/>
                <w:lang w:val="en-US" w:eastAsia="zh-CN"/>
              </w:rPr>
              <w:t>废气排气筒</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01DEB3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269" w:type="pct"/>
            <w:tcBorders>
              <w:left w:val="single" w:color="auto" w:sz="4" w:space="0"/>
              <w:right w:val="single" w:color="auto" w:sz="4" w:space="0"/>
            </w:tcBorders>
            <w:shd w:val="clear" w:color="auto" w:fill="auto"/>
            <w:noWrap w:val="0"/>
            <w:vAlign w:val="center"/>
          </w:tcPr>
          <w:p w14:paraId="1B66BCDB">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color w:val="FF0000"/>
                <w:spacing w:val="3"/>
                <w:kern w:val="2"/>
                <w:position w:val="1"/>
                <w:sz w:val="21"/>
                <w:szCs w:val="21"/>
                <w:lang w:val="en-US" w:eastAsia="zh-CN" w:bidi="ar-SA"/>
              </w:rPr>
            </w:pPr>
            <w:r>
              <w:rPr>
                <w:rFonts w:hint="default" w:ascii="Times New Roman" w:hAnsi="Times New Roman" w:cs="Times New Roman"/>
                <w:color w:val="auto"/>
                <w:sz w:val="21"/>
                <w:szCs w:val="21"/>
                <w:highlight w:val="none"/>
              </w:rPr>
              <w:t>118.452629</w:t>
            </w:r>
          </w:p>
        </w:tc>
        <w:tc>
          <w:tcPr>
            <w:tcW w:w="268" w:type="pct"/>
            <w:tcBorders>
              <w:left w:val="single" w:color="auto" w:sz="4" w:space="0"/>
              <w:right w:val="single" w:color="auto" w:sz="4" w:space="0"/>
            </w:tcBorders>
            <w:noWrap w:val="0"/>
            <w:vAlign w:val="center"/>
          </w:tcPr>
          <w:p w14:paraId="7F2E2D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sz w:val="21"/>
                <w:szCs w:val="21"/>
                <w:highlight w:val="none"/>
              </w:rPr>
              <w:t>30.696400</w:t>
            </w:r>
          </w:p>
        </w:tc>
        <w:tc>
          <w:tcPr>
            <w:tcW w:w="216" w:type="pct"/>
            <w:tcBorders>
              <w:left w:val="single" w:color="auto" w:sz="4" w:space="0"/>
              <w:right w:val="single" w:color="auto" w:sz="4" w:space="0"/>
            </w:tcBorders>
            <w:noWrap w:val="0"/>
            <w:vAlign w:val="center"/>
          </w:tcPr>
          <w:p w14:paraId="54412C9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15</w:t>
            </w:r>
          </w:p>
        </w:tc>
        <w:tc>
          <w:tcPr>
            <w:tcW w:w="216" w:type="pct"/>
            <w:tcBorders>
              <w:left w:val="single" w:color="auto" w:sz="4" w:space="0"/>
              <w:right w:val="single" w:color="auto" w:sz="4" w:space="0"/>
            </w:tcBorders>
            <w:noWrap w:val="0"/>
            <w:vAlign w:val="center"/>
          </w:tcPr>
          <w:p w14:paraId="2863C95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eastAsia" w:cs="Times New Roman"/>
                <w:color w:val="auto"/>
                <w:highlight w:val="none"/>
                <w:lang w:val="en-US" w:eastAsia="zh-CN"/>
              </w:rPr>
              <w:t>0.4</w:t>
            </w:r>
          </w:p>
        </w:tc>
        <w:tc>
          <w:tcPr>
            <w:tcW w:w="233" w:type="pct"/>
            <w:tcBorders>
              <w:left w:val="single" w:color="auto" w:sz="4" w:space="0"/>
              <w:right w:val="single" w:color="auto" w:sz="4" w:space="0"/>
            </w:tcBorders>
            <w:noWrap w:val="0"/>
            <w:vAlign w:val="center"/>
          </w:tcPr>
          <w:p w14:paraId="2DB3943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FF0000"/>
                <w:spacing w:val="3"/>
                <w:position w:val="1"/>
                <w:sz w:val="21"/>
                <w:szCs w:val="21"/>
                <w:lang w:val="en-US" w:eastAsia="zh-CN"/>
              </w:rPr>
            </w:pPr>
            <w:r>
              <w:rPr>
                <w:rFonts w:hint="eastAsia" w:ascii="Times New Roman" w:hAnsi="Times New Roman" w:cs="Times New Roman"/>
                <w:color w:val="auto"/>
                <w:kern w:val="0"/>
                <w:szCs w:val="21"/>
                <w:highlight w:val="none"/>
                <w:lang w:val="en-US" w:eastAsia="zh-CN"/>
              </w:rPr>
              <w:t>25</w:t>
            </w:r>
          </w:p>
        </w:tc>
        <w:tc>
          <w:tcPr>
            <w:tcW w:w="330" w:type="pct"/>
            <w:tcBorders>
              <w:left w:val="single" w:color="auto" w:sz="4" w:space="0"/>
              <w:right w:val="single" w:color="auto" w:sz="4" w:space="0"/>
            </w:tcBorders>
            <w:noWrap w:val="0"/>
            <w:vAlign w:val="center"/>
          </w:tcPr>
          <w:p w14:paraId="1E9EB143">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7000</w:t>
            </w:r>
          </w:p>
        </w:tc>
        <w:tc>
          <w:tcPr>
            <w:tcW w:w="636" w:type="pct"/>
            <w:tcBorders>
              <w:top w:val="single" w:color="auto" w:sz="4" w:space="0"/>
              <w:left w:val="single" w:color="auto" w:sz="4" w:space="0"/>
              <w:right w:val="single" w:color="auto" w:sz="4" w:space="0"/>
            </w:tcBorders>
            <w:noWrap w:val="0"/>
            <w:vAlign w:val="center"/>
          </w:tcPr>
          <w:p w14:paraId="00D0A1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《铸造工业大气污染物排放标准》</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GB</w:t>
            </w:r>
            <w:r>
              <w:rPr>
                <w:rFonts w:hint="eastAsia" w:ascii="Times New Roman" w:hAnsi="Times New Roman" w:eastAsia="宋体" w:cs="Times New Roman"/>
                <w:color w:val="auto"/>
                <w:spacing w:val="3"/>
                <w:position w:val="1"/>
                <w:sz w:val="21"/>
                <w:szCs w:val="21"/>
                <w:lang w:val="en-US" w:eastAsia="zh-CN"/>
              </w:rPr>
              <w:t xml:space="preserve"> </w:t>
            </w:r>
            <w:r>
              <w:rPr>
                <w:rFonts w:hint="default" w:ascii="Times New Roman" w:hAnsi="Times New Roman" w:eastAsia="宋体" w:cs="Times New Roman"/>
                <w:color w:val="auto"/>
                <w:spacing w:val="3"/>
                <w:position w:val="1"/>
                <w:sz w:val="21"/>
                <w:szCs w:val="21"/>
                <w:lang w:val="en-US" w:eastAsia="zh-CN"/>
              </w:rPr>
              <w:t>39726-2020）</w:t>
            </w:r>
          </w:p>
        </w:tc>
        <w:tc>
          <w:tcPr>
            <w:tcW w:w="428" w:type="pct"/>
            <w:tcBorders>
              <w:top w:val="single" w:color="auto" w:sz="4" w:space="0"/>
              <w:left w:val="single" w:color="auto" w:sz="4" w:space="0"/>
              <w:right w:val="single" w:color="auto" w:sz="4" w:space="0"/>
            </w:tcBorders>
            <w:noWrap w:val="0"/>
            <w:vAlign w:val="center"/>
          </w:tcPr>
          <w:p w14:paraId="7F4C08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30</w:t>
            </w:r>
          </w:p>
        </w:tc>
        <w:tc>
          <w:tcPr>
            <w:tcW w:w="320" w:type="pct"/>
            <w:tcBorders>
              <w:top w:val="single" w:color="auto" w:sz="4" w:space="0"/>
              <w:left w:val="single" w:color="auto" w:sz="4" w:space="0"/>
              <w:right w:val="single" w:color="auto" w:sz="4" w:space="0"/>
            </w:tcBorders>
            <w:noWrap w:val="0"/>
            <w:vAlign w:val="center"/>
          </w:tcPr>
          <w:p w14:paraId="6209B9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8" w:type="pct"/>
            <w:tcBorders>
              <w:top w:val="single" w:color="auto" w:sz="4" w:space="0"/>
              <w:left w:val="single" w:color="auto" w:sz="4" w:space="0"/>
              <w:right w:val="single" w:color="auto" w:sz="4" w:space="0"/>
            </w:tcBorders>
            <w:shd w:val="clear" w:color="auto" w:fill="auto"/>
            <w:noWrap w:val="0"/>
            <w:vAlign w:val="center"/>
          </w:tcPr>
          <w:p w14:paraId="14D960DF">
            <w:pPr>
              <w:pStyle w:val="102"/>
              <w:keepLines w:val="0"/>
              <w:pageBreakBefore w:val="0"/>
              <w:kinsoku/>
              <w:wordWrap/>
              <w:topLinePunct w:val="0"/>
              <w:bidi w:val="0"/>
              <w:adjustRightInd w:val="0"/>
              <w:snapToGrid w:val="0"/>
              <w:spacing w:line="240" w:lineRule="auto"/>
              <w:ind w:left="0" w:leftChars="0" w:firstLine="0" w:firstLineChars="0"/>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0.104</w:t>
            </w:r>
          </w:p>
        </w:tc>
        <w:tc>
          <w:tcPr>
            <w:tcW w:w="235" w:type="pct"/>
            <w:tcBorders>
              <w:top w:val="single" w:color="auto" w:sz="4" w:space="0"/>
              <w:left w:val="single" w:color="auto" w:sz="4" w:space="0"/>
              <w:right w:val="single" w:color="auto" w:sz="4" w:space="0"/>
            </w:tcBorders>
            <w:noWrap w:val="0"/>
            <w:vAlign w:val="center"/>
          </w:tcPr>
          <w:p w14:paraId="1FAD1F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22" w:type="pct"/>
            <w:tcBorders>
              <w:top w:val="single" w:color="auto" w:sz="4" w:space="0"/>
              <w:left w:val="single" w:color="auto" w:sz="4" w:space="0"/>
              <w:right w:val="single" w:color="auto" w:sz="4" w:space="0"/>
            </w:tcBorders>
            <w:noWrap w:val="0"/>
            <w:vAlign w:val="center"/>
          </w:tcPr>
          <w:p w14:paraId="56C868B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3" w:type="pct"/>
            <w:tcBorders>
              <w:top w:val="single" w:color="auto" w:sz="4" w:space="0"/>
              <w:left w:val="single" w:color="auto" w:sz="4" w:space="0"/>
              <w:right w:val="single" w:color="auto" w:sz="4" w:space="0"/>
            </w:tcBorders>
            <w:noWrap w:val="0"/>
            <w:vAlign w:val="center"/>
          </w:tcPr>
          <w:p w14:paraId="184041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32D1F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07" w:type="pct"/>
            <w:vMerge w:val="restart"/>
            <w:tcBorders>
              <w:left w:val="single" w:color="auto" w:sz="4" w:space="0"/>
              <w:right w:val="single" w:color="auto" w:sz="4" w:space="0"/>
            </w:tcBorders>
            <w:noWrap w:val="0"/>
            <w:vAlign w:val="center"/>
          </w:tcPr>
          <w:p w14:paraId="3CBA14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4</w:t>
            </w:r>
          </w:p>
        </w:tc>
        <w:tc>
          <w:tcPr>
            <w:tcW w:w="223" w:type="pct"/>
            <w:vMerge w:val="restart"/>
            <w:tcBorders>
              <w:left w:val="single" w:color="auto" w:sz="4" w:space="0"/>
              <w:right w:val="single" w:color="auto" w:sz="4" w:space="0"/>
            </w:tcBorders>
            <w:noWrap w:val="0"/>
            <w:vAlign w:val="center"/>
          </w:tcPr>
          <w:p w14:paraId="1187C1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4</w:t>
            </w:r>
          </w:p>
        </w:tc>
        <w:tc>
          <w:tcPr>
            <w:tcW w:w="392" w:type="pct"/>
            <w:vMerge w:val="restart"/>
            <w:tcBorders>
              <w:left w:val="single" w:color="auto" w:sz="4" w:space="0"/>
              <w:right w:val="single" w:color="auto" w:sz="4" w:space="0"/>
            </w:tcBorders>
            <w:noWrap w:val="0"/>
            <w:vAlign w:val="center"/>
          </w:tcPr>
          <w:p w14:paraId="70E12FB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造型/浇铸、制芯（射芯）废气排气筒</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029BAF5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269" w:type="pct"/>
            <w:vMerge w:val="restart"/>
            <w:tcBorders>
              <w:left w:val="single" w:color="auto" w:sz="4" w:space="0"/>
              <w:right w:val="single" w:color="auto" w:sz="4" w:space="0"/>
            </w:tcBorders>
            <w:shd w:val="clear" w:color="auto" w:fill="auto"/>
            <w:noWrap w:val="0"/>
            <w:vAlign w:val="center"/>
          </w:tcPr>
          <w:p w14:paraId="1A1D55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color w:val="auto"/>
                <w:highlight w:val="none"/>
              </w:rPr>
              <w:t>118.4526</w:t>
            </w:r>
            <w:r>
              <w:rPr>
                <w:rFonts w:hint="eastAsia"/>
                <w:color w:val="auto"/>
                <w:highlight w:val="none"/>
                <w:lang w:val="en-US" w:eastAsia="zh-CN"/>
              </w:rPr>
              <w:t>30</w:t>
            </w:r>
          </w:p>
        </w:tc>
        <w:tc>
          <w:tcPr>
            <w:tcW w:w="268" w:type="pct"/>
            <w:vMerge w:val="restart"/>
            <w:tcBorders>
              <w:left w:val="single" w:color="auto" w:sz="4" w:space="0"/>
              <w:right w:val="single" w:color="auto" w:sz="4" w:space="0"/>
            </w:tcBorders>
            <w:noWrap w:val="0"/>
            <w:vAlign w:val="center"/>
          </w:tcPr>
          <w:p w14:paraId="56B05E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color w:val="auto"/>
                <w:highlight w:val="none"/>
              </w:rPr>
              <w:t>30.696</w:t>
            </w:r>
            <w:r>
              <w:rPr>
                <w:rFonts w:hint="eastAsia"/>
                <w:color w:val="auto"/>
                <w:highlight w:val="none"/>
                <w:lang w:val="en-US" w:eastAsia="zh-CN"/>
              </w:rPr>
              <w:t>389</w:t>
            </w:r>
          </w:p>
        </w:tc>
        <w:tc>
          <w:tcPr>
            <w:tcW w:w="216" w:type="pct"/>
            <w:vMerge w:val="restart"/>
            <w:tcBorders>
              <w:left w:val="single" w:color="auto" w:sz="4" w:space="0"/>
              <w:right w:val="single" w:color="auto" w:sz="4" w:space="0"/>
            </w:tcBorders>
            <w:noWrap w:val="0"/>
            <w:vAlign w:val="center"/>
          </w:tcPr>
          <w:p w14:paraId="050C6C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15</w:t>
            </w:r>
          </w:p>
        </w:tc>
        <w:tc>
          <w:tcPr>
            <w:tcW w:w="216" w:type="pct"/>
            <w:vMerge w:val="restart"/>
            <w:tcBorders>
              <w:left w:val="single" w:color="auto" w:sz="4" w:space="0"/>
              <w:right w:val="single" w:color="auto" w:sz="4" w:space="0"/>
            </w:tcBorders>
            <w:noWrap w:val="0"/>
            <w:vAlign w:val="center"/>
          </w:tcPr>
          <w:p w14:paraId="41F556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eastAsia"/>
                <w:color w:val="auto"/>
                <w:highlight w:val="none"/>
                <w:lang w:val="en-US" w:eastAsia="zh-CN"/>
              </w:rPr>
              <w:t>0.5</w:t>
            </w:r>
          </w:p>
        </w:tc>
        <w:tc>
          <w:tcPr>
            <w:tcW w:w="233" w:type="pct"/>
            <w:vMerge w:val="restart"/>
            <w:tcBorders>
              <w:left w:val="single" w:color="auto" w:sz="4" w:space="0"/>
              <w:right w:val="single" w:color="auto" w:sz="4" w:space="0"/>
            </w:tcBorders>
            <w:noWrap w:val="0"/>
            <w:vAlign w:val="center"/>
          </w:tcPr>
          <w:p w14:paraId="209A6D98">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25</w:t>
            </w:r>
          </w:p>
        </w:tc>
        <w:tc>
          <w:tcPr>
            <w:tcW w:w="330" w:type="pct"/>
            <w:vMerge w:val="restart"/>
            <w:tcBorders>
              <w:left w:val="single" w:color="auto" w:sz="4" w:space="0"/>
              <w:right w:val="single" w:color="auto" w:sz="4" w:space="0"/>
            </w:tcBorders>
            <w:noWrap w:val="0"/>
            <w:vAlign w:val="center"/>
          </w:tcPr>
          <w:p w14:paraId="2024D8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8000</w:t>
            </w:r>
          </w:p>
        </w:tc>
        <w:tc>
          <w:tcPr>
            <w:tcW w:w="636" w:type="pct"/>
            <w:tcBorders>
              <w:left w:val="single" w:color="auto" w:sz="4" w:space="0"/>
              <w:right w:val="single" w:color="auto" w:sz="4" w:space="0"/>
            </w:tcBorders>
            <w:noWrap w:val="0"/>
            <w:vAlign w:val="center"/>
          </w:tcPr>
          <w:p w14:paraId="46C2FA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《铸造工业大气污染物排放标准》（GB 39726-2020）</w:t>
            </w:r>
          </w:p>
        </w:tc>
        <w:tc>
          <w:tcPr>
            <w:tcW w:w="428" w:type="pct"/>
            <w:tcBorders>
              <w:left w:val="single" w:color="auto" w:sz="4" w:space="0"/>
              <w:right w:val="single" w:color="auto" w:sz="4" w:space="0"/>
            </w:tcBorders>
            <w:noWrap w:val="0"/>
            <w:vAlign w:val="center"/>
          </w:tcPr>
          <w:p w14:paraId="764E1E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30</w:t>
            </w:r>
          </w:p>
        </w:tc>
        <w:tc>
          <w:tcPr>
            <w:tcW w:w="320" w:type="pct"/>
            <w:vMerge w:val="restart"/>
            <w:tcBorders>
              <w:left w:val="single" w:color="auto" w:sz="4" w:space="0"/>
              <w:right w:val="single" w:color="auto" w:sz="4" w:space="0"/>
            </w:tcBorders>
            <w:shd w:val="clear" w:color="auto" w:fill="auto"/>
            <w:noWrap w:val="0"/>
            <w:vAlign w:val="center"/>
          </w:tcPr>
          <w:p w14:paraId="5E07A8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8" w:type="pct"/>
            <w:tcBorders>
              <w:left w:val="single" w:color="auto" w:sz="4" w:space="0"/>
              <w:right w:val="single" w:color="auto" w:sz="4" w:space="0"/>
            </w:tcBorders>
            <w:shd w:val="clear" w:color="auto" w:fill="auto"/>
            <w:noWrap w:val="0"/>
            <w:vAlign w:val="center"/>
          </w:tcPr>
          <w:p w14:paraId="5CCFB3D1">
            <w:pPr>
              <w:pStyle w:val="102"/>
              <w:keepLines w:val="0"/>
              <w:pageBreakBefore w:val="0"/>
              <w:kinsoku/>
              <w:wordWrap/>
              <w:topLinePunct w:val="0"/>
              <w:bidi w:val="0"/>
              <w:adjustRightInd w:val="0"/>
              <w:snapToGrid w:val="0"/>
              <w:spacing w:line="240" w:lineRule="auto"/>
              <w:ind w:left="0" w:leftChars="0" w:firstLine="0" w:firstLineChars="0"/>
              <w:jc w:val="center"/>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2.56485</w:t>
            </w:r>
          </w:p>
        </w:tc>
        <w:tc>
          <w:tcPr>
            <w:tcW w:w="235" w:type="pct"/>
            <w:vMerge w:val="restart"/>
            <w:tcBorders>
              <w:left w:val="single" w:color="auto" w:sz="4" w:space="0"/>
              <w:right w:val="single" w:color="auto" w:sz="4" w:space="0"/>
            </w:tcBorders>
            <w:noWrap w:val="0"/>
            <w:vAlign w:val="center"/>
          </w:tcPr>
          <w:p w14:paraId="4B2DE0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22" w:type="pct"/>
            <w:vMerge w:val="restart"/>
            <w:tcBorders>
              <w:left w:val="single" w:color="auto" w:sz="4" w:space="0"/>
              <w:right w:val="single" w:color="auto" w:sz="4" w:space="0"/>
            </w:tcBorders>
            <w:noWrap w:val="0"/>
            <w:vAlign w:val="center"/>
          </w:tcPr>
          <w:p w14:paraId="43643E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3" w:type="pct"/>
            <w:vMerge w:val="restart"/>
            <w:tcBorders>
              <w:left w:val="single" w:color="auto" w:sz="4" w:space="0"/>
              <w:right w:val="single" w:color="auto" w:sz="4" w:space="0"/>
            </w:tcBorders>
            <w:noWrap w:val="0"/>
            <w:vAlign w:val="center"/>
          </w:tcPr>
          <w:p w14:paraId="7F447E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6D452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07" w:type="pct"/>
            <w:vMerge w:val="continue"/>
            <w:tcBorders>
              <w:left w:val="single" w:color="auto" w:sz="4" w:space="0"/>
              <w:right w:val="single" w:color="auto" w:sz="4" w:space="0"/>
            </w:tcBorders>
            <w:noWrap w:val="0"/>
            <w:vAlign w:val="center"/>
          </w:tcPr>
          <w:p w14:paraId="2E26E4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23" w:type="pct"/>
            <w:vMerge w:val="continue"/>
            <w:tcBorders>
              <w:left w:val="single" w:color="auto" w:sz="4" w:space="0"/>
              <w:right w:val="single" w:color="auto" w:sz="4" w:space="0"/>
            </w:tcBorders>
            <w:noWrap w:val="0"/>
            <w:vAlign w:val="center"/>
          </w:tcPr>
          <w:p w14:paraId="20558E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392" w:type="pct"/>
            <w:vMerge w:val="continue"/>
            <w:tcBorders>
              <w:left w:val="single" w:color="auto" w:sz="4" w:space="0"/>
              <w:right w:val="single" w:color="auto" w:sz="4" w:space="0"/>
            </w:tcBorders>
            <w:noWrap w:val="0"/>
            <w:vAlign w:val="center"/>
          </w:tcPr>
          <w:p w14:paraId="45EDC50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435" w:type="pct"/>
            <w:tcBorders>
              <w:top w:val="single" w:color="auto" w:sz="4" w:space="0"/>
              <w:left w:val="single" w:color="auto" w:sz="4" w:space="0"/>
              <w:bottom w:val="single" w:color="auto" w:sz="4" w:space="0"/>
              <w:right w:val="single" w:color="auto" w:sz="4" w:space="0"/>
            </w:tcBorders>
            <w:noWrap w:val="0"/>
            <w:vAlign w:val="center"/>
          </w:tcPr>
          <w:p w14:paraId="4B80F3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挥发性有机物（以非甲烷总烃计）</w:t>
            </w:r>
          </w:p>
        </w:tc>
        <w:tc>
          <w:tcPr>
            <w:tcW w:w="269" w:type="pct"/>
            <w:vMerge w:val="continue"/>
            <w:tcBorders>
              <w:left w:val="single" w:color="auto" w:sz="4" w:space="0"/>
              <w:right w:val="single" w:color="auto" w:sz="4" w:space="0"/>
            </w:tcBorders>
            <w:noWrap w:val="0"/>
            <w:vAlign w:val="center"/>
          </w:tcPr>
          <w:p w14:paraId="706017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p>
        </w:tc>
        <w:tc>
          <w:tcPr>
            <w:tcW w:w="268" w:type="pct"/>
            <w:vMerge w:val="continue"/>
            <w:tcBorders>
              <w:left w:val="single" w:color="auto" w:sz="4" w:space="0"/>
              <w:right w:val="single" w:color="auto" w:sz="4" w:space="0"/>
            </w:tcBorders>
            <w:noWrap w:val="0"/>
            <w:vAlign w:val="center"/>
          </w:tcPr>
          <w:p w14:paraId="606029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p>
        </w:tc>
        <w:tc>
          <w:tcPr>
            <w:tcW w:w="216" w:type="pct"/>
            <w:vMerge w:val="continue"/>
            <w:tcBorders>
              <w:left w:val="single" w:color="auto" w:sz="4" w:space="0"/>
              <w:right w:val="single" w:color="auto" w:sz="4" w:space="0"/>
            </w:tcBorders>
            <w:noWrap w:val="0"/>
            <w:vAlign w:val="center"/>
          </w:tcPr>
          <w:p w14:paraId="2D8DCF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p>
        </w:tc>
        <w:tc>
          <w:tcPr>
            <w:tcW w:w="216" w:type="pct"/>
            <w:vMerge w:val="continue"/>
            <w:tcBorders>
              <w:left w:val="single" w:color="auto" w:sz="4" w:space="0"/>
              <w:right w:val="single" w:color="auto" w:sz="4" w:space="0"/>
            </w:tcBorders>
            <w:noWrap w:val="0"/>
            <w:vAlign w:val="center"/>
          </w:tcPr>
          <w:p w14:paraId="675B63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p>
        </w:tc>
        <w:tc>
          <w:tcPr>
            <w:tcW w:w="233" w:type="pct"/>
            <w:vMerge w:val="continue"/>
            <w:tcBorders>
              <w:left w:val="single" w:color="auto" w:sz="4" w:space="0"/>
              <w:right w:val="single" w:color="auto" w:sz="4" w:space="0"/>
            </w:tcBorders>
            <w:noWrap w:val="0"/>
            <w:vAlign w:val="center"/>
          </w:tcPr>
          <w:p w14:paraId="3FC604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p>
        </w:tc>
        <w:tc>
          <w:tcPr>
            <w:tcW w:w="330" w:type="pct"/>
            <w:vMerge w:val="continue"/>
            <w:tcBorders>
              <w:left w:val="single" w:color="auto" w:sz="4" w:space="0"/>
              <w:right w:val="single" w:color="auto" w:sz="4" w:space="0"/>
            </w:tcBorders>
            <w:noWrap w:val="0"/>
            <w:vAlign w:val="center"/>
          </w:tcPr>
          <w:p w14:paraId="709252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636" w:type="pct"/>
            <w:tcBorders>
              <w:left w:val="single" w:color="auto" w:sz="4" w:space="0"/>
              <w:right w:val="single" w:color="auto" w:sz="4" w:space="0"/>
            </w:tcBorders>
            <w:noWrap w:val="0"/>
            <w:vAlign w:val="center"/>
          </w:tcPr>
          <w:p w14:paraId="3ADDF3A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《大气污染物综合排放标准》（GB 16297-1996）</w:t>
            </w:r>
          </w:p>
        </w:tc>
        <w:tc>
          <w:tcPr>
            <w:tcW w:w="428" w:type="pct"/>
            <w:tcBorders>
              <w:left w:val="single" w:color="auto" w:sz="4" w:space="0"/>
              <w:right w:val="single" w:color="auto" w:sz="4" w:space="0"/>
            </w:tcBorders>
            <w:noWrap w:val="0"/>
            <w:vAlign w:val="center"/>
          </w:tcPr>
          <w:p w14:paraId="178D2D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120</w:t>
            </w:r>
          </w:p>
        </w:tc>
        <w:tc>
          <w:tcPr>
            <w:tcW w:w="320" w:type="pct"/>
            <w:vMerge w:val="continue"/>
            <w:tcBorders>
              <w:left w:val="single" w:color="auto" w:sz="4" w:space="0"/>
              <w:right w:val="single" w:color="auto" w:sz="4" w:space="0"/>
            </w:tcBorders>
            <w:shd w:val="clear" w:color="auto" w:fill="auto"/>
            <w:noWrap w:val="0"/>
            <w:vAlign w:val="center"/>
          </w:tcPr>
          <w:p w14:paraId="30230E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p>
        </w:tc>
        <w:tc>
          <w:tcPr>
            <w:tcW w:w="238" w:type="pct"/>
            <w:tcBorders>
              <w:left w:val="single" w:color="auto" w:sz="4" w:space="0"/>
              <w:right w:val="single" w:color="auto" w:sz="4" w:space="0"/>
            </w:tcBorders>
            <w:shd w:val="clear" w:color="auto" w:fill="auto"/>
            <w:noWrap w:val="0"/>
            <w:vAlign w:val="center"/>
          </w:tcPr>
          <w:p w14:paraId="13AB6A44">
            <w:pPr>
              <w:pStyle w:val="102"/>
              <w:keepLines w:val="0"/>
              <w:pageBreakBefore w:val="0"/>
              <w:kinsoku/>
              <w:wordWrap/>
              <w:topLinePunct w:val="0"/>
              <w:bidi w:val="0"/>
              <w:adjustRightInd w:val="0"/>
              <w:snapToGrid w:val="0"/>
              <w:spacing w:line="240" w:lineRule="auto"/>
              <w:ind w:left="0" w:leftChars="0" w:firstLine="0" w:firstLineChars="0"/>
              <w:jc w:val="center"/>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0.2068</w:t>
            </w:r>
          </w:p>
        </w:tc>
        <w:tc>
          <w:tcPr>
            <w:tcW w:w="235" w:type="pct"/>
            <w:vMerge w:val="continue"/>
            <w:tcBorders>
              <w:left w:val="single" w:color="auto" w:sz="4" w:space="0"/>
              <w:right w:val="single" w:color="auto" w:sz="4" w:space="0"/>
            </w:tcBorders>
            <w:noWrap w:val="0"/>
            <w:vAlign w:val="center"/>
          </w:tcPr>
          <w:p w14:paraId="473BB7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322" w:type="pct"/>
            <w:vMerge w:val="continue"/>
            <w:tcBorders>
              <w:left w:val="single" w:color="auto" w:sz="4" w:space="0"/>
              <w:right w:val="single" w:color="auto" w:sz="4" w:space="0"/>
            </w:tcBorders>
            <w:noWrap w:val="0"/>
            <w:vAlign w:val="center"/>
          </w:tcPr>
          <w:p w14:paraId="711DE47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123" w:type="pct"/>
            <w:vMerge w:val="continue"/>
            <w:tcBorders>
              <w:left w:val="single" w:color="auto" w:sz="4" w:space="0"/>
              <w:right w:val="single" w:color="auto" w:sz="4" w:space="0"/>
            </w:tcBorders>
            <w:noWrap w:val="0"/>
            <w:vAlign w:val="center"/>
          </w:tcPr>
          <w:p w14:paraId="5D0A97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r>
      <w:tr w14:paraId="39642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07" w:type="pct"/>
            <w:tcBorders>
              <w:left w:val="single" w:color="auto" w:sz="4" w:space="0"/>
              <w:right w:val="single" w:color="auto" w:sz="4" w:space="0"/>
            </w:tcBorders>
            <w:noWrap w:val="0"/>
            <w:vAlign w:val="center"/>
          </w:tcPr>
          <w:p w14:paraId="4971B50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5</w:t>
            </w:r>
          </w:p>
        </w:tc>
        <w:tc>
          <w:tcPr>
            <w:tcW w:w="223" w:type="pct"/>
            <w:tcBorders>
              <w:left w:val="single" w:color="auto" w:sz="4" w:space="0"/>
              <w:right w:val="single" w:color="auto" w:sz="4" w:space="0"/>
            </w:tcBorders>
            <w:noWrap w:val="0"/>
            <w:vAlign w:val="center"/>
          </w:tcPr>
          <w:p w14:paraId="31565A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5</w:t>
            </w:r>
          </w:p>
        </w:tc>
        <w:tc>
          <w:tcPr>
            <w:tcW w:w="392" w:type="pct"/>
            <w:tcBorders>
              <w:left w:val="single" w:color="auto" w:sz="4" w:space="0"/>
              <w:right w:val="single" w:color="auto" w:sz="4" w:space="0"/>
            </w:tcBorders>
            <w:noWrap w:val="0"/>
            <w:vAlign w:val="center"/>
          </w:tcPr>
          <w:p w14:paraId="518BCDE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抛丸废气排气筒</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377A10D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269" w:type="pct"/>
            <w:tcBorders>
              <w:left w:val="single" w:color="auto" w:sz="4" w:space="0"/>
              <w:right w:val="single" w:color="auto" w:sz="4" w:space="0"/>
            </w:tcBorders>
            <w:shd w:val="clear" w:color="auto" w:fill="auto"/>
            <w:noWrap w:val="0"/>
            <w:vAlign w:val="center"/>
          </w:tcPr>
          <w:p w14:paraId="56000FF1">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Times New Roman"/>
                <w:color w:val="FF0000"/>
                <w:spacing w:val="3"/>
                <w:kern w:val="2"/>
                <w:position w:val="1"/>
                <w:sz w:val="21"/>
                <w:szCs w:val="21"/>
                <w:lang w:val="en-US" w:eastAsia="zh-CN" w:bidi="ar-SA"/>
              </w:rPr>
            </w:pPr>
            <w:r>
              <w:rPr>
                <w:rFonts w:hint="default" w:ascii="Times New Roman" w:hAnsi="Times New Roman" w:cs="Times New Roman"/>
                <w:color w:val="auto"/>
                <w:sz w:val="21"/>
                <w:szCs w:val="21"/>
                <w:highlight w:val="none"/>
              </w:rPr>
              <w:t>118.45262</w:t>
            </w:r>
            <w:r>
              <w:rPr>
                <w:rFonts w:hint="eastAsia" w:cs="Times New Roman"/>
                <w:color w:val="auto"/>
                <w:sz w:val="21"/>
                <w:szCs w:val="21"/>
                <w:highlight w:val="none"/>
                <w:lang w:val="en-US" w:eastAsia="zh-CN"/>
              </w:rPr>
              <w:t>8</w:t>
            </w:r>
          </w:p>
        </w:tc>
        <w:tc>
          <w:tcPr>
            <w:tcW w:w="268" w:type="pct"/>
            <w:tcBorders>
              <w:left w:val="single" w:color="auto" w:sz="4" w:space="0"/>
              <w:right w:val="single" w:color="auto" w:sz="4" w:space="0"/>
            </w:tcBorders>
            <w:noWrap w:val="0"/>
            <w:vAlign w:val="center"/>
          </w:tcPr>
          <w:p w14:paraId="27B4F55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sz w:val="21"/>
                <w:szCs w:val="21"/>
                <w:highlight w:val="none"/>
              </w:rPr>
              <w:t>30.6964</w:t>
            </w:r>
            <w:r>
              <w:rPr>
                <w:rFonts w:hint="eastAsia" w:cs="Times New Roman"/>
                <w:color w:val="auto"/>
                <w:sz w:val="21"/>
                <w:szCs w:val="21"/>
                <w:highlight w:val="none"/>
                <w:lang w:val="en-US" w:eastAsia="zh-CN"/>
              </w:rPr>
              <w:t>11</w:t>
            </w:r>
          </w:p>
        </w:tc>
        <w:tc>
          <w:tcPr>
            <w:tcW w:w="216" w:type="pct"/>
            <w:tcBorders>
              <w:left w:val="single" w:color="auto" w:sz="4" w:space="0"/>
              <w:right w:val="single" w:color="auto" w:sz="4" w:space="0"/>
            </w:tcBorders>
            <w:noWrap w:val="0"/>
            <w:vAlign w:val="center"/>
          </w:tcPr>
          <w:p w14:paraId="6DCB9C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15</w:t>
            </w:r>
          </w:p>
        </w:tc>
        <w:tc>
          <w:tcPr>
            <w:tcW w:w="216" w:type="pct"/>
            <w:tcBorders>
              <w:left w:val="single" w:color="auto" w:sz="4" w:space="0"/>
              <w:right w:val="single" w:color="auto" w:sz="4" w:space="0"/>
            </w:tcBorders>
            <w:noWrap w:val="0"/>
            <w:vAlign w:val="center"/>
          </w:tcPr>
          <w:p w14:paraId="2DE5E8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eastAsia"/>
                <w:color w:val="auto"/>
                <w:highlight w:val="none"/>
                <w:lang w:val="en-US" w:eastAsia="zh-CN"/>
              </w:rPr>
              <w:t>0.5</w:t>
            </w:r>
          </w:p>
        </w:tc>
        <w:tc>
          <w:tcPr>
            <w:tcW w:w="233" w:type="pct"/>
            <w:tcBorders>
              <w:left w:val="single" w:color="auto" w:sz="4" w:space="0"/>
              <w:right w:val="single" w:color="auto" w:sz="4" w:space="0"/>
            </w:tcBorders>
            <w:noWrap w:val="0"/>
            <w:vAlign w:val="center"/>
          </w:tcPr>
          <w:p w14:paraId="749334F5">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25</w:t>
            </w:r>
          </w:p>
        </w:tc>
        <w:tc>
          <w:tcPr>
            <w:tcW w:w="330" w:type="pct"/>
            <w:tcBorders>
              <w:left w:val="single" w:color="auto" w:sz="4" w:space="0"/>
              <w:right w:val="single" w:color="auto" w:sz="4" w:space="0"/>
            </w:tcBorders>
            <w:noWrap w:val="0"/>
            <w:vAlign w:val="center"/>
          </w:tcPr>
          <w:p w14:paraId="70105456">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2000</w:t>
            </w:r>
          </w:p>
        </w:tc>
        <w:tc>
          <w:tcPr>
            <w:tcW w:w="636" w:type="pct"/>
            <w:tcBorders>
              <w:left w:val="single" w:color="auto" w:sz="4" w:space="0"/>
              <w:right w:val="single" w:color="auto" w:sz="4" w:space="0"/>
            </w:tcBorders>
            <w:noWrap w:val="0"/>
            <w:vAlign w:val="center"/>
          </w:tcPr>
          <w:p w14:paraId="610763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《铸造工业大气污染物排放标准》（GB 39726-2020）</w:t>
            </w:r>
          </w:p>
        </w:tc>
        <w:tc>
          <w:tcPr>
            <w:tcW w:w="428" w:type="pct"/>
            <w:tcBorders>
              <w:left w:val="single" w:color="auto" w:sz="4" w:space="0"/>
              <w:right w:val="single" w:color="auto" w:sz="4" w:space="0"/>
            </w:tcBorders>
            <w:noWrap w:val="0"/>
            <w:vAlign w:val="center"/>
          </w:tcPr>
          <w:p w14:paraId="74B2CE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30</w:t>
            </w:r>
          </w:p>
        </w:tc>
        <w:tc>
          <w:tcPr>
            <w:tcW w:w="320" w:type="pct"/>
            <w:tcBorders>
              <w:left w:val="single" w:color="auto" w:sz="4" w:space="0"/>
              <w:right w:val="single" w:color="auto" w:sz="4" w:space="0"/>
            </w:tcBorders>
            <w:shd w:val="clear" w:color="auto" w:fill="auto"/>
            <w:noWrap w:val="0"/>
            <w:vAlign w:val="center"/>
          </w:tcPr>
          <w:p w14:paraId="6AB9CF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8" w:type="pct"/>
            <w:tcBorders>
              <w:left w:val="single" w:color="auto" w:sz="4" w:space="0"/>
              <w:right w:val="single" w:color="auto" w:sz="4" w:space="0"/>
            </w:tcBorders>
            <w:shd w:val="clear" w:color="auto" w:fill="auto"/>
            <w:noWrap w:val="0"/>
            <w:vAlign w:val="center"/>
          </w:tcPr>
          <w:p w14:paraId="56DC62D8">
            <w:pPr>
              <w:pStyle w:val="102"/>
              <w:keepLines w:val="0"/>
              <w:pageBreakBefore w:val="0"/>
              <w:kinsoku/>
              <w:wordWrap/>
              <w:topLinePunct w:val="0"/>
              <w:bidi w:val="0"/>
              <w:adjustRightInd w:val="0"/>
              <w:snapToGrid w:val="0"/>
              <w:spacing w:line="240" w:lineRule="auto"/>
              <w:ind w:left="0" w:leftChars="0" w:firstLine="0" w:firstLineChars="0"/>
              <w:jc w:val="center"/>
              <w:rPr>
                <w:rFonts w:hint="eastAsia"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0.</w:t>
            </w:r>
            <w:r>
              <w:rPr>
                <w:rFonts w:hint="eastAsia" w:ascii="Times New Roman" w:hAnsi="Times New Roman" w:eastAsia="宋体" w:cs="Times New Roman"/>
                <w:bCs/>
                <w:color w:val="auto"/>
                <w:sz w:val="21"/>
                <w:szCs w:val="21"/>
                <w:highlight w:val="none"/>
                <w:lang w:val="en-US" w:eastAsia="zh-CN"/>
              </w:rPr>
              <w:t>052</w:t>
            </w:r>
          </w:p>
        </w:tc>
        <w:tc>
          <w:tcPr>
            <w:tcW w:w="235" w:type="pct"/>
            <w:tcBorders>
              <w:left w:val="single" w:color="auto" w:sz="4" w:space="0"/>
              <w:right w:val="single" w:color="auto" w:sz="4" w:space="0"/>
            </w:tcBorders>
            <w:noWrap w:val="0"/>
            <w:vAlign w:val="center"/>
          </w:tcPr>
          <w:p w14:paraId="0444A92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22" w:type="pct"/>
            <w:tcBorders>
              <w:left w:val="single" w:color="auto" w:sz="4" w:space="0"/>
              <w:right w:val="single" w:color="auto" w:sz="4" w:space="0"/>
            </w:tcBorders>
            <w:noWrap w:val="0"/>
            <w:vAlign w:val="center"/>
          </w:tcPr>
          <w:p w14:paraId="1985AB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3" w:type="pct"/>
            <w:tcBorders>
              <w:left w:val="single" w:color="auto" w:sz="4" w:space="0"/>
              <w:right w:val="single" w:color="auto" w:sz="4" w:space="0"/>
            </w:tcBorders>
            <w:noWrap w:val="0"/>
            <w:vAlign w:val="center"/>
          </w:tcPr>
          <w:p w14:paraId="710175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79F84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07" w:type="pct"/>
            <w:tcBorders>
              <w:left w:val="single" w:color="auto" w:sz="4" w:space="0"/>
              <w:right w:val="single" w:color="auto" w:sz="4" w:space="0"/>
            </w:tcBorders>
            <w:noWrap w:val="0"/>
            <w:vAlign w:val="center"/>
          </w:tcPr>
          <w:p w14:paraId="643C95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6</w:t>
            </w:r>
          </w:p>
        </w:tc>
        <w:tc>
          <w:tcPr>
            <w:tcW w:w="223" w:type="pct"/>
            <w:tcBorders>
              <w:left w:val="single" w:color="auto" w:sz="4" w:space="0"/>
              <w:right w:val="single" w:color="auto" w:sz="4" w:space="0"/>
            </w:tcBorders>
            <w:noWrap w:val="0"/>
            <w:vAlign w:val="center"/>
          </w:tcPr>
          <w:p w14:paraId="34C9F7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DA006</w:t>
            </w:r>
          </w:p>
        </w:tc>
        <w:tc>
          <w:tcPr>
            <w:tcW w:w="392" w:type="pct"/>
            <w:tcBorders>
              <w:left w:val="single" w:color="auto" w:sz="4" w:space="0"/>
              <w:right w:val="single" w:color="auto" w:sz="4" w:space="0"/>
            </w:tcBorders>
            <w:noWrap w:val="0"/>
            <w:vAlign w:val="center"/>
          </w:tcPr>
          <w:p w14:paraId="40517C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抛丸废气排气筒</w:t>
            </w:r>
          </w:p>
        </w:tc>
        <w:tc>
          <w:tcPr>
            <w:tcW w:w="435" w:type="pct"/>
            <w:tcBorders>
              <w:top w:val="single" w:color="auto" w:sz="4" w:space="0"/>
              <w:left w:val="single" w:color="auto" w:sz="4" w:space="0"/>
              <w:bottom w:val="single" w:color="auto" w:sz="4" w:space="0"/>
              <w:right w:val="single" w:color="auto" w:sz="4" w:space="0"/>
            </w:tcBorders>
            <w:noWrap w:val="0"/>
            <w:vAlign w:val="center"/>
          </w:tcPr>
          <w:p w14:paraId="2E76BE0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颗粒物</w:t>
            </w:r>
          </w:p>
        </w:tc>
        <w:tc>
          <w:tcPr>
            <w:tcW w:w="269" w:type="pct"/>
            <w:tcBorders>
              <w:left w:val="single" w:color="auto" w:sz="4" w:space="0"/>
              <w:right w:val="single" w:color="auto" w:sz="4" w:space="0"/>
            </w:tcBorders>
            <w:shd w:val="clear" w:color="auto" w:fill="auto"/>
            <w:noWrap w:val="0"/>
            <w:vAlign w:val="center"/>
          </w:tcPr>
          <w:p w14:paraId="1BE658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kern w:val="2"/>
                <w:position w:val="1"/>
                <w:sz w:val="21"/>
                <w:szCs w:val="21"/>
                <w:lang w:val="en-US" w:eastAsia="zh-CN" w:bidi="ar-SA"/>
              </w:rPr>
            </w:pPr>
            <w:r>
              <w:rPr>
                <w:rFonts w:hint="default"/>
                <w:color w:val="auto"/>
                <w:highlight w:val="none"/>
              </w:rPr>
              <w:t>118.45262</w:t>
            </w:r>
            <w:r>
              <w:rPr>
                <w:rFonts w:hint="eastAsia"/>
                <w:color w:val="auto"/>
                <w:highlight w:val="none"/>
                <w:lang w:val="en-US" w:eastAsia="zh-CN"/>
              </w:rPr>
              <w:t>7</w:t>
            </w:r>
          </w:p>
        </w:tc>
        <w:tc>
          <w:tcPr>
            <w:tcW w:w="268" w:type="pct"/>
            <w:tcBorders>
              <w:left w:val="single" w:color="auto" w:sz="4" w:space="0"/>
              <w:right w:val="single" w:color="auto" w:sz="4" w:space="0"/>
            </w:tcBorders>
            <w:noWrap w:val="0"/>
            <w:vAlign w:val="center"/>
          </w:tcPr>
          <w:p w14:paraId="5A4A49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color w:val="auto"/>
                <w:highlight w:val="none"/>
              </w:rPr>
              <w:t>30.696</w:t>
            </w:r>
            <w:r>
              <w:rPr>
                <w:rFonts w:hint="eastAsia"/>
                <w:color w:val="auto"/>
                <w:highlight w:val="none"/>
                <w:lang w:val="en-US" w:eastAsia="zh-CN"/>
              </w:rPr>
              <w:t>39</w:t>
            </w:r>
            <w:r>
              <w:rPr>
                <w:rFonts w:hint="default"/>
                <w:color w:val="auto"/>
                <w:highlight w:val="none"/>
              </w:rPr>
              <w:t>00</w:t>
            </w:r>
          </w:p>
        </w:tc>
        <w:tc>
          <w:tcPr>
            <w:tcW w:w="216" w:type="pct"/>
            <w:tcBorders>
              <w:left w:val="single" w:color="auto" w:sz="4" w:space="0"/>
              <w:right w:val="single" w:color="auto" w:sz="4" w:space="0"/>
            </w:tcBorders>
            <w:noWrap w:val="0"/>
            <w:vAlign w:val="center"/>
          </w:tcPr>
          <w:p w14:paraId="298B1F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default" w:ascii="Times New Roman" w:hAnsi="Times New Roman" w:cs="Times New Roman"/>
                <w:color w:val="auto"/>
                <w:kern w:val="0"/>
                <w:szCs w:val="21"/>
                <w:highlight w:val="none"/>
                <w:lang w:val="en-US" w:eastAsia="zh-CN"/>
              </w:rPr>
              <w:t>15</w:t>
            </w:r>
          </w:p>
        </w:tc>
        <w:tc>
          <w:tcPr>
            <w:tcW w:w="216" w:type="pct"/>
            <w:tcBorders>
              <w:left w:val="single" w:color="auto" w:sz="4" w:space="0"/>
              <w:right w:val="single" w:color="auto" w:sz="4" w:space="0"/>
            </w:tcBorders>
            <w:noWrap w:val="0"/>
            <w:vAlign w:val="center"/>
          </w:tcPr>
          <w:p w14:paraId="03D03B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eastAsia"/>
                <w:color w:val="auto"/>
                <w:highlight w:val="none"/>
                <w:lang w:val="en-US" w:eastAsia="zh-CN"/>
              </w:rPr>
              <w:t>0.5</w:t>
            </w:r>
          </w:p>
        </w:tc>
        <w:tc>
          <w:tcPr>
            <w:tcW w:w="233" w:type="pct"/>
            <w:tcBorders>
              <w:left w:val="single" w:color="auto" w:sz="4" w:space="0"/>
              <w:right w:val="single" w:color="auto" w:sz="4" w:space="0"/>
            </w:tcBorders>
            <w:noWrap w:val="0"/>
            <w:vAlign w:val="center"/>
          </w:tcPr>
          <w:p w14:paraId="422B2C9C">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FF0000"/>
                <w:spacing w:val="3"/>
                <w:position w:val="1"/>
                <w:sz w:val="21"/>
                <w:szCs w:val="21"/>
                <w:lang w:val="en-US" w:eastAsia="zh-CN"/>
              </w:rPr>
            </w:pPr>
            <w:r>
              <w:rPr>
                <w:rFonts w:hint="eastAsia" w:ascii="Times New Roman" w:hAnsi="Times New Roman" w:cs="Times New Roman"/>
                <w:color w:val="auto"/>
                <w:kern w:val="0"/>
                <w:szCs w:val="21"/>
                <w:highlight w:val="none"/>
                <w:lang w:val="en-US" w:eastAsia="zh-CN"/>
              </w:rPr>
              <w:t>25</w:t>
            </w:r>
          </w:p>
        </w:tc>
        <w:tc>
          <w:tcPr>
            <w:tcW w:w="330" w:type="pct"/>
            <w:tcBorders>
              <w:left w:val="single" w:color="auto" w:sz="4" w:space="0"/>
              <w:right w:val="single" w:color="auto" w:sz="4" w:space="0"/>
            </w:tcBorders>
            <w:noWrap w:val="0"/>
            <w:vAlign w:val="center"/>
          </w:tcPr>
          <w:p w14:paraId="199E27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2000</w:t>
            </w:r>
          </w:p>
        </w:tc>
        <w:tc>
          <w:tcPr>
            <w:tcW w:w="636" w:type="pct"/>
            <w:tcBorders>
              <w:left w:val="single" w:color="auto" w:sz="4" w:space="0"/>
              <w:bottom w:val="single" w:color="auto" w:sz="4" w:space="0"/>
              <w:right w:val="single" w:color="auto" w:sz="4" w:space="0"/>
            </w:tcBorders>
            <w:noWrap w:val="0"/>
            <w:vAlign w:val="center"/>
          </w:tcPr>
          <w:p w14:paraId="3FEE43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《铸造工业大气污染物排放标准》（GB 39726-2020）</w:t>
            </w:r>
          </w:p>
        </w:tc>
        <w:tc>
          <w:tcPr>
            <w:tcW w:w="428" w:type="pct"/>
            <w:tcBorders>
              <w:left w:val="single" w:color="auto" w:sz="4" w:space="0"/>
              <w:bottom w:val="single" w:color="auto" w:sz="4" w:space="0"/>
              <w:right w:val="single" w:color="auto" w:sz="4" w:space="0"/>
            </w:tcBorders>
            <w:noWrap w:val="0"/>
            <w:vAlign w:val="center"/>
          </w:tcPr>
          <w:p w14:paraId="2F6367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30</w:t>
            </w:r>
          </w:p>
        </w:tc>
        <w:tc>
          <w:tcPr>
            <w:tcW w:w="320" w:type="pct"/>
            <w:tcBorders>
              <w:left w:val="single" w:color="auto" w:sz="4" w:space="0"/>
              <w:bottom w:val="single" w:color="auto" w:sz="4" w:space="0"/>
              <w:right w:val="single" w:color="auto" w:sz="4" w:space="0"/>
            </w:tcBorders>
            <w:noWrap w:val="0"/>
            <w:vAlign w:val="center"/>
          </w:tcPr>
          <w:p w14:paraId="718988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8" w:type="pct"/>
            <w:tcBorders>
              <w:left w:val="single" w:color="auto" w:sz="4" w:space="0"/>
              <w:bottom w:val="single" w:color="auto" w:sz="4" w:space="0"/>
              <w:right w:val="single" w:color="auto" w:sz="4" w:space="0"/>
            </w:tcBorders>
            <w:shd w:val="clear" w:color="auto" w:fill="auto"/>
            <w:noWrap w:val="0"/>
            <w:vAlign w:val="center"/>
          </w:tcPr>
          <w:p w14:paraId="691BDA8C">
            <w:pPr>
              <w:pStyle w:val="102"/>
              <w:keepLines w:val="0"/>
              <w:pageBreakBefore w:val="0"/>
              <w:kinsoku/>
              <w:wordWrap/>
              <w:topLinePunct w:val="0"/>
              <w:bidi w:val="0"/>
              <w:adjustRightInd w:val="0"/>
              <w:snapToGrid w:val="0"/>
              <w:spacing w:line="240" w:lineRule="auto"/>
              <w:ind w:left="0" w:leftChars="0" w:firstLine="0" w:firstLineChars="0"/>
              <w:jc w:val="center"/>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0.052</w:t>
            </w:r>
          </w:p>
        </w:tc>
        <w:tc>
          <w:tcPr>
            <w:tcW w:w="235" w:type="pct"/>
            <w:tcBorders>
              <w:left w:val="single" w:color="auto" w:sz="4" w:space="0"/>
              <w:bottom w:val="single" w:color="auto" w:sz="4" w:space="0"/>
              <w:right w:val="single" w:color="auto" w:sz="4" w:space="0"/>
            </w:tcBorders>
            <w:noWrap w:val="0"/>
            <w:vAlign w:val="center"/>
          </w:tcPr>
          <w:p w14:paraId="70E732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22" w:type="pct"/>
            <w:tcBorders>
              <w:left w:val="single" w:color="auto" w:sz="4" w:space="0"/>
              <w:bottom w:val="single" w:color="auto" w:sz="4" w:space="0"/>
              <w:right w:val="single" w:color="auto" w:sz="4" w:space="0"/>
            </w:tcBorders>
            <w:noWrap w:val="0"/>
            <w:vAlign w:val="center"/>
          </w:tcPr>
          <w:p w14:paraId="23BD66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3" w:type="pct"/>
            <w:tcBorders>
              <w:left w:val="single" w:color="auto" w:sz="4" w:space="0"/>
              <w:bottom w:val="single" w:color="auto" w:sz="4" w:space="0"/>
              <w:right w:val="single" w:color="auto" w:sz="4" w:space="0"/>
            </w:tcBorders>
            <w:noWrap w:val="0"/>
            <w:vAlign w:val="center"/>
          </w:tcPr>
          <w:p w14:paraId="3564013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0A758C0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eastAsia="zh-CN"/>
        </w:rPr>
      </w:pPr>
      <w:r>
        <w:rPr>
          <w:rFonts w:hint="eastAsia" w:ascii="Times New Roman" w:hAnsi="Times New Roman" w:eastAsia="宋体" w:cs="Times New Roman"/>
          <w:b/>
          <w:bCs/>
          <w:color w:val="auto"/>
          <w:spacing w:val="7"/>
          <w:sz w:val="24"/>
          <w:szCs w:val="24"/>
          <w:lang w:eastAsia="zh-CN"/>
        </w:rPr>
        <w:t>表6</w:t>
      </w:r>
      <w:r>
        <w:rPr>
          <w:rFonts w:hint="eastAsia" w:ascii="Times New Roman" w:hAnsi="Times New Roman" w:eastAsia="宋体" w:cs="Times New Roman"/>
          <w:b/>
          <w:bCs/>
          <w:color w:val="auto"/>
          <w:spacing w:val="7"/>
          <w:sz w:val="24"/>
          <w:szCs w:val="24"/>
          <w:lang w:val="en-US" w:eastAsia="zh-CN"/>
        </w:rPr>
        <w:t xml:space="preserve">  </w:t>
      </w:r>
      <w:r>
        <w:rPr>
          <w:rFonts w:hint="eastAsia" w:ascii="Times New Roman" w:hAnsi="Times New Roman" w:eastAsia="宋体" w:cs="Times New Roman"/>
          <w:b/>
          <w:bCs/>
          <w:color w:val="auto"/>
          <w:spacing w:val="7"/>
          <w:sz w:val="24"/>
          <w:szCs w:val="24"/>
          <w:lang w:eastAsia="zh-CN"/>
        </w:rPr>
        <w:t>建设项目大气污染物无组织排放表</w:t>
      </w:r>
    </w:p>
    <w:tbl>
      <w:tblPr>
        <w:tblStyle w:val="129"/>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9"/>
        <w:gridCol w:w="1651"/>
        <w:gridCol w:w="584"/>
        <w:gridCol w:w="916"/>
        <w:gridCol w:w="2316"/>
        <w:gridCol w:w="3850"/>
        <w:gridCol w:w="2231"/>
        <w:gridCol w:w="1168"/>
        <w:gridCol w:w="846"/>
      </w:tblGrid>
      <w:tr w14:paraId="5ADCD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59" w:type="dxa"/>
            <w:vMerge w:val="restart"/>
            <w:noWrap w:val="0"/>
            <w:textDirection w:val="tbRlV"/>
            <w:vAlign w:val="center"/>
          </w:tcPr>
          <w:p w14:paraId="42C699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1650" w:type="dxa"/>
            <w:vMerge w:val="restart"/>
            <w:noWrap w:val="0"/>
            <w:vAlign w:val="center"/>
          </w:tcPr>
          <w:p w14:paraId="16E3B7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生产设施编号/无组织排放编号</w:t>
            </w:r>
          </w:p>
        </w:tc>
        <w:tc>
          <w:tcPr>
            <w:tcW w:w="584" w:type="dxa"/>
            <w:vMerge w:val="restart"/>
            <w:noWrap w:val="0"/>
            <w:vAlign w:val="center"/>
          </w:tcPr>
          <w:p w14:paraId="013113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产污环节</w:t>
            </w:r>
          </w:p>
        </w:tc>
        <w:tc>
          <w:tcPr>
            <w:tcW w:w="915" w:type="dxa"/>
            <w:vMerge w:val="restart"/>
            <w:noWrap w:val="0"/>
            <w:vAlign w:val="center"/>
          </w:tcPr>
          <w:p w14:paraId="6DFFE9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污染物种类</w:t>
            </w:r>
          </w:p>
        </w:tc>
        <w:tc>
          <w:tcPr>
            <w:tcW w:w="2315" w:type="dxa"/>
            <w:vMerge w:val="restart"/>
            <w:noWrap w:val="0"/>
            <w:vAlign w:val="center"/>
          </w:tcPr>
          <w:p w14:paraId="3A62BBE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主要污染防治措施</w:t>
            </w:r>
          </w:p>
        </w:tc>
        <w:tc>
          <w:tcPr>
            <w:tcW w:w="6078" w:type="dxa"/>
            <w:gridSpan w:val="2"/>
            <w:noWrap w:val="0"/>
            <w:vAlign w:val="center"/>
          </w:tcPr>
          <w:p w14:paraId="34B3DB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国家或地方污染物排放标准</w:t>
            </w:r>
          </w:p>
        </w:tc>
        <w:tc>
          <w:tcPr>
            <w:tcW w:w="1167" w:type="dxa"/>
            <w:vMerge w:val="restart"/>
            <w:noWrap w:val="0"/>
            <w:vAlign w:val="center"/>
          </w:tcPr>
          <w:p w14:paraId="71B5529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其他信息</w:t>
            </w:r>
          </w:p>
        </w:tc>
        <w:tc>
          <w:tcPr>
            <w:tcW w:w="846" w:type="dxa"/>
            <w:vMerge w:val="restart"/>
            <w:noWrap w:val="0"/>
            <w:vAlign w:val="center"/>
          </w:tcPr>
          <w:p w14:paraId="6D82AF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备注</w:t>
            </w:r>
          </w:p>
        </w:tc>
      </w:tr>
      <w:tr w14:paraId="10F6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59" w:type="dxa"/>
            <w:vMerge w:val="continue"/>
            <w:noWrap w:val="0"/>
            <w:textDirection w:val="tbRlV"/>
            <w:vAlign w:val="center"/>
          </w:tcPr>
          <w:p w14:paraId="099E65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650" w:type="dxa"/>
            <w:vMerge w:val="continue"/>
            <w:noWrap w:val="0"/>
            <w:vAlign w:val="center"/>
          </w:tcPr>
          <w:p w14:paraId="03AFC9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584" w:type="dxa"/>
            <w:vMerge w:val="continue"/>
            <w:noWrap w:val="0"/>
            <w:vAlign w:val="center"/>
          </w:tcPr>
          <w:p w14:paraId="2F6881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915" w:type="dxa"/>
            <w:vMerge w:val="continue"/>
            <w:noWrap w:val="0"/>
            <w:vAlign w:val="center"/>
          </w:tcPr>
          <w:p w14:paraId="253C0F0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2315" w:type="dxa"/>
            <w:vMerge w:val="continue"/>
            <w:noWrap w:val="0"/>
            <w:vAlign w:val="center"/>
          </w:tcPr>
          <w:p w14:paraId="798ACF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3848" w:type="dxa"/>
            <w:noWrap w:val="0"/>
            <w:vAlign w:val="center"/>
          </w:tcPr>
          <w:p w14:paraId="49E3DE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标准名称</w:t>
            </w:r>
          </w:p>
        </w:tc>
        <w:tc>
          <w:tcPr>
            <w:tcW w:w="2230" w:type="dxa"/>
            <w:noWrap w:val="0"/>
            <w:vAlign w:val="center"/>
          </w:tcPr>
          <w:p w14:paraId="20D771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浓度限值</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mg/Nm</w:t>
            </w:r>
            <w:r>
              <w:rPr>
                <w:rFonts w:hint="default" w:ascii="Times New Roman" w:hAnsi="Times New Roman" w:eastAsia="宋体" w:cs="Times New Roman"/>
                <w:b/>
                <w:bCs/>
                <w:color w:val="auto"/>
                <w:spacing w:val="3"/>
                <w:position w:val="1"/>
                <w:sz w:val="21"/>
                <w:szCs w:val="21"/>
                <w:vertAlign w:val="superscript"/>
                <w:lang w:val="en-US" w:eastAsia="zh-CN"/>
              </w:rPr>
              <w:t>3</w:t>
            </w:r>
            <w:r>
              <w:rPr>
                <w:rFonts w:hint="eastAsia" w:ascii="Times New Roman" w:hAnsi="Times New Roman" w:eastAsia="宋体" w:cs="Times New Roman"/>
                <w:b/>
                <w:bCs/>
                <w:color w:val="auto"/>
                <w:spacing w:val="3"/>
                <w:position w:val="1"/>
                <w:sz w:val="21"/>
                <w:szCs w:val="21"/>
                <w:lang w:val="en-US" w:eastAsia="zh-CN"/>
              </w:rPr>
              <w:t>）</w:t>
            </w:r>
          </w:p>
        </w:tc>
        <w:tc>
          <w:tcPr>
            <w:tcW w:w="1167" w:type="dxa"/>
            <w:vMerge w:val="continue"/>
            <w:noWrap w:val="0"/>
            <w:vAlign w:val="center"/>
          </w:tcPr>
          <w:p w14:paraId="0B729A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46" w:type="dxa"/>
            <w:vMerge w:val="continue"/>
            <w:noWrap w:val="0"/>
            <w:vAlign w:val="center"/>
          </w:tcPr>
          <w:p w14:paraId="0CD9961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r>
      <w:tr w14:paraId="00BA3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59" w:type="dxa"/>
            <w:noWrap w:val="0"/>
            <w:vAlign w:val="center"/>
          </w:tcPr>
          <w:p w14:paraId="29096F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1650" w:type="dxa"/>
            <w:vMerge w:val="restart"/>
            <w:noWrap w:val="0"/>
            <w:vAlign w:val="center"/>
          </w:tcPr>
          <w:p w14:paraId="1891B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厂界</w:t>
            </w:r>
          </w:p>
        </w:tc>
        <w:tc>
          <w:tcPr>
            <w:tcW w:w="584" w:type="dxa"/>
            <w:noWrap w:val="0"/>
            <w:vAlign w:val="center"/>
          </w:tcPr>
          <w:p w14:paraId="6A8F6C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915" w:type="dxa"/>
            <w:noWrap w:val="0"/>
            <w:vAlign w:val="center"/>
          </w:tcPr>
          <w:p w14:paraId="7A2700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2315" w:type="dxa"/>
            <w:vMerge w:val="restart"/>
            <w:noWrap w:val="0"/>
            <w:vAlign w:val="center"/>
          </w:tcPr>
          <w:p w14:paraId="0DFB4F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生产时车间内门窗关闭，加强环保处理设施维护管理，保证收集效率，减少无组织排放量</w:t>
            </w:r>
          </w:p>
        </w:tc>
        <w:tc>
          <w:tcPr>
            <w:tcW w:w="3848" w:type="dxa"/>
            <w:noWrap w:val="0"/>
            <w:vAlign w:val="center"/>
          </w:tcPr>
          <w:p w14:paraId="00D1D6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《铸造工业大气污染物排放标准》</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39726-2020）</w:t>
            </w:r>
          </w:p>
        </w:tc>
        <w:tc>
          <w:tcPr>
            <w:tcW w:w="2230" w:type="dxa"/>
            <w:noWrap w:val="0"/>
            <w:vAlign w:val="center"/>
          </w:tcPr>
          <w:p w14:paraId="2B7303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67" w:type="dxa"/>
            <w:noWrap w:val="0"/>
            <w:vAlign w:val="center"/>
          </w:tcPr>
          <w:p w14:paraId="061CC2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846" w:type="dxa"/>
            <w:noWrap w:val="0"/>
            <w:vAlign w:val="center"/>
          </w:tcPr>
          <w:p w14:paraId="55F560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0397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59" w:type="dxa"/>
            <w:noWrap w:val="0"/>
            <w:vAlign w:val="center"/>
          </w:tcPr>
          <w:p w14:paraId="5B4F6C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650" w:type="dxa"/>
            <w:vMerge w:val="continue"/>
            <w:noWrap w:val="0"/>
            <w:vAlign w:val="center"/>
          </w:tcPr>
          <w:p w14:paraId="4FC9A8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584" w:type="dxa"/>
            <w:noWrap w:val="0"/>
            <w:vAlign w:val="center"/>
          </w:tcPr>
          <w:p w14:paraId="1E9C7D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915" w:type="dxa"/>
            <w:noWrap w:val="0"/>
            <w:vAlign w:val="center"/>
          </w:tcPr>
          <w:p w14:paraId="31B910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NMHC</w:t>
            </w:r>
          </w:p>
        </w:tc>
        <w:tc>
          <w:tcPr>
            <w:tcW w:w="2315" w:type="dxa"/>
            <w:vMerge w:val="continue"/>
            <w:noWrap w:val="0"/>
            <w:vAlign w:val="center"/>
          </w:tcPr>
          <w:p w14:paraId="1B0186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3848" w:type="dxa"/>
            <w:noWrap w:val="0"/>
            <w:vAlign w:val="center"/>
          </w:tcPr>
          <w:p w14:paraId="1192B5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《挥发性有机物无组织排放控制标准》（GB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37822-2019）</w:t>
            </w:r>
          </w:p>
        </w:tc>
        <w:tc>
          <w:tcPr>
            <w:tcW w:w="2230" w:type="dxa"/>
            <w:noWrap w:val="0"/>
            <w:vAlign w:val="center"/>
          </w:tcPr>
          <w:p w14:paraId="58D31E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1167" w:type="dxa"/>
            <w:noWrap w:val="0"/>
            <w:vAlign w:val="center"/>
          </w:tcPr>
          <w:p w14:paraId="3367A2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846" w:type="dxa"/>
            <w:noWrap w:val="0"/>
            <w:vAlign w:val="center"/>
          </w:tcPr>
          <w:p w14:paraId="7AF5D2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bl>
    <w:p w14:paraId="6E811F8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val="en-US" w:eastAsia="zh-CN"/>
        </w:rPr>
      </w:pPr>
      <w:r>
        <w:rPr>
          <w:rFonts w:hint="default" w:ascii="Times New Roman" w:hAnsi="Times New Roman" w:eastAsia="宋体" w:cs="Times New Roman"/>
          <w:b/>
          <w:bCs/>
          <w:color w:val="auto"/>
          <w:spacing w:val="7"/>
          <w:sz w:val="24"/>
          <w:szCs w:val="24"/>
          <w:lang w:eastAsia="zh-CN"/>
        </w:rPr>
        <w:t>表</w:t>
      </w:r>
      <w:r>
        <w:rPr>
          <w:rFonts w:hint="eastAsia" w:ascii="Times New Roman" w:hAnsi="Times New Roman" w:eastAsia="宋体" w:cs="Times New Roman"/>
          <w:b/>
          <w:bCs/>
          <w:color w:val="auto"/>
          <w:spacing w:val="7"/>
          <w:sz w:val="24"/>
          <w:szCs w:val="24"/>
          <w:lang w:val="en-US" w:eastAsia="zh-CN"/>
        </w:rPr>
        <w:t>7  建设项目废水类别、污染物及污染治理设施信息表</w:t>
      </w:r>
    </w:p>
    <w:tbl>
      <w:tblPr>
        <w:tblStyle w:val="1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9"/>
        <w:gridCol w:w="452"/>
        <w:gridCol w:w="1132"/>
        <w:gridCol w:w="668"/>
        <w:gridCol w:w="862"/>
        <w:gridCol w:w="827"/>
        <w:gridCol w:w="912"/>
        <w:gridCol w:w="567"/>
        <w:gridCol w:w="549"/>
        <w:gridCol w:w="484"/>
        <w:gridCol w:w="598"/>
        <w:gridCol w:w="549"/>
        <w:gridCol w:w="549"/>
        <w:gridCol w:w="733"/>
        <w:gridCol w:w="662"/>
        <w:gridCol w:w="1472"/>
        <w:gridCol w:w="1470"/>
        <w:gridCol w:w="618"/>
        <w:gridCol w:w="581"/>
      </w:tblGrid>
      <w:tr w14:paraId="32D5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restart"/>
            <w:noWrap w:val="0"/>
            <w:vAlign w:val="center"/>
          </w:tcPr>
          <w:p w14:paraId="4B441B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序号</w:t>
            </w:r>
          </w:p>
        </w:tc>
        <w:tc>
          <w:tcPr>
            <w:tcW w:w="467" w:type="dxa"/>
            <w:vMerge w:val="restart"/>
            <w:noWrap w:val="0"/>
            <w:vAlign w:val="center"/>
          </w:tcPr>
          <w:p w14:paraId="05F45C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废水类别</w:t>
            </w:r>
          </w:p>
        </w:tc>
        <w:tc>
          <w:tcPr>
            <w:tcW w:w="1170" w:type="dxa"/>
            <w:vMerge w:val="restart"/>
            <w:noWrap w:val="0"/>
            <w:vAlign w:val="center"/>
          </w:tcPr>
          <w:p w14:paraId="3F8201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污染物种类</w:t>
            </w:r>
          </w:p>
        </w:tc>
        <w:tc>
          <w:tcPr>
            <w:tcW w:w="3964" w:type="dxa"/>
            <w:gridSpan w:val="5"/>
            <w:noWrap w:val="0"/>
            <w:vAlign w:val="center"/>
          </w:tcPr>
          <w:p w14:paraId="66E25B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污染防治措施</w:t>
            </w:r>
          </w:p>
        </w:tc>
        <w:tc>
          <w:tcPr>
            <w:tcW w:w="567" w:type="dxa"/>
            <w:vMerge w:val="restart"/>
            <w:noWrap w:val="0"/>
            <w:vAlign w:val="center"/>
          </w:tcPr>
          <w:p w14:paraId="31E8BE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排放去向</w:t>
            </w:r>
          </w:p>
        </w:tc>
        <w:tc>
          <w:tcPr>
            <w:tcW w:w="500" w:type="dxa"/>
            <w:vMerge w:val="restart"/>
            <w:noWrap w:val="0"/>
            <w:vAlign w:val="center"/>
          </w:tcPr>
          <w:p w14:paraId="46E25D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排放方式</w:t>
            </w:r>
          </w:p>
        </w:tc>
        <w:tc>
          <w:tcPr>
            <w:tcW w:w="618" w:type="dxa"/>
            <w:vMerge w:val="restart"/>
            <w:noWrap w:val="0"/>
            <w:vAlign w:val="center"/>
          </w:tcPr>
          <w:p w14:paraId="531DD3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排放规律</w:t>
            </w:r>
          </w:p>
        </w:tc>
        <w:tc>
          <w:tcPr>
            <w:tcW w:w="567" w:type="dxa"/>
            <w:vMerge w:val="restart"/>
            <w:noWrap w:val="0"/>
            <w:vAlign w:val="center"/>
          </w:tcPr>
          <w:p w14:paraId="62B796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排放口编号</w:t>
            </w:r>
          </w:p>
        </w:tc>
        <w:tc>
          <w:tcPr>
            <w:tcW w:w="567" w:type="dxa"/>
            <w:vMerge w:val="restart"/>
            <w:noWrap w:val="0"/>
            <w:vAlign w:val="center"/>
          </w:tcPr>
          <w:p w14:paraId="350D55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排放口名称</w:t>
            </w:r>
          </w:p>
        </w:tc>
        <w:tc>
          <w:tcPr>
            <w:tcW w:w="757" w:type="dxa"/>
            <w:vMerge w:val="restart"/>
            <w:noWrap w:val="0"/>
            <w:vAlign w:val="center"/>
          </w:tcPr>
          <w:p w14:paraId="23E961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排放口设置是否符合要求</w:t>
            </w:r>
          </w:p>
        </w:tc>
        <w:tc>
          <w:tcPr>
            <w:tcW w:w="684" w:type="dxa"/>
            <w:vMerge w:val="restart"/>
            <w:noWrap w:val="0"/>
            <w:vAlign w:val="center"/>
          </w:tcPr>
          <w:p w14:paraId="115714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排放口类型</w:t>
            </w:r>
          </w:p>
        </w:tc>
        <w:tc>
          <w:tcPr>
            <w:tcW w:w="3040" w:type="dxa"/>
            <w:gridSpan w:val="2"/>
            <w:noWrap w:val="0"/>
            <w:vAlign w:val="center"/>
          </w:tcPr>
          <w:p w14:paraId="542E1F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
                <w:bCs/>
                <w:color w:val="auto"/>
                <w:sz w:val="21"/>
                <w:szCs w:val="21"/>
                <w:lang w:val="en-US" w:eastAsia="zh-CN"/>
              </w:rPr>
              <w:t>国家或地方污染物排放标准</w:t>
            </w:r>
          </w:p>
        </w:tc>
        <w:tc>
          <w:tcPr>
            <w:tcW w:w="638" w:type="dxa"/>
            <w:vMerge w:val="restart"/>
            <w:noWrap w:val="0"/>
            <w:vAlign w:val="center"/>
          </w:tcPr>
          <w:p w14:paraId="2D57CA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年排放许可量（t/a）</w:t>
            </w:r>
          </w:p>
        </w:tc>
        <w:tc>
          <w:tcPr>
            <w:tcW w:w="600" w:type="dxa"/>
            <w:vMerge w:val="restart"/>
            <w:noWrap w:val="0"/>
            <w:vAlign w:val="center"/>
          </w:tcPr>
          <w:p w14:paraId="7BB6F4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其他信息</w:t>
            </w:r>
          </w:p>
        </w:tc>
      </w:tr>
      <w:tr w14:paraId="44EF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continue"/>
            <w:noWrap w:val="0"/>
            <w:vAlign w:val="center"/>
          </w:tcPr>
          <w:p w14:paraId="7CFBB5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auto"/>
                <w:sz w:val="21"/>
                <w:szCs w:val="21"/>
              </w:rPr>
            </w:pPr>
          </w:p>
        </w:tc>
        <w:tc>
          <w:tcPr>
            <w:tcW w:w="467" w:type="dxa"/>
            <w:vMerge w:val="continue"/>
            <w:noWrap w:val="0"/>
            <w:vAlign w:val="center"/>
          </w:tcPr>
          <w:p w14:paraId="1E38BE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auto"/>
                <w:sz w:val="21"/>
                <w:szCs w:val="21"/>
              </w:rPr>
            </w:pPr>
          </w:p>
        </w:tc>
        <w:tc>
          <w:tcPr>
            <w:tcW w:w="1170" w:type="dxa"/>
            <w:vMerge w:val="continue"/>
            <w:noWrap w:val="0"/>
            <w:vAlign w:val="center"/>
          </w:tcPr>
          <w:p w14:paraId="6FDBE8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bCs/>
                <w:color w:val="auto"/>
                <w:sz w:val="21"/>
                <w:szCs w:val="21"/>
              </w:rPr>
            </w:pPr>
          </w:p>
        </w:tc>
        <w:tc>
          <w:tcPr>
            <w:tcW w:w="690" w:type="dxa"/>
            <w:noWrap w:val="0"/>
            <w:vAlign w:val="center"/>
          </w:tcPr>
          <w:p w14:paraId="3707FB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污染防治措施编号</w:t>
            </w:r>
          </w:p>
        </w:tc>
        <w:tc>
          <w:tcPr>
            <w:tcW w:w="891" w:type="dxa"/>
            <w:noWrap w:val="0"/>
            <w:vAlign w:val="center"/>
          </w:tcPr>
          <w:p w14:paraId="3587B9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污染防治措施名称</w:t>
            </w:r>
          </w:p>
        </w:tc>
        <w:tc>
          <w:tcPr>
            <w:tcW w:w="855" w:type="dxa"/>
            <w:noWrap w:val="0"/>
            <w:vAlign w:val="center"/>
          </w:tcPr>
          <w:p w14:paraId="05A95B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污染防治措施工艺</w:t>
            </w:r>
          </w:p>
        </w:tc>
        <w:tc>
          <w:tcPr>
            <w:tcW w:w="942" w:type="dxa"/>
            <w:noWrap w:val="0"/>
            <w:vAlign w:val="center"/>
          </w:tcPr>
          <w:p w14:paraId="58777D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是否为可行技术</w:t>
            </w:r>
          </w:p>
        </w:tc>
        <w:tc>
          <w:tcPr>
            <w:tcW w:w="586" w:type="dxa"/>
            <w:noWrap w:val="0"/>
            <w:vAlign w:val="center"/>
          </w:tcPr>
          <w:p w14:paraId="6E5FA8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其他信息</w:t>
            </w:r>
          </w:p>
        </w:tc>
        <w:tc>
          <w:tcPr>
            <w:tcW w:w="567" w:type="dxa"/>
            <w:vMerge w:val="continue"/>
            <w:noWrap w:val="0"/>
            <w:vAlign w:val="center"/>
          </w:tcPr>
          <w:p w14:paraId="16FE06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00" w:type="dxa"/>
            <w:vMerge w:val="continue"/>
            <w:noWrap w:val="0"/>
            <w:vAlign w:val="center"/>
          </w:tcPr>
          <w:p w14:paraId="65D31A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18" w:type="dxa"/>
            <w:vMerge w:val="continue"/>
            <w:noWrap w:val="0"/>
            <w:vAlign w:val="center"/>
          </w:tcPr>
          <w:p w14:paraId="5AC4DC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3EF11C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616EE4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757" w:type="dxa"/>
            <w:vMerge w:val="continue"/>
            <w:noWrap w:val="0"/>
            <w:vAlign w:val="center"/>
          </w:tcPr>
          <w:p w14:paraId="2971DC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84" w:type="dxa"/>
            <w:vMerge w:val="continue"/>
            <w:noWrap w:val="0"/>
            <w:vAlign w:val="center"/>
          </w:tcPr>
          <w:p w14:paraId="624226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21" w:type="dxa"/>
            <w:noWrap w:val="0"/>
            <w:vAlign w:val="center"/>
          </w:tcPr>
          <w:p w14:paraId="246C1F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标准名称</w:t>
            </w:r>
          </w:p>
        </w:tc>
        <w:tc>
          <w:tcPr>
            <w:tcW w:w="1519" w:type="dxa"/>
            <w:noWrap w:val="0"/>
            <w:vAlign w:val="center"/>
          </w:tcPr>
          <w:p w14:paraId="0084AD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浓度限值</w:t>
            </w:r>
          </w:p>
        </w:tc>
        <w:tc>
          <w:tcPr>
            <w:tcW w:w="638" w:type="dxa"/>
            <w:vMerge w:val="continue"/>
            <w:noWrap w:val="0"/>
            <w:vAlign w:val="center"/>
          </w:tcPr>
          <w:p w14:paraId="2AA766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00" w:type="dxa"/>
            <w:vMerge w:val="continue"/>
            <w:noWrap w:val="0"/>
            <w:vAlign w:val="center"/>
          </w:tcPr>
          <w:p w14:paraId="322AF4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r>
      <w:tr w14:paraId="7C6B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restart"/>
            <w:noWrap w:val="0"/>
            <w:vAlign w:val="center"/>
          </w:tcPr>
          <w:p w14:paraId="1F6034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467" w:type="dxa"/>
            <w:vMerge w:val="restart"/>
            <w:noWrap w:val="0"/>
            <w:vAlign w:val="center"/>
          </w:tcPr>
          <w:p w14:paraId="7CDC52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厂区废水</w:t>
            </w:r>
          </w:p>
        </w:tc>
        <w:tc>
          <w:tcPr>
            <w:tcW w:w="1170" w:type="dxa"/>
            <w:noWrap w:val="0"/>
            <w:vAlign w:val="center"/>
          </w:tcPr>
          <w:p w14:paraId="61F2B674">
            <w:pPr>
              <w:spacing w:line="240" w:lineRule="auto"/>
              <w:jc w:val="center"/>
              <w:rPr>
                <w:rFonts w:hint="eastAsia"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eastAsia="宋体" w:cs="Times New Roman"/>
                <w:b w:val="0"/>
                <w:bCs/>
                <w:color w:val="auto"/>
                <w:sz w:val="21"/>
                <w:szCs w:val="21"/>
                <w:vertAlign w:val="baseline"/>
                <w:lang w:val="en-US" w:eastAsia="zh-CN"/>
              </w:rPr>
              <w:t>pH</w:t>
            </w:r>
          </w:p>
        </w:tc>
        <w:tc>
          <w:tcPr>
            <w:tcW w:w="690" w:type="dxa"/>
            <w:vMerge w:val="restart"/>
            <w:noWrap w:val="0"/>
            <w:vAlign w:val="center"/>
          </w:tcPr>
          <w:p w14:paraId="6CF863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TW001</w:t>
            </w:r>
          </w:p>
        </w:tc>
        <w:tc>
          <w:tcPr>
            <w:tcW w:w="891" w:type="dxa"/>
            <w:vMerge w:val="restart"/>
            <w:noWrap w:val="0"/>
            <w:vAlign w:val="center"/>
          </w:tcPr>
          <w:p w14:paraId="721BC4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化粪池</w:t>
            </w:r>
          </w:p>
        </w:tc>
        <w:tc>
          <w:tcPr>
            <w:tcW w:w="855" w:type="dxa"/>
            <w:vMerge w:val="restart"/>
            <w:noWrap w:val="0"/>
            <w:vAlign w:val="center"/>
          </w:tcPr>
          <w:p w14:paraId="4C5380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发酵</w:t>
            </w:r>
          </w:p>
        </w:tc>
        <w:tc>
          <w:tcPr>
            <w:tcW w:w="942" w:type="dxa"/>
            <w:vMerge w:val="restart"/>
            <w:noWrap w:val="0"/>
            <w:vAlign w:val="center"/>
          </w:tcPr>
          <w:p w14:paraId="5EA7D6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w:t>
            </w:r>
          </w:p>
        </w:tc>
        <w:tc>
          <w:tcPr>
            <w:tcW w:w="586" w:type="dxa"/>
            <w:vMerge w:val="restart"/>
            <w:noWrap w:val="0"/>
            <w:vAlign w:val="center"/>
          </w:tcPr>
          <w:p w14:paraId="075493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567" w:type="dxa"/>
            <w:vMerge w:val="restart"/>
            <w:noWrap w:val="0"/>
            <w:vAlign w:val="center"/>
          </w:tcPr>
          <w:p w14:paraId="526DA4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纳管</w:t>
            </w:r>
          </w:p>
        </w:tc>
        <w:tc>
          <w:tcPr>
            <w:tcW w:w="500" w:type="dxa"/>
            <w:vMerge w:val="restart"/>
            <w:noWrap w:val="0"/>
            <w:vAlign w:val="center"/>
          </w:tcPr>
          <w:p w14:paraId="0CA1B3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间接排放</w:t>
            </w:r>
          </w:p>
        </w:tc>
        <w:tc>
          <w:tcPr>
            <w:tcW w:w="618" w:type="dxa"/>
            <w:vMerge w:val="restart"/>
            <w:noWrap w:val="0"/>
            <w:vAlign w:val="center"/>
          </w:tcPr>
          <w:p w14:paraId="26C562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间歇</w:t>
            </w:r>
          </w:p>
        </w:tc>
        <w:tc>
          <w:tcPr>
            <w:tcW w:w="567" w:type="dxa"/>
            <w:vMerge w:val="restart"/>
            <w:noWrap w:val="0"/>
            <w:vAlign w:val="center"/>
          </w:tcPr>
          <w:p w14:paraId="425983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DW001</w:t>
            </w:r>
          </w:p>
        </w:tc>
        <w:tc>
          <w:tcPr>
            <w:tcW w:w="567" w:type="dxa"/>
            <w:vMerge w:val="restart"/>
            <w:noWrap w:val="0"/>
            <w:vAlign w:val="center"/>
          </w:tcPr>
          <w:p w14:paraId="05D665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厂区废水纳管口</w:t>
            </w:r>
          </w:p>
        </w:tc>
        <w:tc>
          <w:tcPr>
            <w:tcW w:w="757" w:type="dxa"/>
            <w:vMerge w:val="restart"/>
            <w:noWrap w:val="0"/>
            <w:vAlign w:val="center"/>
          </w:tcPr>
          <w:p w14:paraId="25CFBC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w:t>
            </w:r>
          </w:p>
        </w:tc>
        <w:tc>
          <w:tcPr>
            <w:tcW w:w="684" w:type="dxa"/>
            <w:vMerge w:val="restart"/>
            <w:noWrap w:val="0"/>
            <w:vAlign w:val="center"/>
          </w:tcPr>
          <w:p w14:paraId="4AA275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纳管</w:t>
            </w:r>
          </w:p>
        </w:tc>
        <w:tc>
          <w:tcPr>
            <w:tcW w:w="1521" w:type="dxa"/>
            <w:vMerge w:val="restart"/>
            <w:noWrap w:val="0"/>
            <w:vAlign w:val="center"/>
          </w:tcPr>
          <w:p w14:paraId="35C256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Cs/>
                <w:color w:val="auto"/>
                <w:sz w:val="21"/>
                <w:szCs w:val="21"/>
                <w:vertAlign w:val="baseline"/>
                <w:lang w:val="en-US" w:eastAsia="zh-CN"/>
              </w:rPr>
              <w:t>新河镇污水处理厂接管标准、《污水综合排放标准》</w:t>
            </w:r>
          </w:p>
        </w:tc>
        <w:tc>
          <w:tcPr>
            <w:tcW w:w="1519" w:type="dxa"/>
            <w:noWrap w:val="0"/>
            <w:vAlign w:val="center"/>
          </w:tcPr>
          <w:p w14:paraId="032248ED">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Cs/>
                <w:color w:val="auto"/>
                <w:sz w:val="21"/>
                <w:szCs w:val="21"/>
                <w:vertAlign w:val="baseline"/>
                <w:lang w:val="en-US" w:eastAsia="zh-CN"/>
              </w:rPr>
              <w:t>6-9</w:t>
            </w:r>
          </w:p>
        </w:tc>
        <w:tc>
          <w:tcPr>
            <w:tcW w:w="638" w:type="dxa"/>
            <w:noWrap w:val="0"/>
            <w:vAlign w:val="center"/>
          </w:tcPr>
          <w:p w14:paraId="7E146D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600" w:type="dxa"/>
            <w:noWrap w:val="0"/>
            <w:vAlign w:val="center"/>
          </w:tcPr>
          <w:p w14:paraId="535F2D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06A3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continue"/>
            <w:noWrap w:val="0"/>
            <w:vAlign w:val="center"/>
          </w:tcPr>
          <w:p w14:paraId="40748E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467" w:type="dxa"/>
            <w:vMerge w:val="continue"/>
            <w:noWrap w:val="0"/>
            <w:vAlign w:val="center"/>
          </w:tcPr>
          <w:p w14:paraId="326B68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170" w:type="dxa"/>
            <w:noWrap w:val="0"/>
            <w:vAlign w:val="center"/>
          </w:tcPr>
          <w:p w14:paraId="21CA80D2">
            <w:pPr>
              <w:spacing w:line="240" w:lineRule="auto"/>
              <w:jc w:val="center"/>
              <w:rPr>
                <w:rFonts w:hint="eastAsia" w:ascii="Times New Roman" w:hAnsi="Times New Roman" w:eastAsia="宋体" w:cs="Times New Roman"/>
                <w:b w:val="0"/>
                <w:bCs/>
                <w:color w:val="auto"/>
                <w:kern w:val="2"/>
                <w:sz w:val="21"/>
                <w:szCs w:val="21"/>
                <w:vertAlign w:val="subscript"/>
                <w:lang w:val="en-US" w:eastAsia="zh-CN" w:bidi="ar-SA"/>
              </w:rPr>
            </w:pPr>
            <w:r>
              <w:rPr>
                <w:rFonts w:hint="eastAsia" w:ascii="Times New Roman" w:hAnsi="Times New Roman" w:eastAsia="宋体" w:cs="Times New Roman"/>
                <w:b w:val="0"/>
                <w:bCs/>
                <w:color w:val="auto"/>
                <w:sz w:val="21"/>
                <w:szCs w:val="21"/>
                <w:vertAlign w:val="baseline"/>
                <w:lang w:val="en-US" w:eastAsia="zh-CN"/>
              </w:rPr>
              <w:t>COD</w:t>
            </w:r>
            <w:r>
              <w:rPr>
                <w:rFonts w:hint="eastAsia" w:ascii="Times New Roman" w:hAnsi="Times New Roman" w:eastAsia="宋体" w:cs="Times New Roman"/>
                <w:b w:val="0"/>
                <w:bCs/>
                <w:color w:val="auto"/>
                <w:sz w:val="21"/>
                <w:szCs w:val="21"/>
                <w:vertAlign w:val="subscript"/>
                <w:lang w:val="en-US" w:eastAsia="zh-CN"/>
              </w:rPr>
              <w:t>Cr</w:t>
            </w:r>
          </w:p>
        </w:tc>
        <w:tc>
          <w:tcPr>
            <w:tcW w:w="690" w:type="dxa"/>
            <w:vMerge w:val="continue"/>
            <w:noWrap w:val="0"/>
            <w:vAlign w:val="center"/>
          </w:tcPr>
          <w:p w14:paraId="7A74D8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91" w:type="dxa"/>
            <w:vMerge w:val="continue"/>
            <w:noWrap w:val="0"/>
            <w:vAlign w:val="center"/>
          </w:tcPr>
          <w:p w14:paraId="418054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55" w:type="dxa"/>
            <w:vMerge w:val="continue"/>
            <w:noWrap w:val="0"/>
            <w:vAlign w:val="center"/>
          </w:tcPr>
          <w:p w14:paraId="2E11CF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942" w:type="dxa"/>
            <w:vMerge w:val="continue"/>
            <w:noWrap w:val="0"/>
            <w:vAlign w:val="center"/>
          </w:tcPr>
          <w:p w14:paraId="613516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86" w:type="dxa"/>
            <w:vMerge w:val="continue"/>
            <w:noWrap w:val="0"/>
            <w:vAlign w:val="center"/>
          </w:tcPr>
          <w:p w14:paraId="27A6C1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0A5E18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00" w:type="dxa"/>
            <w:vMerge w:val="continue"/>
            <w:noWrap w:val="0"/>
            <w:vAlign w:val="center"/>
          </w:tcPr>
          <w:p w14:paraId="7FBC2E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18" w:type="dxa"/>
            <w:vMerge w:val="continue"/>
            <w:noWrap w:val="0"/>
            <w:vAlign w:val="center"/>
          </w:tcPr>
          <w:p w14:paraId="5BA7D1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7754C6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392C3F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757" w:type="dxa"/>
            <w:vMerge w:val="continue"/>
            <w:noWrap w:val="0"/>
            <w:vAlign w:val="center"/>
          </w:tcPr>
          <w:p w14:paraId="63E238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84" w:type="dxa"/>
            <w:vMerge w:val="continue"/>
            <w:noWrap w:val="0"/>
            <w:vAlign w:val="center"/>
          </w:tcPr>
          <w:p w14:paraId="6737C8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21" w:type="dxa"/>
            <w:vMerge w:val="continue"/>
            <w:noWrap w:val="0"/>
            <w:vAlign w:val="center"/>
          </w:tcPr>
          <w:p w14:paraId="6F8D05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19" w:type="dxa"/>
            <w:noWrap w:val="0"/>
            <w:vAlign w:val="center"/>
          </w:tcPr>
          <w:p w14:paraId="4D314AA3">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Cs/>
                <w:color w:val="auto"/>
                <w:sz w:val="21"/>
                <w:szCs w:val="21"/>
                <w:vertAlign w:val="baseline"/>
                <w:lang w:val="en-US" w:eastAsia="zh-CN"/>
              </w:rPr>
              <w:t>300</w:t>
            </w:r>
          </w:p>
        </w:tc>
        <w:tc>
          <w:tcPr>
            <w:tcW w:w="638" w:type="dxa"/>
            <w:noWrap w:val="0"/>
            <w:vAlign w:val="center"/>
          </w:tcPr>
          <w:p w14:paraId="1F9C44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600" w:type="dxa"/>
            <w:noWrap w:val="0"/>
            <w:vAlign w:val="center"/>
          </w:tcPr>
          <w:p w14:paraId="2C3EB6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780B0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continue"/>
            <w:noWrap w:val="0"/>
            <w:vAlign w:val="center"/>
          </w:tcPr>
          <w:p w14:paraId="3439DA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467" w:type="dxa"/>
            <w:vMerge w:val="continue"/>
            <w:noWrap w:val="0"/>
            <w:vAlign w:val="center"/>
          </w:tcPr>
          <w:p w14:paraId="7AAD9C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170" w:type="dxa"/>
            <w:noWrap w:val="0"/>
            <w:vAlign w:val="center"/>
          </w:tcPr>
          <w:p w14:paraId="4D6190B7">
            <w:pPr>
              <w:spacing w:line="240" w:lineRule="auto"/>
              <w:jc w:val="center"/>
              <w:rPr>
                <w:rFonts w:hint="eastAsia"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eastAsia="宋体" w:cs="Times New Roman"/>
                <w:b w:val="0"/>
                <w:bCs/>
                <w:color w:val="auto"/>
                <w:sz w:val="21"/>
                <w:szCs w:val="21"/>
                <w:vertAlign w:val="baseline"/>
                <w:lang w:val="en-US" w:eastAsia="zh-CN"/>
              </w:rPr>
              <w:t>SS</w:t>
            </w:r>
          </w:p>
        </w:tc>
        <w:tc>
          <w:tcPr>
            <w:tcW w:w="690" w:type="dxa"/>
            <w:vMerge w:val="continue"/>
            <w:noWrap w:val="0"/>
            <w:vAlign w:val="center"/>
          </w:tcPr>
          <w:p w14:paraId="5773CA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91" w:type="dxa"/>
            <w:vMerge w:val="continue"/>
            <w:noWrap w:val="0"/>
            <w:vAlign w:val="center"/>
          </w:tcPr>
          <w:p w14:paraId="778AC4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55" w:type="dxa"/>
            <w:vMerge w:val="continue"/>
            <w:noWrap w:val="0"/>
            <w:vAlign w:val="center"/>
          </w:tcPr>
          <w:p w14:paraId="123B7B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942" w:type="dxa"/>
            <w:vMerge w:val="continue"/>
            <w:noWrap w:val="0"/>
            <w:vAlign w:val="center"/>
          </w:tcPr>
          <w:p w14:paraId="2E0017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86" w:type="dxa"/>
            <w:vMerge w:val="continue"/>
            <w:noWrap w:val="0"/>
            <w:vAlign w:val="center"/>
          </w:tcPr>
          <w:p w14:paraId="3CA759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6F7B8C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00" w:type="dxa"/>
            <w:vMerge w:val="continue"/>
            <w:noWrap w:val="0"/>
            <w:vAlign w:val="center"/>
          </w:tcPr>
          <w:p w14:paraId="03AEAE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18" w:type="dxa"/>
            <w:vMerge w:val="continue"/>
            <w:noWrap w:val="0"/>
            <w:vAlign w:val="center"/>
          </w:tcPr>
          <w:p w14:paraId="4BB27A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4DDBFF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1A20F9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757" w:type="dxa"/>
            <w:vMerge w:val="continue"/>
            <w:noWrap w:val="0"/>
            <w:vAlign w:val="center"/>
          </w:tcPr>
          <w:p w14:paraId="5D415C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84" w:type="dxa"/>
            <w:vMerge w:val="continue"/>
            <w:noWrap w:val="0"/>
            <w:vAlign w:val="center"/>
          </w:tcPr>
          <w:p w14:paraId="069017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21" w:type="dxa"/>
            <w:vMerge w:val="continue"/>
            <w:noWrap w:val="0"/>
            <w:vAlign w:val="center"/>
          </w:tcPr>
          <w:p w14:paraId="1A250C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19" w:type="dxa"/>
            <w:noWrap w:val="0"/>
            <w:vAlign w:val="center"/>
          </w:tcPr>
          <w:p w14:paraId="309F7A3C">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Cs/>
                <w:color w:val="auto"/>
                <w:sz w:val="21"/>
                <w:szCs w:val="21"/>
                <w:vertAlign w:val="baseline"/>
                <w:lang w:val="en-US" w:eastAsia="zh-CN"/>
              </w:rPr>
              <w:t>200</w:t>
            </w:r>
          </w:p>
        </w:tc>
        <w:tc>
          <w:tcPr>
            <w:tcW w:w="638" w:type="dxa"/>
            <w:noWrap w:val="0"/>
            <w:vAlign w:val="center"/>
          </w:tcPr>
          <w:p w14:paraId="14EE01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600" w:type="dxa"/>
            <w:noWrap w:val="0"/>
            <w:vAlign w:val="center"/>
          </w:tcPr>
          <w:p w14:paraId="4A4542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6C0B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continue"/>
            <w:noWrap w:val="0"/>
            <w:vAlign w:val="center"/>
          </w:tcPr>
          <w:p w14:paraId="32F97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467" w:type="dxa"/>
            <w:vMerge w:val="continue"/>
            <w:noWrap w:val="0"/>
            <w:vAlign w:val="center"/>
          </w:tcPr>
          <w:p w14:paraId="36F668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170" w:type="dxa"/>
            <w:noWrap w:val="0"/>
            <w:vAlign w:val="center"/>
          </w:tcPr>
          <w:p w14:paraId="3E92AC05">
            <w:pPr>
              <w:spacing w:line="240" w:lineRule="auto"/>
              <w:jc w:val="center"/>
              <w:rPr>
                <w:rFonts w:hint="eastAsia"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eastAsia="宋体" w:cs="Times New Roman"/>
                <w:b w:val="0"/>
                <w:bCs/>
                <w:color w:val="auto"/>
                <w:sz w:val="21"/>
                <w:szCs w:val="21"/>
                <w:vertAlign w:val="baseline"/>
                <w:lang w:val="en-US" w:eastAsia="zh-CN"/>
              </w:rPr>
              <w:t>NH</w:t>
            </w:r>
            <w:r>
              <w:rPr>
                <w:rFonts w:hint="eastAsia" w:ascii="Times New Roman" w:hAnsi="Times New Roman" w:eastAsia="宋体" w:cs="Times New Roman"/>
                <w:b w:val="0"/>
                <w:bCs/>
                <w:color w:val="auto"/>
                <w:sz w:val="21"/>
                <w:szCs w:val="21"/>
                <w:vertAlign w:val="subscript"/>
                <w:lang w:val="en-US" w:eastAsia="zh-CN"/>
              </w:rPr>
              <w:t>3</w:t>
            </w:r>
            <w:r>
              <w:rPr>
                <w:rFonts w:hint="eastAsia" w:ascii="Times New Roman" w:hAnsi="Times New Roman" w:eastAsia="宋体" w:cs="Times New Roman"/>
                <w:b w:val="0"/>
                <w:bCs/>
                <w:color w:val="auto"/>
                <w:sz w:val="21"/>
                <w:szCs w:val="21"/>
                <w:vertAlign w:val="baseline"/>
                <w:lang w:val="en-US" w:eastAsia="zh-CN"/>
              </w:rPr>
              <w:t>-N</w:t>
            </w:r>
          </w:p>
        </w:tc>
        <w:tc>
          <w:tcPr>
            <w:tcW w:w="690" w:type="dxa"/>
            <w:vMerge w:val="continue"/>
            <w:noWrap w:val="0"/>
            <w:vAlign w:val="center"/>
          </w:tcPr>
          <w:p w14:paraId="745A7D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91" w:type="dxa"/>
            <w:vMerge w:val="continue"/>
            <w:noWrap w:val="0"/>
            <w:vAlign w:val="center"/>
          </w:tcPr>
          <w:p w14:paraId="2F9A83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55" w:type="dxa"/>
            <w:vMerge w:val="continue"/>
            <w:noWrap w:val="0"/>
            <w:vAlign w:val="center"/>
          </w:tcPr>
          <w:p w14:paraId="25F666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942" w:type="dxa"/>
            <w:vMerge w:val="continue"/>
            <w:noWrap w:val="0"/>
            <w:vAlign w:val="center"/>
          </w:tcPr>
          <w:p w14:paraId="39EE9B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86" w:type="dxa"/>
            <w:vMerge w:val="continue"/>
            <w:noWrap w:val="0"/>
            <w:vAlign w:val="center"/>
          </w:tcPr>
          <w:p w14:paraId="1CB087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708A67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00" w:type="dxa"/>
            <w:vMerge w:val="continue"/>
            <w:noWrap w:val="0"/>
            <w:vAlign w:val="center"/>
          </w:tcPr>
          <w:p w14:paraId="022225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18" w:type="dxa"/>
            <w:vMerge w:val="continue"/>
            <w:noWrap w:val="0"/>
            <w:vAlign w:val="center"/>
          </w:tcPr>
          <w:p w14:paraId="649286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2B1EDA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36A302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757" w:type="dxa"/>
            <w:vMerge w:val="continue"/>
            <w:noWrap w:val="0"/>
            <w:vAlign w:val="center"/>
          </w:tcPr>
          <w:p w14:paraId="44FB97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84" w:type="dxa"/>
            <w:vMerge w:val="continue"/>
            <w:noWrap w:val="0"/>
            <w:vAlign w:val="center"/>
          </w:tcPr>
          <w:p w14:paraId="7F0F64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21" w:type="dxa"/>
            <w:vMerge w:val="continue"/>
            <w:noWrap w:val="0"/>
            <w:vAlign w:val="center"/>
          </w:tcPr>
          <w:p w14:paraId="55ECAA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19" w:type="dxa"/>
            <w:noWrap w:val="0"/>
            <w:vAlign w:val="center"/>
          </w:tcPr>
          <w:p w14:paraId="728890D0">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Cs/>
                <w:color w:val="auto"/>
                <w:sz w:val="21"/>
                <w:szCs w:val="21"/>
                <w:vertAlign w:val="baseline"/>
                <w:lang w:val="en-US" w:eastAsia="zh-CN"/>
              </w:rPr>
              <w:t>30</w:t>
            </w:r>
          </w:p>
        </w:tc>
        <w:tc>
          <w:tcPr>
            <w:tcW w:w="638" w:type="dxa"/>
            <w:noWrap w:val="0"/>
            <w:vAlign w:val="center"/>
          </w:tcPr>
          <w:p w14:paraId="49D3D9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600" w:type="dxa"/>
            <w:noWrap w:val="0"/>
            <w:vAlign w:val="center"/>
          </w:tcPr>
          <w:p w14:paraId="70A0CD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29FF5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40" w:type="dxa"/>
            <w:vMerge w:val="continue"/>
            <w:noWrap w:val="0"/>
            <w:vAlign w:val="center"/>
          </w:tcPr>
          <w:p w14:paraId="3A68A4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467" w:type="dxa"/>
            <w:vMerge w:val="continue"/>
            <w:noWrap w:val="0"/>
            <w:vAlign w:val="center"/>
          </w:tcPr>
          <w:p w14:paraId="21B8B2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170" w:type="dxa"/>
            <w:noWrap w:val="0"/>
            <w:vAlign w:val="center"/>
          </w:tcPr>
          <w:p w14:paraId="7B6FF387">
            <w:pPr>
              <w:spacing w:line="240" w:lineRule="auto"/>
              <w:jc w:val="center"/>
              <w:rPr>
                <w:rFonts w:hint="eastAsia" w:ascii="Times New Roman" w:hAnsi="Times New Roman" w:eastAsia="宋体" w:cs="Times New Roman"/>
                <w:b w:val="0"/>
                <w:bCs/>
                <w:color w:val="auto"/>
                <w:kern w:val="2"/>
                <w:sz w:val="21"/>
                <w:szCs w:val="21"/>
                <w:vertAlign w:val="subscript"/>
                <w:lang w:val="en-US" w:eastAsia="zh-CN" w:bidi="ar-SA"/>
              </w:rPr>
            </w:pPr>
            <w:r>
              <w:rPr>
                <w:rFonts w:hint="eastAsia" w:ascii="Times New Roman" w:hAnsi="Times New Roman" w:eastAsia="宋体" w:cs="Times New Roman"/>
                <w:b w:val="0"/>
                <w:bCs/>
                <w:color w:val="auto"/>
                <w:sz w:val="21"/>
                <w:szCs w:val="21"/>
                <w:vertAlign w:val="baseline"/>
                <w:lang w:val="en-US" w:eastAsia="zh-CN"/>
              </w:rPr>
              <w:t>BOD</w:t>
            </w:r>
            <w:r>
              <w:rPr>
                <w:rFonts w:hint="eastAsia" w:ascii="Times New Roman" w:hAnsi="Times New Roman" w:eastAsia="宋体" w:cs="Times New Roman"/>
                <w:b w:val="0"/>
                <w:bCs/>
                <w:color w:val="auto"/>
                <w:sz w:val="21"/>
                <w:szCs w:val="21"/>
                <w:vertAlign w:val="subscript"/>
                <w:lang w:val="en-US" w:eastAsia="zh-CN"/>
              </w:rPr>
              <w:t>5</w:t>
            </w:r>
          </w:p>
        </w:tc>
        <w:tc>
          <w:tcPr>
            <w:tcW w:w="690" w:type="dxa"/>
            <w:vMerge w:val="continue"/>
            <w:noWrap w:val="0"/>
            <w:vAlign w:val="center"/>
          </w:tcPr>
          <w:p w14:paraId="043DF5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91" w:type="dxa"/>
            <w:vMerge w:val="continue"/>
            <w:noWrap w:val="0"/>
            <w:vAlign w:val="center"/>
          </w:tcPr>
          <w:p w14:paraId="5DC2A0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855" w:type="dxa"/>
            <w:vMerge w:val="continue"/>
            <w:noWrap w:val="0"/>
            <w:vAlign w:val="center"/>
          </w:tcPr>
          <w:p w14:paraId="4A54A0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942" w:type="dxa"/>
            <w:vMerge w:val="continue"/>
            <w:noWrap w:val="0"/>
            <w:vAlign w:val="center"/>
          </w:tcPr>
          <w:p w14:paraId="54F062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86" w:type="dxa"/>
            <w:vMerge w:val="continue"/>
            <w:noWrap w:val="0"/>
            <w:vAlign w:val="center"/>
          </w:tcPr>
          <w:p w14:paraId="441077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1B5857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00" w:type="dxa"/>
            <w:vMerge w:val="continue"/>
            <w:noWrap w:val="0"/>
            <w:vAlign w:val="center"/>
          </w:tcPr>
          <w:p w14:paraId="0FB780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18" w:type="dxa"/>
            <w:vMerge w:val="continue"/>
            <w:noWrap w:val="0"/>
            <w:vAlign w:val="center"/>
          </w:tcPr>
          <w:p w14:paraId="4BA704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424978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567" w:type="dxa"/>
            <w:vMerge w:val="continue"/>
            <w:noWrap w:val="0"/>
            <w:vAlign w:val="center"/>
          </w:tcPr>
          <w:p w14:paraId="009AE2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757" w:type="dxa"/>
            <w:vMerge w:val="continue"/>
            <w:noWrap w:val="0"/>
            <w:vAlign w:val="center"/>
          </w:tcPr>
          <w:p w14:paraId="5F296A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684" w:type="dxa"/>
            <w:vMerge w:val="continue"/>
            <w:noWrap w:val="0"/>
            <w:vAlign w:val="center"/>
          </w:tcPr>
          <w:p w14:paraId="229EE0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21" w:type="dxa"/>
            <w:vMerge w:val="continue"/>
            <w:noWrap w:val="0"/>
            <w:vAlign w:val="center"/>
          </w:tcPr>
          <w:p w14:paraId="4B9F78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519" w:type="dxa"/>
            <w:noWrap w:val="0"/>
            <w:vAlign w:val="center"/>
          </w:tcPr>
          <w:p w14:paraId="198DF7AC">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bCs/>
                <w:color w:val="auto"/>
                <w:sz w:val="21"/>
                <w:szCs w:val="21"/>
                <w:vertAlign w:val="baseline"/>
                <w:lang w:val="en-US" w:eastAsia="zh-CN"/>
              </w:rPr>
              <w:t>150</w:t>
            </w:r>
          </w:p>
        </w:tc>
        <w:tc>
          <w:tcPr>
            <w:tcW w:w="638" w:type="dxa"/>
            <w:noWrap w:val="0"/>
            <w:vAlign w:val="center"/>
          </w:tcPr>
          <w:p w14:paraId="56548F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600" w:type="dxa"/>
            <w:noWrap w:val="0"/>
            <w:vAlign w:val="center"/>
          </w:tcPr>
          <w:p w14:paraId="6E0CDC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bl>
    <w:p w14:paraId="0122535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eastAsia="zh-CN"/>
        </w:rPr>
      </w:pPr>
    </w:p>
    <w:p w14:paraId="38E329A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eastAsia="zh-CN"/>
        </w:rPr>
      </w:pPr>
    </w:p>
    <w:p w14:paraId="139FEE4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eastAsia="zh-CN"/>
        </w:rPr>
      </w:pPr>
    </w:p>
    <w:p w14:paraId="5050D20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eastAsia="zh-CN"/>
        </w:rPr>
      </w:pPr>
      <w:r>
        <w:rPr>
          <w:rFonts w:hint="eastAsia" w:ascii="Times New Roman" w:hAnsi="Times New Roman" w:eastAsia="宋体" w:cs="Times New Roman"/>
          <w:b/>
          <w:bCs/>
          <w:color w:val="auto"/>
          <w:spacing w:val="7"/>
          <w:sz w:val="24"/>
          <w:szCs w:val="24"/>
          <w:lang w:eastAsia="zh-CN"/>
        </w:rPr>
        <w:t>表8</w:t>
      </w:r>
      <w:r>
        <w:rPr>
          <w:rFonts w:hint="eastAsia" w:ascii="Times New Roman" w:hAnsi="Times New Roman" w:eastAsia="宋体" w:cs="Times New Roman"/>
          <w:b/>
          <w:bCs/>
          <w:color w:val="auto"/>
          <w:spacing w:val="7"/>
          <w:sz w:val="24"/>
          <w:szCs w:val="24"/>
          <w:lang w:val="en-US" w:eastAsia="zh-CN"/>
        </w:rPr>
        <w:t xml:space="preserve">  </w:t>
      </w:r>
      <w:r>
        <w:rPr>
          <w:rFonts w:hint="eastAsia" w:ascii="Times New Roman" w:hAnsi="Times New Roman" w:eastAsia="宋体" w:cs="Times New Roman"/>
          <w:b/>
          <w:bCs/>
          <w:color w:val="auto"/>
          <w:spacing w:val="7"/>
          <w:sz w:val="24"/>
          <w:szCs w:val="24"/>
          <w:lang w:eastAsia="zh-CN"/>
        </w:rPr>
        <w:t>建设项目废水直接排放口基本情况表</w:t>
      </w:r>
    </w:p>
    <w:tbl>
      <w:tblPr>
        <w:tblStyle w:val="129"/>
        <w:tblW w:w="500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8"/>
        <w:gridCol w:w="821"/>
        <w:gridCol w:w="1250"/>
        <w:gridCol w:w="875"/>
        <w:gridCol w:w="1373"/>
        <w:gridCol w:w="1044"/>
        <w:gridCol w:w="1031"/>
        <w:gridCol w:w="864"/>
        <w:gridCol w:w="1017"/>
        <w:gridCol w:w="1040"/>
        <w:gridCol w:w="1385"/>
        <w:gridCol w:w="1563"/>
        <w:gridCol w:w="1378"/>
      </w:tblGrid>
      <w:tr w14:paraId="00328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97"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1CA2AD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821" w:type="dxa"/>
            <w:vMerge w:val="restart"/>
            <w:tcBorders>
              <w:top w:val="single" w:color="000000" w:sz="4" w:space="0"/>
              <w:left w:val="single" w:color="000000" w:sz="4" w:space="0"/>
              <w:bottom w:val="single" w:color="000000" w:sz="4" w:space="0"/>
              <w:right w:val="single" w:color="000000" w:sz="4" w:space="0"/>
            </w:tcBorders>
            <w:noWrap w:val="0"/>
            <w:vAlign w:val="center"/>
          </w:tcPr>
          <w:p w14:paraId="4476B2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w:t>
            </w:r>
          </w:p>
          <w:p w14:paraId="782B3E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编号</w:t>
            </w:r>
          </w:p>
        </w:tc>
        <w:tc>
          <w:tcPr>
            <w:tcW w:w="1249" w:type="dxa"/>
            <w:vMerge w:val="restart"/>
            <w:tcBorders>
              <w:top w:val="single" w:color="000000" w:sz="4" w:space="0"/>
              <w:left w:val="single" w:color="000000" w:sz="4" w:space="0"/>
              <w:bottom w:val="single" w:color="000000" w:sz="4" w:space="0"/>
              <w:right w:val="single" w:color="000000" w:sz="4" w:space="0"/>
            </w:tcBorders>
            <w:noWrap w:val="0"/>
            <w:vAlign w:val="center"/>
          </w:tcPr>
          <w:p w14:paraId="71698A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排放口名称</w:t>
            </w:r>
          </w:p>
        </w:tc>
        <w:tc>
          <w:tcPr>
            <w:tcW w:w="2247" w:type="dxa"/>
            <w:gridSpan w:val="2"/>
            <w:tcBorders>
              <w:top w:val="single" w:color="000000" w:sz="4" w:space="0"/>
              <w:left w:val="single" w:color="000000" w:sz="4" w:space="0"/>
              <w:bottom w:val="single" w:color="000000" w:sz="4" w:space="0"/>
              <w:right w:val="single" w:color="000000" w:sz="4" w:space="0"/>
            </w:tcBorders>
            <w:noWrap w:val="0"/>
            <w:vAlign w:val="center"/>
          </w:tcPr>
          <w:p w14:paraId="2F2001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排放口地理坐标</w:t>
            </w:r>
          </w:p>
        </w:tc>
        <w:tc>
          <w:tcPr>
            <w:tcW w:w="10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D2592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排放去向</w:t>
            </w:r>
          </w:p>
        </w:tc>
        <w:tc>
          <w:tcPr>
            <w:tcW w:w="1030" w:type="dxa"/>
            <w:vMerge w:val="restart"/>
            <w:tcBorders>
              <w:top w:val="single" w:color="000000" w:sz="4" w:space="0"/>
              <w:left w:val="single" w:color="000000" w:sz="4" w:space="0"/>
              <w:bottom w:val="single" w:color="000000" w:sz="4" w:space="0"/>
              <w:right w:val="single" w:color="000000" w:sz="4" w:space="0"/>
            </w:tcBorders>
            <w:noWrap w:val="0"/>
            <w:vAlign w:val="center"/>
          </w:tcPr>
          <w:p w14:paraId="763357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排放规律</w:t>
            </w:r>
          </w:p>
        </w:tc>
        <w:tc>
          <w:tcPr>
            <w:tcW w:w="863" w:type="dxa"/>
            <w:vMerge w:val="restart"/>
            <w:tcBorders>
              <w:top w:val="single" w:color="000000" w:sz="4" w:space="0"/>
              <w:left w:val="single" w:color="000000" w:sz="4" w:space="0"/>
              <w:bottom w:val="single" w:color="000000" w:sz="4" w:space="0"/>
              <w:right w:val="single" w:color="000000" w:sz="4" w:space="0"/>
            </w:tcBorders>
            <w:noWrap w:val="0"/>
            <w:vAlign w:val="center"/>
          </w:tcPr>
          <w:p w14:paraId="1BF5C8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间歇排放时段</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3992CF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受纳自然水体信息</w:t>
            </w:r>
          </w:p>
        </w:tc>
        <w:tc>
          <w:tcPr>
            <w:tcW w:w="2947" w:type="dxa"/>
            <w:gridSpan w:val="2"/>
            <w:tcBorders>
              <w:top w:val="single" w:color="000000" w:sz="4" w:space="0"/>
              <w:left w:val="single" w:color="000000" w:sz="4" w:space="0"/>
              <w:bottom w:val="single" w:color="000000" w:sz="4" w:space="0"/>
              <w:right w:val="single" w:color="000000" w:sz="4" w:space="0"/>
            </w:tcBorders>
            <w:noWrap w:val="0"/>
            <w:vAlign w:val="center"/>
          </w:tcPr>
          <w:p w14:paraId="5DF098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汇入受纳自然水体处地理坐标</w:t>
            </w:r>
          </w:p>
        </w:tc>
        <w:tc>
          <w:tcPr>
            <w:tcW w:w="1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344F3D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其他信息</w:t>
            </w:r>
          </w:p>
        </w:tc>
      </w:tr>
      <w:tr w14:paraId="47665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97"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B3CF8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48AFC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2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2F7A0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7D69D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经度</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7CEE885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纬度</w:t>
            </w: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AF57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0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43C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17E1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1C963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水体名称</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6C59F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受纳水体功能目标</w:t>
            </w:r>
          </w:p>
        </w:tc>
        <w:tc>
          <w:tcPr>
            <w:tcW w:w="1385" w:type="dxa"/>
            <w:tcBorders>
              <w:top w:val="single" w:color="000000" w:sz="4" w:space="0"/>
              <w:left w:val="single" w:color="000000" w:sz="4" w:space="0"/>
              <w:bottom w:val="single" w:color="000000" w:sz="4" w:space="0"/>
              <w:right w:val="single" w:color="000000" w:sz="4" w:space="0"/>
            </w:tcBorders>
            <w:noWrap w:val="0"/>
            <w:vAlign w:val="center"/>
          </w:tcPr>
          <w:p w14:paraId="7CB8A8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经度</w:t>
            </w:r>
          </w:p>
        </w:tc>
        <w:tc>
          <w:tcPr>
            <w:tcW w:w="1562" w:type="dxa"/>
            <w:tcBorders>
              <w:top w:val="single" w:color="000000" w:sz="4" w:space="0"/>
              <w:left w:val="single" w:color="000000" w:sz="4" w:space="0"/>
              <w:bottom w:val="single" w:color="000000" w:sz="4" w:space="0"/>
              <w:right w:val="single" w:color="000000" w:sz="4" w:space="0"/>
            </w:tcBorders>
            <w:noWrap w:val="0"/>
            <w:vAlign w:val="center"/>
          </w:tcPr>
          <w:p w14:paraId="6C9154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纬度</w:t>
            </w: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34BF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r>
      <w:tr w14:paraId="333DD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7D31CA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21" w:type="dxa"/>
            <w:tcBorders>
              <w:top w:val="single" w:color="000000" w:sz="4" w:space="0"/>
              <w:left w:val="single" w:color="000000" w:sz="4" w:space="0"/>
              <w:bottom w:val="single" w:color="000000" w:sz="4" w:space="0"/>
              <w:right w:val="single" w:color="000000" w:sz="4" w:space="0"/>
            </w:tcBorders>
            <w:noWrap w:val="0"/>
            <w:vAlign w:val="center"/>
          </w:tcPr>
          <w:p w14:paraId="5CD695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7A624C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634DE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73955F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043" w:type="dxa"/>
            <w:tcBorders>
              <w:top w:val="single" w:color="000000" w:sz="4" w:space="0"/>
              <w:left w:val="single" w:color="000000" w:sz="4" w:space="0"/>
              <w:bottom w:val="single" w:color="000000" w:sz="4" w:space="0"/>
              <w:right w:val="single" w:color="000000" w:sz="4" w:space="0"/>
            </w:tcBorders>
            <w:noWrap w:val="0"/>
            <w:vAlign w:val="center"/>
          </w:tcPr>
          <w:p w14:paraId="2D8759F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43A8F79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14:paraId="0F9CAE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E8F7BF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6680B4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385" w:type="dxa"/>
            <w:tcBorders>
              <w:top w:val="single" w:color="000000" w:sz="4" w:space="0"/>
              <w:left w:val="single" w:color="000000" w:sz="4" w:space="0"/>
              <w:bottom w:val="single" w:color="000000" w:sz="4" w:space="0"/>
              <w:right w:val="single" w:color="000000" w:sz="4" w:space="0"/>
            </w:tcBorders>
            <w:noWrap w:val="0"/>
            <w:vAlign w:val="center"/>
          </w:tcPr>
          <w:p w14:paraId="1AA22B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562" w:type="dxa"/>
            <w:tcBorders>
              <w:top w:val="single" w:color="000000" w:sz="4" w:space="0"/>
              <w:left w:val="single" w:color="000000" w:sz="4" w:space="0"/>
              <w:bottom w:val="single" w:color="000000" w:sz="4" w:space="0"/>
              <w:right w:val="single" w:color="000000" w:sz="4" w:space="0"/>
            </w:tcBorders>
            <w:noWrap w:val="0"/>
            <w:vAlign w:val="center"/>
          </w:tcPr>
          <w:p w14:paraId="7E07EA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3C1081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743858A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val="en-US" w:eastAsia="zh-CN"/>
        </w:rPr>
      </w:pPr>
      <w:r>
        <w:rPr>
          <w:rFonts w:hint="eastAsia" w:ascii="Times New Roman" w:hAnsi="Times New Roman" w:eastAsia="宋体" w:cs="Times New Roman"/>
          <w:b/>
          <w:bCs/>
          <w:color w:val="auto"/>
          <w:spacing w:val="7"/>
          <w:sz w:val="24"/>
          <w:szCs w:val="24"/>
          <w:lang w:val="en-US" w:eastAsia="zh-CN"/>
        </w:rPr>
        <w:t>表9  建设项目直接排放入河排污口信息表</w:t>
      </w:r>
    </w:p>
    <w:tbl>
      <w:tblPr>
        <w:tblStyle w:val="129"/>
        <w:tblW w:w="501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2"/>
        <w:gridCol w:w="871"/>
        <w:gridCol w:w="1214"/>
        <w:gridCol w:w="3474"/>
        <w:gridCol w:w="1910"/>
        <w:gridCol w:w="3482"/>
        <w:gridCol w:w="2763"/>
      </w:tblGrid>
      <w:tr w14:paraId="28577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51"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616CCA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870" w:type="dxa"/>
            <w:vMerge w:val="restart"/>
            <w:tcBorders>
              <w:top w:val="single" w:color="000000" w:sz="4" w:space="0"/>
              <w:left w:val="single" w:color="000000" w:sz="4" w:space="0"/>
              <w:bottom w:val="single" w:color="000000" w:sz="4" w:space="0"/>
              <w:right w:val="single" w:color="000000" w:sz="4" w:space="0"/>
            </w:tcBorders>
            <w:noWrap w:val="0"/>
            <w:vAlign w:val="center"/>
          </w:tcPr>
          <w:p w14:paraId="6BFC68F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w:t>
            </w:r>
          </w:p>
          <w:p w14:paraId="5DE355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编号</w:t>
            </w:r>
          </w:p>
        </w:tc>
        <w:tc>
          <w:tcPr>
            <w:tcW w:w="1213" w:type="dxa"/>
            <w:vMerge w:val="restart"/>
            <w:tcBorders>
              <w:top w:val="single" w:color="000000" w:sz="4" w:space="0"/>
              <w:left w:val="single" w:color="000000" w:sz="4" w:space="0"/>
              <w:bottom w:val="single" w:color="000000" w:sz="4" w:space="0"/>
              <w:right w:val="single" w:color="000000" w:sz="4" w:space="0"/>
            </w:tcBorders>
            <w:noWrap w:val="0"/>
            <w:vAlign w:val="center"/>
          </w:tcPr>
          <w:p w14:paraId="0630C1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排放口名称</w:t>
            </w:r>
          </w:p>
        </w:tc>
        <w:tc>
          <w:tcPr>
            <w:tcW w:w="8860" w:type="dxa"/>
            <w:gridSpan w:val="3"/>
            <w:tcBorders>
              <w:top w:val="single" w:color="000000" w:sz="4" w:space="0"/>
              <w:left w:val="single" w:color="000000" w:sz="4" w:space="0"/>
              <w:bottom w:val="single" w:color="000000" w:sz="4" w:space="0"/>
              <w:right w:val="single" w:color="000000" w:sz="4" w:space="0"/>
            </w:tcBorders>
            <w:noWrap w:val="0"/>
            <w:vAlign w:val="center"/>
          </w:tcPr>
          <w:p w14:paraId="6E191C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入河排污口</w:t>
            </w:r>
          </w:p>
        </w:tc>
        <w:tc>
          <w:tcPr>
            <w:tcW w:w="2761" w:type="dxa"/>
            <w:vMerge w:val="restart"/>
            <w:tcBorders>
              <w:top w:val="single" w:color="000000" w:sz="4" w:space="0"/>
              <w:left w:val="single" w:color="000000" w:sz="4" w:space="0"/>
              <w:bottom w:val="single" w:color="000000" w:sz="4" w:space="0"/>
              <w:right w:val="single" w:color="000000" w:sz="4" w:space="0"/>
            </w:tcBorders>
            <w:noWrap w:val="0"/>
            <w:vAlign w:val="center"/>
          </w:tcPr>
          <w:p w14:paraId="4733408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其他信息</w:t>
            </w:r>
          </w:p>
        </w:tc>
      </w:tr>
      <w:tr w14:paraId="1C81E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51"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3E39E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B429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0180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3472" w:type="dxa"/>
            <w:tcBorders>
              <w:top w:val="single" w:color="000000" w:sz="4" w:space="0"/>
              <w:left w:val="single" w:color="000000" w:sz="4" w:space="0"/>
              <w:bottom w:val="single" w:color="000000" w:sz="4" w:space="0"/>
              <w:right w:val="single" w:color="000000" w:sz="4" w:space="0"/>
            </w:tcBorders>
            <w:noWrap w:val="0"/>
            <w:vAlign w:val="center"/>
          </w:tcPr>
          <w:p w14:paraId="22329CF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水体名称</w:t>
            </w:r>
          </w:p>
        </w:tc>
        <w:tc>
          <w:tcPr>
            <w:tcW w:w="1908" w:type="dxa"/>
            <w:tcBorders>
              <w:top w:val="single" w:color="000000" w:sz="4" w:space="0"/>
              <w:left w:val="single" w:color="000000" w:sz="4" w:space="0"/>
              <w:bottom w:val="single" w:color="000000" w:sz="4" w:space="0"/>
              <w:right w:val="single" w:color="000000" w:sz="4" w:space="0"/>
            </w:tcBorders>
            <w:noWrap w:val="0"/>
            <w:vAlign w:val="center"/>
          </w:tcPr>
          <w:p w14:paraId="08B1F8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编号</w:t>
            </w:r>
          </w:p>
        </w:tc>
        <w:tc>
          <w:tcPr>
            <w:tcW w:w="3480" w:type="dxa"/>
            <w:tcBorders>
              <w:top w:val="single" w:color="000000" w:sz="4" w:space="0"/>
              <w:left w:val="single" w:color="000000" w:sz="4" w:space="0"/>
              <w:bottom w:val="single" w:color="000000" w:sz="4" w:space="0"/>
              <w:right w:val="single" w:color="000000" w:sz="4" w:space="0"/>
            </w:tcBorders>
            <w:noWrap w:val="0"/>
            <w:vAlign w:val="center"/>
          </w:tcPr>
          <w:p w14:paraId="4771DF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批复文号</w:t>
            </w:r>
          </w:p>
        </w:tc>
        <w:tc>
          <w:tcPr>
            <w:tcW w:w="27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BF00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r>
      <w:tr w14:paraId="0933A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51" w:type="dxa"/>
            <w:tcBorders>
              <w:top w:val="single" w:color="000000" w:sz="4" w:space="0"/>
              <w:left w:val="single" w:color="000000" w:sz="4" w:space="0"/>
              <w:bottom w:val="single" w:color="000000" w:sz="4" w:space="0"/>
              <w:right w:val="single" w:color="000000" w:sz="4" w:space="0"/>
            </w:tcBorders>
            <w:noWrap w:val="0"/>
            <w:vAlign w:val="center"/>
          </w:tcPr>
          <w:p w14:paraId="69ABDF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065570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006990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472" w:type="dxa"/>
            <w:tcBorders>
              <w:top w:val="single" w:color="000000" w:sz="4" w:space="0"/>
              <w:left w:val="single" w:color="000000" w:sz="4" w:space="0"/>
              <w:bottom w:val="single" w:color="000000" w:sz="4" w:space="0"/>
              <w:right w:val="single" w:color="000000" w:sz="4" w:space="0"/>
            </w:tcBorders>
            <w:noWrap w:val="0"/>
            <w:vAlign w:val="center"/>
          </w:tcPr>
          <w:p w14:paraId="727773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908" w:type="dxa"/>
            <w:tcBorders>
              <w:top w:val="single" w:color="000000" w:sz="4" w:space="0"/>
              <w:left w:val="single" w:color="000000" w:sz="4" w:space="0"/>
              <w:bottom w:val="single" w:color="000000" w:sz="4" w:space="0"/>
              <w:right w:val="single" w:color="000000" w:sz="4" w:space="0"/>
            </w:tcBorders>
            <w:noWrap w:val="0"/>
            <w:vAlign w:val="center"/>
          </w:tcPr>
          <w:p w14:paraId="3316A2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3480" w:type="dxa"/>
            <w:tcBorders>
              <w:top w:val="single" w:color="000000" w:sz="4" w:space="0"/>
              <w:left w:val="single" w:color="000000" w:sz="4" w:space="0"/>
              <w:bottom w:val="single" w:color="000000" w:sz="4" w:space="0"/>
              <w:right w:val="single" w:color="000000" w:sz="4" w:space="0"/>
            </w:tcBorders>
            <w:noWrap w:val="0"/>
            <w:vAlign w:val="center"/>
          </w:tcPr>
          <w:p w14:paraId="50075C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761" w:type="dxa"/>
            <w:tcBorders>
              <w:top w:val="single" w:color="000000" w:sz="4" w:space="0"/>
              <w:left w:val="single" w:color="000000" w:sz="4" w:space="0"/>
              <w:bottom w:val="single" w:color="000000" w:sz="4" w:space="0"/>
              <w:right w:val="single" w:color="000000" w:sz="4" w:space="0"/>
            </w:tcBorders>
            <w:noWrap w:val="0"/>
            <w:vAlign w:val="center"/>
          </w:tcPr>
          <w:p w14:paraId="5AFA16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65AAAE6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val="en-US" w:eastAsia="zh-CN"/>
        </w:rPr>
      </w:pPr>
      <w:r>
        <w:rPr>
          <w:rFonts w:hint="eastAsia" w:ascii="Times New Roman" w:hAnsi="Times New Roman" w:eastAsia="宋体" w:cs="Times New Roman"/>
          <w:b/>
          <w:bCs/>
          <w:color w:val="auto"/>
          <w:spacing w:val="7"/>
          <w:sz w:val="24"/>
          <w:szCs w:val="24"/>
          <w:lang w:val="en-US" w:eastAsia="zh-CN"/>
        </w:rPr>
        <w:t>表10  建设项目雨水排放口基本情况表</w:t>
      </w:r>
    </w:p>
    <w:tbl>
      <w:tblPr>
        <w:tblStyle w:val="129"/>
        <w:tblW w:w="506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3"/>
        <w:gridCol w:w="647"/>
        <w:gridCol w:w="840"/>
        <w:gridCol w:w="1125"/>
        <w:gridCol w:w="1125"/>
        <w:gridCol w:w="1356"/>
        <w:gridCol w:w="1889"/>
        <w:gridCol w:w="862"/>
        <w:gridCol w:w="1026"/>
        <w:gridCol w:w="1028"/>
        <w:gridCol w:w="1756"/>
        <w:gridCol w:w="1563"/>
        <w:gridCol w:w="541"/>
      </w:tblGrid>
      <w:tr w14:paraId="415E4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32"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20B641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647" w:type="dxa"/>
            <w:vMerge w:val="restart"/>
            <w:tcBorders>
              <w:top w:val="single" w:color="000000" w:sz="4" w:space="0"/>
              <w:left w:val="single" w:color="000000" w:sz="4" w:space="0"/>
              <w:bottom w:val="single" w:color="000000" w:sz="4" w:space="0"/>
              <w:right w:val="single" w:color="000000" w:sz="4" w:space="0"/>
            </w:tcBorders>
            <w:noWrap w:val="0"/>
            <w:vAlign w:val="center"/>
          </w:tcPr>
          <w:p w14:paraId="0CF12B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排放口编号</w:t>
            </w:r>
          </w:p>
        </w:tc>
        <w:tc>
          <w:tcPr>
            <w:tcW w:w="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A7EC2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排放口名称</w:t>
            </w:r>
          </w:p>
        </w:tc>
        <w:tc>
          <w:tcPr>
            <w:tcW w:w="2248" w:type="dxa"/>
            <w:gridSpan w:val="2"/>
            <w:tcBorders>
              <w:top w:val="single" w:color="000000" w:sz="4" w:space="0"/>
              <w:left w:val="single" w:color="000000" w:sz="4" w:space="0"/>
              <w:bottom w:val="single" w:color="000000" w:sz="4" w:space="0"/>
              <w:right w:val="single" w:color="000000" w:sz="4" w:space="0"/>
            </w:tcBorders>
            <w:noWrap w:val="0"/>
            <w:vAlign w:val="center"/>
          </w:tcPr>
          <w:p w14:paraId="0525075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排放口地理坐标</w:t>
            </w:r>
          </w:p>
        </w:tc>
        <w:tc>
          <w:tcPr>
            <w:tcW w:w="1356" w:type="dxa"/>
            <w:vMerge w:val="restart"/>
            <w:tcBorders>
              <w:top w:val="single" w:color="000000" w:sz="4" w:space="0"/>
              <w:left w:val="single" w:color="000000" w:sz="4" w:space="0"/>
              <w:bottom w:val="single" w:color="000000" w:sz="4" w:space="0"/>
              <w:right w:val="single" w:color="000000" w:sz="4" w:space="0"/>
            </w:tcBorders>
            <w:noWrap w:val="0"/>
            <w:vAlign w:val="center"/>
          </w:tcPr>
          <w:p w14:paraId="32622E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排放去向</w:t>
            </w:r>
          </w:p>
        </w:tc>
        <w:tc>
          <w:tcPr>
            <w:tcW w:w="1888" w:type="dxa"/>
            <w:vMerge w:val="restart"/>
            <w:tcBorders>
              <w:top w:val="single" w:color="000000" w:sz="4" w:space="0"/>
              <w:left w:val="single" w:color="000000" w:sz="4" w:space="0"/>
              <w:bottom w:val="single" w:color="000000" w:sz="4" w:space="0"/>
              <w:right w:val="single" w:color="000000" w:sz="4" w:space="0"/>
            </w:tcBorders>
            <w:noWrap w:val="0"/>
            <w:vAlign w:val="center"/>
          </w:tcPr>
          <w:p w14:paraId="6FD465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排放规律</w:t>
            </w:r>
          </w:p>
        </w:tc>
        <w:tc>
          <w:tcPr>
            <w:tcW w:w="862" w:type="dxa"/>
            <w:vMerge w:val="restart"/>
            <w:tcBorders>
              <w:top w:val="single" w:color="000000" w:sz="4" w:space="0"/>
              <w:left w:val="single" w:color="000000" w:sz="4" w:space="0"/>
              <w:bottom w:val="single" w:color="000000" w:sz="4" w:space="0"/>
              <w:right w:val="single" w:color="000000" w:sz="4" w:space="0"/>
            </w:tcBorders>
            <w:noWrap w:val="0"/>
            <w:vAlign w:val="center"/>
          </w:tcPr>
          <w:p w14:paraId="3E0A9D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间歇排放时段</w:t>
            </w:r>
          </w:p>
        </w:tc>
        <w:tc>
          <w:tcPr>
            <w:tcW w:w="2052" w:type="dxa"/>
            <w:gridSpan w:val="2"/>
            <w:tcBorders>
              <w:top w:val="single" w:color="000000" w:sz="4" w:space="0"/>
              <w:left w:val="single" w:color="000000" w:sz="4" w:space="0"/>
              <w:bottom w:val="single" w:color="000000" w:sz="4" w:space="0"/>
              <w:right w:val="single" w:color="000000" w:sz="4" w:space="0"/>
            </w:tcBorders>
            <w:noWrap w:val="0"/>
            <w:vAlign w:val="center"/>
          </w:tcPr>
          <w:p w14:paraId="427475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受纳自然水体信息</w:t>
            </w:r>
          </w:p>
        </w:tc>
        <w:tc>
          <w:tcPr>
            <w:tcW w:w="3317" w:type="dxa"/>
            <w:gridSpan w:val="2"/>
            <w:tcBorders>
              <w:top w:val="single" w:color="000000" w:sz="4" w:space="0"/>
              <w:left w:val="single" w:color="000000" w:sz="4" w:space="0"/>
              <w:bottom w:val="single" w:color="000000" w:sz="4" w:space="0"/>
              <w:right w:val="single" w:color="000000" w:sz="4" w:space="0"/>
            </w:tcBorders>
            <w:noWrap w:val="0"/>
            <w:vAlign w:val="center"/>
          </w:tcPr>
          <w:p w14:paraId="277146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汇入受纳自然水体处地理坐标</w:t>
            </w:r>
          </w:p>
        </w:tc>
        <w:tc>
          <w:tcPr>
            <w:tcW w:w="541" w:type="dxa"/>
            <w:vMerge w:val="restart"/>
            <w:tcBorders>
              <w:top w:val="single" w:color="000000" w:sz="4" w:space="0"/>
              <w:left w:val="single" w:color="000000" w:sz="4" w:space="0"/>
              <w:bottom w:val="single" w:color="000000" w:sz="4" w:space="0"/>
              <w:right w:val="single" w:color="000000" w:sz="4" w:space="0"/>
            </w:tcBorders>
            <w:noWrap w:val="0"/>
            <w:vAlign w:val="center"/>
          </w:tcPr>
          <w:p w14:paraId="3D27F6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其他信息</w:t>
            </w:r>
          </w:p>
        </w:tc>
      </w:tr>
      <w:tr w14:paraId="13C1E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32"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10B3D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6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76C5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85E2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121" w:type="dxa"/>
            <w:tcBorders>
              <w:top w:val="single" w:color="000000" w:sz="4" w:space="0"/>
              <w:left w:val="single" w:color="000000" w:sz="4" w:space="0"/>
              <w:bottom w:val="single" w:color="000000" w:sz="4" w:space="0"/>
              <w:right w:val="single" w:color="000000" w:sz="4" w:space="0"/>
            </w:tcBorders>
            <w:noWrap w:val="0"/>
            <w:vAlign w:val="center"/>
          </w:tcPr>
          <w:p w14:paraId="7F3C38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14:paraId="3DC799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纬度</w:t>
            </w:r>
          </w:p>
        </w:tc>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F8A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8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ECC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E99E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015" w:type="dxa"/>
            <w:tcBorders>
              <w:top w:val="single" w:color="000000" w:sz="4" w:space="0"/>
              <w:left w:val="single" w:color="000000" w:sz="4" w:space="0"/>
              <w:bottom w:val="single" w:color="000000" w:sz="4" w:space="0"/>
              <w:right w:val="single" w:color="000000" w:sz="4" w:space="0"/>
            </w:tcBorders>
            <w:noWrap w:val="0"/>
            <w:vAlign w:val="center"/>
          </w:tcPr>
          <w:p w14:paraId="38F7DE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水体名称</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25939D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受纳水体功能目标</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08699F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经度</w:t>
            </w:r>
          </w:p>
        </w:tc>
        <w:tc>
          <w:tcPr>
            <w:tcW w:w="1575" w:type="dxa"/>
            <w:tcBorders>
              <w:top w:val="single" w:color="000000" w:sz="4" w:space="0"/>
              <w:left w:val="single" w:color="000000" w:sz="4" w:space="0"/>
              <w:bottom w:val="single" w:color="000000" w:sz="4" w:space="0"/>
              <w:right w:val="single" w:color="000000" w:sz="4" w:space="0"/>
            </w:tcBorders>
            <w:noWrap w:val="0"/>
            <w:vAlign w:val="center"/>
          </w:tcPr>
          <w:p w14:paraId="7CE77BE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纬度</w:t>
            </w:r>
          </w:p>
        </w:tc>
        <w:tc>
          <w:tcPr>
            <w:tcW w:w="5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572D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r>
      <w:tr w14:paraId="7B8DD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432" w:type="dxa"/>
            <w:tcBorders>
              <w:top w:val="single" w:color="000000" w:sz="4" w:space="0"/>
              <w:left w:val="single" w:color="000000" w:sz="4" w:space="0"/>
              <w:bottom w:val="single" w:color="000000" w:sz="4" w:space="0"/>
              <w:right w:val="single" w:color="000000" w:sz="4" w:space="0"/>
            </w:tcBorders>
            <w:noWrap w:val="0"/>
            <w:vAlign w:val="center"/>
          </w:tcPr>
          <w:p w14:paraId="43FE18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1</w:t>
            </w:r>
          </w:p>
        </w:tc>
        <w:tc>
          <w:tcPr>
            <w:tcW w:w="647" w:type="dxa"/>
            <w:tcBorders>
              <w:top w:val="single" w:color="000000" w:sz="4" w:space="0"/>
              <w:left w:val="single" w:color="000000" w:sz="4" w:space="0"/>
              <w:bottom w:val="single" w:color="000000" w:sz="4" w:space="0"/>
              <w:right w:val="single" w:color="000000" w:sz="4" w:space="0"/>
            </w:tcBorders>
            <w:noWrap w:val="0"/>
            <w:vAlign w:val="center"/>
          </w:tcPr>
          <w:p w14:paraId="049390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YS001</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FCDC6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eastAsia="zh-CN"/>
              </w:rPr>
            </w:pPr>
            <w:r>
              <w:rPr>
                <w:rFonts w:hint="eastAsia" w:ascii="Times New Roman" w:hAnsi="Times New Roman" w:eastAsia="宋体" w:cs="Times New Roman"/>
                <w:color w:val="auto"/>
                <w:spacing w:val="3"/>
                <w:position w:val="1"/>
                <w:sz w:val="21"/>
                <w:szCs w:val="21"/>
                <w:lang w:val="en-US" w:eastAsia="zh-CN"/>
              </w:rPr>
              <w:t>厂区雨水总排</w:t>
            </w:r>
            <w:r>
              <w:rPr>
                <w:rFonts w:hint="default" w:ascii="Times New Roman" w:hAnsi="Times New Roman" w:eastAsia="宋体" w:cs="Times New Roman"/>
                <w:color w:val="auto"/>
                <w:spacing w:val="3"/>
                <w:position w:val="1"/>
                <w:sz w:val="21"/>
                <w:szCs w:val="21"/>
                <w:lang w:eastAsia="zh-CN"/>
              </w:rPr>
              <w:t>口</w:t>
            </w:r>
          </w:p>
        </w:tc>
        <w:tc>
          <w:tcPr>
            <w:tcW w:w="1121" w:type="dxa"/>
            <w:tcBorders>
              <w:top w:val="single" w:color="000000" w:sz="4" w:space="0"/>
              <w:left w:val="single" w:color="000000" w:sz="4" w:space="0"/>
              <w:bottom w:val="single" w:color="000000" w:sz="4" w:space="0"/>
              <w:right w:val="single" w:color="000000" w:sz="4" w:space="0"/>
            </w:tcBorders>
            <w:noWrap w:val="0"/>
            <w:vAlign w:val="center"/>
          </w:tcPr>
          <w:p w14:paraId="093B567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118°27′11.</w:t>
            </w:r>
            <w:r>
              <w:rPr>
                <w:rFonts w:hint="eastAsia" w:ascii="Times New Roman" w:hAnsi="Times New Roman" w:eastAsia="宋体" w:cs="Times New Roman"/>
                <w:color w:val="auto"/>
                <w:spacing w:val="3"/>
                <w:position w:val="1"/>
                <w:sz w:val="21"/>
                <w:szCs w:val="21"/>
                <w:lang w:val="en-US" w:eastAsia="zh-CN"/>
              </w:rPr>
              <w:t>2</w:t>
            </w:r>
            <w:r>
              <w:rPr>
                <w:rFonts w:hint="default" w:ascii="Times New Roman" w:hAnsi="Times New Roman" w:eastAsia="宋体" w:cs="Times New Roman"/>
                <w:color w:val="auto"/>
                <w:spacing w:val="3"/>
                <w:position w:val="1"/>
                <w:sz w:val="21"/>
                <w:szCs w:val="21"/>
                <w:lang w:val="en-US" w:eastAsia="zh-CN"/>
              </w:rPr>
              <w:t>6</w:t>
            </w:r>
            <w:r>
              <w:rPr>
                <w:rFonts w:hint="eastAsia" w:ascii="Times New Roman" w:hAnsi="Times New Roman" w:eastAsia="宋体" w:cs="Times New Roman"/>
                <w:color w:val="auto"/>
                <w:spacing w:val="3"/>
                <w:position w:val="1"/>
                <w:sz w:val="21"/>
                <w:szCs w:val="21"/>
                <w:lang w:val="en-US" w:eastAsia="zh-CN"/>
              </w:rPr>
              <w:t>454</w:t>
            </w:r>
            <w:r>
              <w:rPr>
                <w:rFonts w:hint="default" w:ascii="Times New Roman" w:hAnsi="Times New Roman" w:eastAsia="宋体" w:cs="Times New Roman"/>
                <w:color w:val="auto"/>
                <w:spacing w:val="3"/>
                <w:position w:val="1"/>
                <w:sz w:val="21"/>
                <w:szCs w:val="21"/>
                <w:lang w:val="en-US" w:eastAsia="zh-CN"/>
              </w:rPr>
              <w:t>″</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14:paraId="7FC1AD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30°41′44.</w:t>
            </w:r>
            <w:r>
              <w:rPr>
                <w:rFonts w:hint="eastAsia" w:ascii="Times New Roman" w:hAnsi="Times New Roman" w:eastAsia="宋体" w:cs="Times New Roman"/>
                <w:color w:val="auto"/>
                <w:spacing w:val="3"/>
                <w:position w:val="1"/>
                <w:sz w:val="21"/>
                <w:szCs w:val="21"/>
                <w:lang w:val="en-US" w:eastAsia="zh-CN"/>
              </w:rPr>
              <w:t>8</w:t>
            </w:r>
            <w:r>
              <w:rPr>
                <w:rFonts w:hint="default" w:ascii="Times New Roman" w:hAnsi="Times New Roman" w:eastAsia="宋体" w:cs="Times New Roman"/>
                <w:color w:val="auto"/>
                <w:spacing w:val="3"/>
                <w:position w:val="1"/>
                <w:sz w:val="21"/>
                <w:szCs w:val="21"/>
                <w:lang w:val="en-US" w:eastAsia="zh-CN"/>
              </w:rPr>
              <w:t>02</w:t>
            </w:r>
            <w:r>
              <w:rPr>
                <w:rFonts w:hint="eastAsia" w:ascii="Times New Roman" w:hAnsi="Times New Roman" w:eastAsia="宋体" w:cs="Times New Roman"/>
                <w:color w:val="auto"/>
                <w:spacing w:val="3"/>
                <w:position w:val="1"/>
                <w:sz w:val="21"/>
                <w:szCs w:val="21"/>
                <w:lang w:val="en-US" w:eastAsia="zh-CN"/>
              </w:rPr>
              <w:t>17</w:t>
            </w:r>
            <w:r>
              <w:rPr>
                <w:rFonts w:hint="default" w:ascii="Times New Roman" w:hAnsi="Times New Roman" w:eastAsia="宋体" w:cs="Times New Roman"/>
                <w:color w:val="auto"/>
                <w:spacing w:val="3"/>
                <w:position w:val="1"/>
                <w:sz w:val="21"/>
                <w:szCs w:val="21"/>
                <w:lang w:val="en-US" w:eastAsia="zh-CN"/>
              </w:rPr>
              <w:t>″</w:t>
            </w:r>
          </w:p>
        </w:tc>
        <w:tc>
          <w:tcPr>
            <w:tcW w:w="1356" w:type="dxa"/>
            <w:tcBorders>
              <w:top w:val="single" w:color="000000" w:sz="4" w:space="0"/>
              <w:left w:val="single" w:color="000000" w:sz="4" w:space="0"/>
              <w:bottom w:val="single" w:color="000000" w:sz="4" w:space="0"/>
              <w:right w:val="single" w:color="000000" w:sz="4" w:space="0"/>
            </w:tcBorders>
            <w:noWrap w:val="0"/>
            <w:vAlign w:val="center"/>
          </w:tcPr>
          <w:p w14:paraId="0B5A60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进入城市下水道，再进入江河湖库</w:t>
            </w:r>
          </w:p>
        </w:tc>
        <w:tc>
          <w:tcPr>
            <w:tcW w:w="1888" w:type="dxa"/>
            <w:tcBorders>
              <w:top w:val="single" w:color="000000" w:sz="4" w:space="0"/>
              <w:left w:val="single" w:color="000000" w:sz="4" w:space="0"/>
              <w:bottom w:val="single" w:color="000000" w:sz="4" w:space="0"/>
              <w:right w:val="single" w:color="000000" w:sz="4" w:space="0"/>
            </w:tcBorders>
            <w:noWrap w:val="0"/>
            <w:vAlign w:val="center"/>
          </w:tcPr>
          <w:p w14:paraId="79A557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间断排放，排放期间流量不稳定，但有周期性规律</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05C9CF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雨水</w:t>
            </w:r>
          </w:p>
          <w:p w14:paraId="607E4E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季节</w:t>
            </w:r>
          </w:p>
        </w:tc>
        <w:tc>
          <w:tcPr>
            <w:tcW w:w="1015" w:type="dxa"/>
            <w:tcBorders>
              <w:top w:val="single" w:color="000000" w:sz="4" w:space="0"/>
              <w:left w:val="single" w:color="000000" w:sz="4" w:space="0"/>
              <w:bottom w:val="single" w:color="000000" w:sz="4" w:space="0"/>
              <w:right w:val="single" w:color="000000" w:sz="4" w:space="0"/>
            </w:tcBorders>
            <w:noWrap w:val="0"/>
            <w:vAlign w:val="center"/>
          </w:tcPr>
          <w:p w14:paraId="5D774BB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总干渠</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0DA05D1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Ⅲ</w:t>
            </w:r>
            <w:r>
              <w:rPr>
                <w:rFonts w:hint="eastAsia" w:ascii="Times New Roman" w:hAnsi="Times New Roman" w:eastAsia="宋体" w:cs="Times New Roman"/>
                <w:color w:val="auto"/>
                <w:spacing w:val="3"/>
                <w:position w:val="1"/>
                <w:sz w:val="21"/>
                <w:szCs w:val="21"/>
                <w:lang w:val="en-US" w:eastAsia="zh-CN"/>
              </w:rPr>
              <w:t>类</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7F11C6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575" w:type="dxa"/>
            <w:tcBorders>
              <w:top w:val="single" w:color="000000" w:sz="4" w:space="0"/>
              <w:left w:val="single" w:color="000000" w:sz="4" w:space="0"/>
              <w:bottom w:val="single" w:color="000000" w:sz="4" w:space="0"/>
              <w:right w:val="single" w:color="000000" w:sz="4" w:space="0"/>
            </w:tcBorders>
            <w:noWrap w:val="0"/>
            <w:vAlign w:val="center"/>
          </w:tcPr>
          <w:p w14:paraId="30A2B5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45F48D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14E0C92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val="en-US" w:eastAsia="zh-CN"/>
        </w:rPr>
      </w:pPr>
      <w:r>
        <w:rPr>
          <w:rFonts w:hint="eastAsia" w:ascii="Times New Roman" w:hAnsi="Times New Roman" w:eastAsia="宋体" w:cs="Times New Roman"/>
          <w:b/>
          <w:bCs/>
          <w:color w:val="auto"/>
          <w:spacing w:val="7"/>
          <w:sz w:val="24"/>
          <w:szCs w:val="24"/>
          <w:lang w:val="en-US" w:eastAsia="zh-CN"/>
        </w:rPr>
        <w:t>表11  建设项目废水间接排放口基本情况表</w:t>
      </w:r>
    </w:p>
    <w:tbl>
      <w:tblPr>
        <w:tblStyle w:val="1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0"/>
        <w:gridCol w:w="793"/>
        <w:gridCol w:w="1099"/>
        <w:gridCol w:w="888"/>
        <w:gridCol w:w="920"/>
        <w:gridCol w:w="1007"/>
        <w:gridCol w:w="1430"/>
        <w:gridCol w:w="797"/>
        <w:gridCol w:w="911"/>
        <w:gridCol w:w="1069"/>
        <w:gridCol w:w="1485"/>
        <w:gridCol w:w="1985"/>
        <w:gridCol w:w="1201"/>
      </w:tblGrid>
      <w:tr w14:paraId="4845D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restart"/>
            <w:tcBorders>
              <w:top w:val="single" w:color="000000" w:sz="4" w:space="0"/>
              <w:left w:val="single" w:color="000000" w:sz="4" w:space="0"/>
              <w:bottom w:val="single" w:color="000000" w:sz="4" w:space="0"/>
            </w:tcBorders>
            <w:noWrap w:val="0"/>
            <w:textDirection w:val="tbRlV"/>
            <w:vAlign w:val="center"/>
          </w:tcPr>
          <w:p w14:paraId="2C4370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819" w:type="dxa"/>
            <w:vMerge w:val="restart"/>
            <w:tcBorders>
              <w:top w:val="single" w:color="000000" w:sz="4" w:space="0"/>
              <w:bottom w:val="single" w:color="000000" w:sz="4" w:space="0"/>
            </w:tcBorders>
            <w:noWrap w:val="0"/>
            <w:vAlign w:val="center"/>
          </w:tcPr>
          <w:p w14:paraId="073631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排放口编号</w:t>
            </w:r>
          </w:p>
        </w:tc>
        <w:tc>
          <w:tcPr>
            <w:tcW w:w="1135" w:type="dxa"/>
            <w:vMerge w:val="restart"/>
            <w:tcBorders>
              <w:top w:val="single" w:color="000000" w:sz="4" w:space="0"/>
              <w:bottom w:val="single" w:color="000000" w:sz="4" w:space="0"/>
            </w:tcBorders>
            <w:noWrap w:val="0"/>
            <w:vAlign w:val="center"/>
          </w:tcPr>
          <w:p w14:paraId="49B9D3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排放口名称</w:t>
            </w:r>
          </w:p>
        </w:tc>
        <w:tc>
          <w:tcPr>
            <w:tcW w:w="1867" w:type="dxa"/>
            <w:gridSpan w:val="2"/>
            <w:tcBorders>
              <w:top w:val="single" w:color="000000" w:sz="4" w:space="0"/>
              <w:bottom w:val="single" w:color="000000" w:sz="4" w:space="0"/>
            </w:tcBorders>
            <w:noWrap w:val="0"/>
            <w:vAlign w:val="center"/>
          </w:tcPr>
          <w:p w14:paraId="6203AE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排放口地理坐标</w:t>
            </w:r>
          </w:p>
        </w:tc>
        <w:tc>
          <w:tcPr>
            <w:tcW w:w="1040" w:type="dxa"/>
            <w:vMerge w:val="restart"/>
            <w:tcBorders>
              <w:top w:val="single" w:color="000000" w:sz="4" w:space="0"/>
              <w:bottom w:val="single" w:color="000000" w:sz="4" w:space="0"/>
            </w:tcBorders>
            <w:noWrap w:val="0"/>
            <w:vAlign w:val="center"/>
          </w:tcPr>
          <w:p w14:paraId="646036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排放去向</w:t>
            </w:r>
          </w:p>
        </w:tc>
        <w:tc>
          <w:tcPr>
            <w:tcW w:w="1477" w:type="dxa"/>
            <w:vMerge w:val="restart"/>
            <w:tcBorders>
              <w:top w:val="single" w:color="000000" w:sz="4" w:space="0"/>
              <w:bottom w:val="single" w:color="000000" w:sz="4" w:space="0"/>
            </w:tcBorders>
            <w:noWrap w:val="0"/>
            <w:vAlign w:val="center"/>
          </w:tcPr>
          <w:p w14:paraId="005AB6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排放规律</w:t>
            </w:r>
          </w:p>
        </w:tc>
        <w:tc>
          <w:tcPr>
            <w:tcW w:w="823" w:type="dxa"/>
            <w:vMerge w:val="restart"/>
            <w:tcBorders>
              <w:top w:val="single" w:color="000000" w:sz="4" w:space="0"/>
              <w:bottom w:val="single" w:color="000000" w:sz="4" w:space="0"/>
            </w:tcBorders>
            <w:noWrap w:val="0"/>
            <w:vAlign w:val="center"/>
          </w:tcPr>
          <w:p w14:paraId="004316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间歇排放时段</w:t>
            </w:r>
          </w:p>
        </w:tc>
        <w:tc>
          <w:tcPr>
            <w:tcW w:w="5628" w:type="dxa"/>
            <w:gridSpan w:val="4"/>
            <w:tcBorders>
              <w:top w:val="single" w:color="000000" w:sz="4" w:space="0"/>
              <w:bottom w:val="single" w:color="000000" w:sz="4" w:space="0"/>
            </w:tcBorders>
            <w:noWrap w:val="0"/>
            <w:vAlign w:val="center"/>
          </w:tcPr>
          <w:p w14:paraId="019DBB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受纳污水处理厂信息</w:t>
            </w:r>
          </w:p>
        </w:tc>
        <w:tc>
          <w:tcPr>
            <w:tcW w:w="1238" w:type="dxa"/>
            <w:vMerge w:val="restart"/>
            <w:tcBorders>
              <w:top w:val="single" w:color="000000" w:sz="4" w:space="0"/>
              <w:bottom w:val="single" w:color="000000" w:sz="4" w:space="0"/>
              <w:right w:val="single" w:color="000000" w:sz="4" w:space="0"/>
            </w:tcBorders>
            <w:noWrap w:val="0"/>
            <w:vAlign w:val="center"/>
          </w:tcPr>
          <w:p w14:paraId="0BCA40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其他信息</w:t>
            </w:r>
          </w:p>
        </w:tc>
      </w:tr>
      <w:tr w14:paraId="26B50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continue"/>
            <w:tcBorders>
              <w:top w:val="single" w:color="000000" w:sz="4" w:space="0"/>
              <w:left w:val="single" w:color="000000" w:sz="4" w:space="0"/>
              <w:bottom w:val="single" w:color="000000" w:sz="4" w:space="0"/>
            </w:tcBorders>
            <w:noWrap w:val="0"/>
            <w:textDirection w:val="tbRlV"/>
            <w:vAlign w:val="center"/>
          </w:tcPr>
          <w:p w14:paraId="796DB8E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19" w:type="dxa"/>
            <w:vMerge w:val="continue"/>
            <w:tcBorders>
              <w:top w:val="single" w:color="000000" w:sz="4" w:space="0"/>
              <w:bottom w:val="single" w:color="000000" w:sz="4" w:space="0"/>
            </w:tcBorders>
            <w:noWrap w:val="0"/>
            <w:vAlign w:val="center"/>
          </w:tcPr>
          <w:p w14:paraId="46C2F8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135" w:type="dxa"/>
            <w:vMerge w:val="continue"/>
            <w:tcBorders>
              <w:top w:val="single" w:color="000000" w:sz="4" w:space="0"/>
              <w:bottom w:val="single" w:color="000000" w:sz="4" w:space="0"/>
            </w:tcBorders>
            <w:noWrap w:val="0"/>
            <w:vAlign w:val="center"/>
          </w:tcPr>
          <w:p w14:paraId="336BC4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917" w:type="dxa"/>
            <w:tcBorders>
              <w:top w:val="single" w:color="000000" w:sz="4" w:space="0"/>
              <w:bottom w:val="single" w:color="000000" w:sz="4" w:space="0"/>
            </w:tcBorders>
            <w:noWrap w:val="0"/>
            <w:vAlign w:val="center"/>
          </w:tcPr>
          <w:p w14:paraId="2995B4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经度</w:t>
            </w:r>
          </w:p>
        </w:tc>
        <w:tc>
          <w:tcPr>
            <w:tcW w:w="950" w:type="dxa"/>
            <w:tcBorders>
              <w:top w:val="single" w:color="000000" w:sz="4" w:space="0"/>
              <w:bottom w:val="single" w:color="000000" w:sz="4" w:space="0"/>
            </w:tcBorders>
            <w:noWrap w:val="0"/>
            <w:vAlign w:val="center"/>
          </w:tcPr>
          <w:p w14:paraId="3230E75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纬度</w:t>
            </w:r>
          </w:p>
        </w:tc>
        <w:tc>
          <w:tcPr>
            <w:tcW w:w="1040" w:type="dxa"/>
            <w:vMerge w:val="continue"/>
            <w:tcBorders>
              <w:top w:val="single" w:color="000000" w:sz="4" w:space="0"/>
              <w:bottom w:val="single" w:color="000000" w:sz="4" w:space="0"/>
            </w:tcBorders>
            <w:noWrap w:val="0"/>
            <w:vAlign w:val="center"/>
          </w:tcPr>
          <w:p w14:paraId="5C57C0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1477" w:type="dxa"/>
            <w:vMerge w:val="continue"/>
            <w:tcBorders>
              <w:top w:val="single" w:color="000000" w:sz="4" w:space="0"/>
              <w:bottom w:val="single" w:color="000000" w:sz="4" w:space="0"/>
            </w:tcBorders>
            <w:noWrap w:val="0"/>
            <w:vAlign w:val="center"/>
          </w:tcPr>
          <w:p w14:paraId="3C8DE1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823" w:type="dxa"/>
            <w:vMerge w:val="continue"/>
            <w:tcBorders>
              <w:top w:val="single" w:color="000000" w:sz="4" w:space="0"/>
              <w:bottom w:val="single" w:color="000000" w:sz="4" w:space="0"/>
            </w:tcBorders>
            <w:noWrap w:val="0"/>
            <w:vAlign w:val="center"/>
          </w:tcPr>
          <w:p w14:paraId="7AA936B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941" w:type="dxa"/>
            <w:tcBorders>
              <w:top w:val="single" w:color="000000" w:sz="4" w:space="0"/>
              <w:bottom w:val="single" w:color="000000" w:sz="4" w:space="0"/>
            </w:tcBorders>
            <w:noWrap w:val="0"/>
            <w:vAlign w:val="center"/>
          </w:tcPr>
          <w:p w14:paraId="3E81C9C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污水处理厂名称</w:t>
            </w:r>
          </w:p>
        </w:tc>
        <w:tc>
          <w:tcPr>
            <w:tcW w:w="1104" w:type="dxa"/>
            <w:tcBorders>
              <w:top w:val="single" w:color="000000" w:sz="4" w:space="0"/>
              <w:bottom w:val="single" w:color="000000" w:sz="4" w:space="0"/>
            </w:tcBorders>
            <w:noWrap w:val="0"/>
            <w:vAlign w:val="center"/>
          </w:tcPr>
          <w:p w14:paraId="08E1F3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污染物种类</w:t>
            </w:r>
          </w:p>
        </w:tc>
        <w:tc>
          <w:tcPr>
            <w:tcW w:w="1534" w:type="dxa"/>
            <w:tcBorders>
              <w:top w:val="single" w:color="000000" w:sz="4" w:space="0"/>
              <w:bottom w:val="single" w:color="000000" w:sz="4" w:space="0"/>
            </w:tcBorders>
            <w:noWrap w:val="0"/>
            <w:vAlign w:val="center"/>
          </w:tcPr>
          <w:p w14:paraId="1C1A720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排水协议规定的浓度限值</w:t>
            </w:r>
          </w:p>
        </w:tc>
        <w:tc>
          <w:tcPr>
            <w:tcW w:w="2049" w:type="dxa"/>
            <w:tcBorders>
              <w:top w:val="single" w:color="000000" w:sz="4" w:space="0"/>
              <w:bottom w:val="single" w:color="000000" w:sz="4" w:space="0"/>
            </w:tcBorders>
            <w:noWrap w:val="0"/>
            <w:vAlign w:val="center"/>
          </w:tcPr>
          <w:p w14:paraId="0F7F69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国家或地方污染物排放标准浓度限值</w:t>
            </w:r>
          </w:p>
        </w:tc>
        <w:tc>
          <w:tcPr>
            <w:tcW w:w="1238" w:type="dxa"/>
            <w:vMerge w:val="continue"/>
            <w:tcBorders>
              <w:top w:val="single" w:color="000000" w:sz="4" w:space="0"/>
              <w:bottom w:val="single" w:color="000000" w:sz="4" w:space="0"/>
              <w:right w:val="single" w:color="000000" w:sz="4" w:space="0"/>
            </w:tcBorders>
            <w:noWrap w:val="0"/>
            <w:vAlign w:val="center"/>
          </w:tcPr>
          <w:p w14:paraId="76D5A0F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r>
      <w:tr w14:paraId="785B9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restart"/>
            <w:tcBorders>
              <w:top w:val="single" w:color="000000" w:sz="4" w:space="0"/>
              <w:left w:val="single" w:color="000000" w:sz="4" w:space="0"/>
              <w:bottom w:val="single" w:color="000000" w:sz="4" w:space="0"/>
            </w:tcBorders>
            <w:noWrap w:val="0"/>
            <w:vAlign w:val="center"/>
          </w:tcPr>
          <w:p w14:paraId="4486F1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1</w:t>
            </w:r>
          </w:p>
        </w:tc>
        <w:tc>
          <w:tcPr>
            <w:tcW w:w="819" w:type="dxa"/>
            <w:vMerge w:val="restart"/>
            <w:tcBorders>
              <w:top w:val="single" w:color="000000" w:sz="4" w:space="0"/>
              <w:bottom w:val="single" w:color="000000" w:sz="4" w:space="0"/>
            </w:tcBorders>
            <w:noWrap w:val="0"/>
            <w:vAlign w:val="center"/>
          </w:tcPr>
          <w:p w14:paraId="2699247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DW010</w:t>
            </w:r>
          </w:p>
        </w:tc>
        <w:tc>
          <w:tcPr>
            <w:tcW w:w="1135" w:type="dxa"/>
            <w:vMerge w:val="restart"/>
            <w:tcBorders>
              <w:top w:val="single" w:color="000000" w:sz="4" w:space="0"/>
              <w:bottom w:val="single" w:color="000000" w:sz="4" w:space="0"/>
            </w:tcBorders>
            <w:noWrap w:val="0"/>
            <w:vAlign w:val="center"/>
          </w:tcPr>
          <w:p w14:paraId="6008CE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z w:val="21"/>
                <w:szCs w:val="21"/>
                <w:lang w:val="en-US" w:eastAsia="zh-CN"/>
              </w:rPr>
              <w:t>新隆机械厂废水纳管口</w:t>
            </w:r>
          </w:p>
        </w:tc>
        <w:tc>
          <w:tcPr>
            <w:tcW w:w="917" w:type="dxa"/>
            <w:vMerge w:val="restart"/>
            <w:tcBorders>
              <w:top w:val="single" w:color="000000" w:sz="4" w:space="0"/>
              <w:bottom w:val="single" w:color="000000" w:sz="4" w:space="0"/>
            </w:tcBorders>
            <w:noWrap w:val="0"/>
            <w:vAlign w:val="center"/>
          </w:tcPr>
          <w:p w14:paraId="7953A43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118°27′11.16595″</w:t>
            </w:r>
          </w:p>
        </w:tc>
        <w:tc>
          <w:tcPr>
            <w:tcW w:w="950" w:type="dxa"/>
            <w:vMerge w:val="restart"/>
            <w:tcBorders>
              <w:top w:val="single" w:color="000000" w:sz="4" w:space="0"/>
              <w:bottom w:val="single" w:color="000000" w:sz="4" w:space="0"/>
            </w:tcBorders>
            <w:noWrap w:val="0"/>
            <w:vAlign w:val="center"/>
          </w:tcPr>
          <w:p w14:paraId="3F784A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30°41′44.90238″</w:t>
            </w:r>
          </w:p>
        </w:tc>
        <w:tc>
          <w:tcPr>
            <w:tcW w:w="1040" w:type="dxa"/>
            <w:vMerge w:val="restart"/>
            <w:tcBorders>
              <w:top w:val="single" w:color="000000" w:sz="4" w:space="0"/>
              <w:bottom w:val="single" w:color="000000" w:sz="4" w:space="0"/>
            </w:tcBorders>
            <w:noWrap w:val="0"/>
            <w:vAlign w:val="center"/>
          </w:tcPr>
          <w:p w14:paraId="66C775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bCs/>
                <w:color w:val="auto"/>
                <w:sz w:val="21"/>
                <w:szCs w:val="21"/>
                <w:vertAlign w:val="baseline"/>
                <w:lang w:val="en-US" w:eastAsia="zh-CN"/>
              </w:rPr>
              <w:t>新河镇污水处理厂</w:t>
            </w:r>
          </w:p>
        </w:tc>
        <w:tc>
          <w:tcPr>
            <w:tcW w:w="1477" w:type="dxa"/>
            <w:vMerge w:val="restart"/>
            <w:tcBorders>
              <w:top w:val="single" w:color="000000" w:sz="4" w:space="0"/>
              <w:bottom w:val="single" w:color="000000" w:sz="4" w:space="0"/>
            </w:tcBorders>
            <w:noWrap w:val="0"/>
            <w:vAlign w:val="center"/>
          </w:tcPr>
          <w:p w14:paraId="2528C18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cs="Times New Roman"/>
                <w:color w:val="auto"/>
                <w:kern w:val="0"/>
                <w:sz w:val="21"/>
                <w:szCs w:val="21"/>
              </w:rPr>
              <w:t>间断排放，排放期间流量不稳定，但有周期性规律</w:t>
            </w:r>
          </w:p>
        </w:tc>
        <w:tc>
          <w:tcPr>
            <w:tcW w:w="823" w:type="dxa"/>
            <w:vMerge w:val="restart"/>
            <w:tcBorders>
              <w:top w:val="single" w:color="000000" w:sz="4" w:space="0"/>
              <w:bottom w:val="single" w:color="000000" w:sz="4" w:space="0"/>
            </w:tcBorders>
            <w:noWrap w:val="0"/>
            <w:vAlign w:val="center"/>
          </w:tcPr>
          <w:p w14:paraId="2E300F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941" w:type="dxa"/>
            <w:vMerge w:val="restart"/>
            <w:tcBorders>
              <w:top w:val="single" w:color="000000" w:sz="4" w:space="0"/>
              <w:bottom w:val="single" w:color="000000" w:sz="4" w:space="0"/>
            </w:tcBorders>
            <w:noWrap w:val="0"/>
            <w:vAlign w:val="center"/>
          </w:tcPr>
          <w:p w14:paraId="56901A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bCs/>
                <w:color w:val="auto"/>
                <w:sz w:val="21"/>
                <w:szCs w:val="21"/>
                <w:vertAlign w:val="baseline"/>
                <w:lang w:val="en-US" w:eastAsia="zh-CN"/>
              </w:rPr>
              <w:t>新河镇污水处理厂</w:t>
            </w:r>
          </w:p>
        </w:tc>
        <w:tc>
          <w:tcPr>
            <w:tcW w:w="1104" w:type="dxa"/>
            <w:tcBorders>
              <w:top w:val="single" w:color="000000" w:sz="4" w:space="0"/>
              <w:bottom w:val="single" w:color="000000" w:sz="4" w:space="0"/>
            </w:tcBorders>
            <w:noWrap w:val="0"/>
            <w:vAlign w:val="center"/>
          </w:tcPr>
          <w:p w14:paraId="4C1EBBF7">
            <w:pPr>
              <w:spacing w:line="240" w:lineRule="auto"/>
              <w:jc w:val="center"/>
              <w:rPr>
                <w:rFonts w:hint="default"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eastAsia="宋体" w:cs="Times New Roman"/>
                <w:b w:val="0"/>
                <w:bCs/>
                <w:color w:val="auto"/>
                <w:sz w:val="21"/>
                <w:szCs w:val="21"/>
                <w:vertAlign w:val="baseline"/>
                <w:lang w:val="en-US" w:eastAsia="zh-CN"/>
              </w:rPr>
              <w:t>pH</w:t>
            </w:r>
          </w:p>
        </w:tc>
        <w:tc>
          <w:tcPr>
            <w:tcW w:w="1534" w:type="dxa"/>
            <w:tcBorders>
              <w:top w:val="single" w:color="000000" w:sz="4" w:space="0"/>
              <w:bottom w:val="single" w:color="000000" w:sz="4" w:space="0"/>
            </w:tcBorders>
            <w:noWrap w:val="0"/>
            <w:vAlign w:val="center"/>
          </w:tcPr>
          <w:p w14:paraId="076EB737">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Cs/>
                <w:color w:val="auto"/>
                <w:sz w:val="21"/>
                <w:szCs w:val="21"/>
                <w:vertAlign w:val="baseline"/>
                <w:lang w:val="en-US" w:eastAsia="zh-CN"/>
              </w:rPr>
              <w:t>6-9</w:t>
            </w:r>
          </w:p>
        </w:tc>
        <w:tc>
          <w:tcPr>
            <w:tcW w:w="2049" w:type="dxa"/>
            <w:tcBorders>
              <w:top w:val="single" w:color="000000" w:sz="4" w:space="0"/>
              <w:bottom w:val="single" w:color="000000" w:sz="4" w:space="0"/>
            </w:tcBorders>
            <w:noWrap w:val="0"/>
            <w:vAlign w:val="center"/>
          </w:tcPr>
          <w:p w14:paraId="1D36886D">
            <w:pPr>
              <w:spacing w:line="240" w:lineRule="auto"/>
              <w:jc w:val="center"/>
              <w:rPr>
                <w:rFonts w:hint="default" w:ascii="Times New Roman" w:hAnsi="Times New Roman" w:eastAsia="宋体" w:cs="Times New Roman"/>
                <w:bCs/>
                <w:color w:val="auto"/>
                <w:kern w:val="2"/>
                <w:sz w:val="21"/>
                <w:szCs w:val="21"/>
                <w:vertAlign w:val="baseline"/>
                <w:lang w:val="en-US" w:eastAsia="zh-CN" w:bidi="ar-SA"/>
              </w:rPr>
            </w:pPr>
            <w:r>
              <w:rPr>
                <w:rFonts w:hint="eastAsia" w:ascii="Times New Roman" w:hAnsi="Times New Roman" w:eastAsia="宋体" w:cs="Times New Roman"/>
                <w:bCs/>
                <w:color w:val="auto"/>
                <w:sz w:val="21"/>
                <w:szCs w:val="21"/>
                <w:vertAlign w:val="baseline"/>
                <w:lang w:val="en-US" w:eastAsia="zh-CN"/>
              </w:rPr>
              <w:t>6-9</w:t>
            </w:r>
          </w:p>
        </w:tc>
        <w:tc>
          <w:tcPr>
            <w:tcW w:w="1238" w:type="dxa"/>
            <w:vMerge w:val="restart"/>
            <w:tcBorders>
              <w:top w:val="single" w:color="000000" w:sz="4" w:space="0"/>
              <w:bottom w:val="single" w:color="000000" w:sz="4" w:space="0"/>
              <w:right w:val="single" w:color="000000" w:sz="4" w:space="0"/>
            </w:tcBorders>
            <w:noWrap w:val="0"/>
            <w:vAlign w:val="center"/>
          </w:tcPr>
          <w:p w14:paraId="6666C7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30F52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continue"/>
            <w:tcBorders>
              <w:top w:val="single" w:color="000000" w:sz="4" w:space="0"/>
              <w:left w:val="single" w:color="000000" w:sz="4" w:space="0"/>
              <w:bottom w:val="single" w:color="000000" w:sz="4" w:space="0"/>
            </w:tcBorders>
            <w:noWrap w:val="0"/>
            <w:vAlign w:val="center"/>
          </w:tcPr>
          <w:p w14:paraId="4E599D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819" w:type="dxa"/>
            <w:vMerge w:val="continue"/>
            <w:tcBorders>
              <w:top w:val="single" w:color="000000" w:sz="4" w:space="0"/>
              <w:bottom w:val="single" w:color="000000" w:sz="4" w:space="0"/>
            </w:tcBorders>
            <w:noWrap w:val="0"/>
            <w:vAlign w:val="center"/>
          </w:tcPr>
          <w:p w14:paraId="0EE180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1135" w:type="dxa"/>
            <w:vMerge w:val="continue"/>
            <w:tcBorders>
              <w:top w:val="single" w:color="000000" w:sz="4" w:space="0"/>
              <w:bottom w:val="single" w:color="000000" w:sz="4" w:space="0"/>
            </w:tcBorders>
            <w:noWrap w:val="0"/>
            <w:vAlign w:val="center"/>
          </w:tcPr>
          <w:p w14:paraId="38DEC2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917" w:type="dxa"/>
            <w:vMerge w:val="continue"/>
            <w:tcBorders>
              <w:top w:val="single" w:color="000000" w:sz="4" w:space="0"/>
              <w:bottom w:val="single" w:color="000000" w:sz="4" w:space="0"/>
            </w:tcBorders>
            <w:noWrap w:val="0"/>
            <w:vAlign w:val="center"/>
          </w:tcPr>
          <w:p w14:paraId="1FB16B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950" w:type="dxa"/>
            <w:vMerge w:val="continue"/>
            <w:tcBorders>
              <w:top w:val="single" w:color="000000" w:sz="4" w:space="0"/>
              <w:bottom w:val="single" w:color="000000" w:sz="4" w:space="0"/>
            </w:tcBorders>
            <w:noWrap w:val="0"/>
            <w:vAlign w:val="center"/>
          </w:tcPr>
          <w:p w14:paraId="632699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1040" w:type="dxa"/>
            <w:vMerge w:val="continue"/>
            <w:tcBorders>
              <w:top w:val="single" w:color="000000" w:sz="4" w:space="0"/>
              <w:bottom w:val="single" w:color="000000" w:sz="4" w:space="0"/>
            </w:tcBorders>
            <w:noWrap w:val="0"/>
            <w:vAlign w:val="center"/>
          </w:tcPr>
          <w:p w14:paraId="379F265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1477" w:type="dxa"/>
            <w:vMerge w:val="continue"/>
            <w:tcBorders>
              <w:top w:val="single" w:color="000000" w:sz="4" w:space="0"/>
              <w:bottom w:val="single" w:color="000000" w:sz="4" w:space="0"/>
            </w:tcBorders>
            <w:noWrap w:val="0"/>
            <w:vAlign w:val="center"/>
          </w:tcPr>
          <w:p w14:paraId="3C4BE3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823" w:type="dxa"/>
            <w:vMerge w:val="continue"/>
            <w:tcBorders>
              <w:top w:val="single" w:color="000000" w:sz="4" w:space="0"/>
              <w:bottom w:val="single" w:color="000000" w:sz="4" w:space="0"/>
            </w:tcBorders>
            <w:noWrap w:val="0"/>
            <w:vAlign w:val="center"/>
          </w:tcPr>
          <w:p w14:paraId="7E100B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941" w:type="dxa"/>
            <w:vMerge w:val="continue"/>
            <w:tcBorders>
              <w:top w:val="single" w:color="000000" w:sz="4" w:space="0"/>
              <w:bottom w:val="single" w:color="000000" w:sz="4" w:space="0"/>
            </w:tcBorders>
            <w:noWrap w:val="0"/>
            <w:vAlign w:val="center"/>
          </w:tcPr>
          <w:p w14:paraId="26015E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1104" w:type="dxa"/>
            <w:tcBorders>
              <w:top w:val="single" w:color="000000" w:sz="4" w:space="0"/>
              <w:bottom w:val="single" w:color="000000" w:sz="4" w:space="0"/>
            </w:tcBorders>
            <w:noWrap w:val="0"/>
            <w:vAlign w:val="center"/>
          </w:tcPr>
          <w:p w14:paraId="7ACEC870">
            <w:pPr>
              <w:spacing w:line="240" w:lineRule="auto"/>
              <w:jc w:val="center"/>
              <w:rPr>
                <w:rFonts w:hint="default" w:ascii="Times New Roman" w:hAnsi="Times New Roman" w:eastAsia="宋体" w:cs="Times New Roman"/>
                <w:b w:val="0"/>
                <w:bCs/>
                <w:color w:val="auto"/>
                <w:kern w:val="2"/>
                <w:sz w:val="21"/>
                <w:szCs w:val="21"/>
                <w:vertAlign w:val="subscript"/>
                <w:lang w:val="en-US" w:eastAsia="zh-CN" w:bidi="ar-SA"/>
              </w:rPr>
            </w:pPr>
            <w:r>
              <w:rPr>
                <w:rFonts w:hint="eastAsia" w:ascii="Times New Roman" w:hAnsi="Times New Roman" w:eastAsia="宋体" w:cs="Times New Roman"/>
                <w:b w:val="0"/>
                <w:bCs/>
                <w:color w:val="auto"/>
                <w:sz w:val="21"/>
                <w:szCs w:val="21"/>
                <w:vertAlign w:val="baseline"/>
                <w:lang w:val="en-US" w:eastAsia="zh-CN"/>
              </w:rPr>
              <w:t>COD</w:t>
            </w:r>
            <w:r>
              <w:rPr>
                <w:rFonts w:hint="eastAsia" w:ascii="Times New Roman" w:hAnsi="Times New Roman" w:eastAsia="宋体" w:cs="Times New Roman"/>
                <w:b w:val="0"/>
                <w:bCs/>
                <w:color w:val="auto"/>
                <w:sz w:val="21"/>
                <w:szCs w:val="21"/>
                <w:vertAlign w:val="subscript"/>
                <w:lang w:val="en-US" w:eastAsia="zh-CN"/>
              </w:rPr>
              <w:t>Cr</w:t>
            </w:r>
          </w:p>
        </w:tc>
        <w:tc>
          <w:tcPr>
            <w:tcW w:w="1534" w:type="dxa"/>
            <w:tcBorders>
              <w:top w:val="single" w:color="000000" w:sz="4" w:space="0"/>
              <w:bottom w:val="single" w:color="000000" w:sz="4" w:space="0"/>
            </w:tcBorders>
            <w:noWrap w:val="0"/>
            <w:vAlign w:val="center"/>
          </w:tcPr>
          <w:p w14:paraId="47974357">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Cs/>
                <w:color w:val="auto"/>
                <w:sz w:val="21"/>
                <w:szCs w:val="21"/>
                <w:vertAlign w:val="baseline"/>
                <w:lang w:val="en-US" w:eastAsia="zh-CN"/>
              </w:rPr>
              <w:t>300</w:t>
            </w:r>
          </w:p>
        </w:tc>
        <w:tc>
          <w:tcPr>
            <w:tcW w:w="2049" w:type="dxa"/>
            <w:tcBorders>
              <w:top w:val="single" w:color="000000" w:sz="4" w:space="0"/>
              <w:bottom w:val="single" w:color="000000" w:sz="4" w:space="0"/>
            </w:tcBorders>
            <w:noWrap w:val="0"/>
            <w:vAlign w:val="center"/>
          </w:tcPr>
          <w:p w14:paraId="2502DAC6">
            <w:pPr>
              <w:spacing w:line="240" w:lineRule="auto"/>
              <w:jc w:val="center"/>
              <w:rPr>
                <w:rFonts w:hint="default" w:ascii="Times New Roman" w:hAnsi="Times New Roman" w:eastAsia="宋体" w:cs="Times New Roman"/>
                <w:bCs/>
                <w:color w:val="auto"/>
                <w:kern w:val="2"/>
                <w:sz w:val="21"/>
                <w:szCs w:val="21"/>
                <w:vertAlign w:val="baseline"/>
                <w:lang w:val="en-US" w:eastAsia="zh-CN" w:bidi="ar-SA"/>
              </w:rPr>
            </w:pPr>
            <w:r>
              <w:rPr>
                <w:rFonts w:hint="eastAsia" w:ascii="Times New Roman" w:hAnsi="Times New Roman" w:eastAsia="宋体" w:cs="Times New Roman"/>
                <w:bCs/>
                <w:color w:val="auto"/>
                <w:sz w:val="21"/>
                <w:szCs w:val="21"/>
                <w:vertAlign w:val="baseline"/>
                <w:lang w:val="en-US" w:eastAsia="zh-CN"/>
              </w:rPr>
              <w:t>500</w:t>
            </w:r>
          </w:p>
        </w:tc>
        <w:tc>
          <w:tcPr>
            <w:tcW w:w="1238" w:type="dxa"/>
            <w:vMerge w:val="continue"/>
            <w:tcBorders>
              <w:top w:val="single" w:color="000000" w:sz="4" w:space="0"/>
              <w:bottom w:val="single" w:color="000000" w:sz="4" w:space="0"/>
              <w:right w:val="single" w:color="000000" w:sz="4" w:space="0"/>
            </w:tcBorders>
            <w:noWrap w:val="0"/>
            <w:vAlign w:val="center"/>
          </w:tcPr>
          <w:p w14:paraId="11E82B7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r>
      <w:tr w14:paraId="49092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continue"/>
            <w:tcBorders>
              <w:top w:val="single" w:color="000000" w:sz="4" w:space="0"/>
              <w:left w:val="single" w:color="000000" w:sz="4" w:space="0"/>
              <w:bottom w:val="single" w:color="000000" w:sz="4" w:space="0"/>
            </w:tcBorders>
            <w:noWrap w:val="0"/>
            <w:vAlign w:val="center"/>
          </w:tcPr>
          <w:p w14:paraId="477A39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819" w:type="dxa"/>
            <w:vMerge w:val="continue"/>
            <w:tcBorders>
              <w:top w:val="single" w:color="000000" w:sz="4" w:space="0"/>
              <w:bottom w:val="single" w:color="000000" w:sz="4" w:space="0"/>
            </w:tcBorders>
            <w:noWrap w:val="0"/>
            <w:vAlign w:val="center"/>
          </w:tcPr>
          <w:p w14:paraId="088E1D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135" w:type="dxa"/>
            <w:vMerge w:val="continue"/>
            <w:tcBorders>
              <w:top w:val="single" w:color="000000" w:sz="4" w:space="0"/>
              <w:bottom w:val="single" w:color="000000" w:sz="4" w:space="0"/>
            </w:tcBorders>
            <w:noWrap w:val="0"/>
            <w:vAlign w:val="center"/>
          </w:tcPr>
          <w:p w14:paraId="6DFB91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17" w:type="dxa"/>
            <w:vMerge w:val="continue"/>
            <w:tcBorders>
              <w:top w:val="single" w:color="000000" w:sz="4" w:space="0"/>
              <w:bottom w:val="single" w:color="000000" w:sz="4" w:space="0"/>
            </w:tcBorders>
            <w:noWrap w:val="0"/>
            <w:vAlign w:val="center"/>
          </w:tcPr>
          <w:p w14:paraId="293D9D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50" w:type="dxa"/>
            <w:vMerge w:val="continue"/>
            <w:tcBorders>
              <w:top w:val="single" w:color="000000" w:sz="4" w:space="0"/>
              <w:bottom w:val="single" w:color="000000" w:sz="4" w:space="0"/>
            </w:tcBorders>
            <w:noWrap w:val="0"/>
            <w:vAlign w:val="center"/>
          </w:tcPr>
          <w:p w14:paraId="37549A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040" w:type="dxa"/>
            <w:vMerge w:val="continue"/>
            <w:tcBorders>
              <w:top w:val="single" w:color="000000" w:sz="4" w:space="0"/>
              <w:bottom w:val="single" w:color="000000" w:sz="4" w:space="0"/>
            </w:tcBorders>
            <w:noWrap w:val="0"/>
            <w:vAlign w:val="center"/>
          </w:tcPr>
          <w:p w14:paraId="488270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477" w:type="dxa"/>
            <w:vMerge w:val="continue"/>
            <w:tcBorders>
              <w:top w:val="single" w:color="000000" w:sz="4" w:space="0"/>
              <w:bottom w:val="single" w:color="000000" w:sz="4" w:space="0"/>
            </w:tcBorders>
            <w:noWrap w:val="0"/>
            <w:vAlign w:val="center"/>
          </w:tcPr>
          <w:p w14:paraId="22478F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823" w:type="dxa"/>
            <w:vMerge w:val="continue"/>
            <w:tcBorders>
              <w:top w:val="single" w:color="000000" w:sz="4" w:space="0"/>
              <w:bottom w:val="single" w:color="000000" w:sz="4" w:space="0"/>
            </w:tcBorders>
            <w:noWrap w:val="0"/>
            <w:vAlign w:val="center"/>
          </w:tcPr>
          <w:p w14:paraId="09E4E6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41" w:type="dxa"/>
            <w:vMerge w:val="continue"/>
            <w:tcBorders>
              <w:top w:val="single" w:color="000000" w:sz="4" w:space="0"/>
              <w:bottom w:val="single" w:color="000000" w:sz="4" w:space="0"/>
            </w:tcBorders>
            <w:noWrap w:val="0"/>
            <w:vAlign w:val="center"/>
          </w:tcPr>
          <w:p w14:paraId="44F29E1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104" w:type="dxa"/>
            <w:tcBorders>
              <w:top w:val="single" w:color="000000" w:sz="4" w:space="0"/>
              <w:bottom w:val="single" w:color="000000" w:sz="4" w:space="0"/>
            </w:tcBorders>
            <w:noWrap w:val="0"/>
            <w:vAlign w:val="center"/>
          </w:tcPr>
          <w:p w14:paraId="295ABEA8">
            <w:pPr>
              <w:spacing w:line="240" w:lineRule="auto"/>
              <w:jc w:val="center"/>
              <w:rPr>
                <w:rFonts w:hint="default"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eastAsia="宋体" w:cs="Times New Roman"/>
                <w:b w:val="0"/>
                <w:bCs/>
                <w:color w:val="auto"/>
                <w:sz w:val="21"/>
                <w:szCs w:val="21"/>
                <w:vertAlign w:val="baseline"/>
                <w:lang w:val="en-US" w:eastAsia="zh-CN"/>
              </w:rPr>
              <w:t>SS</w:t>
            </w:r>
          </w:p>
        </w:tc>
        <w:tc>
          <w:tcPr>
            <w:tcW w:w="1534" w:type="dxa"/>
            <w:tcBorders>
              <w:top w:val="single" w:color="000000" w:sz="4" w:space="0"/>
              <w:bottom w:val="single" w:color="000000" w:sz="4" w:space="0"/>
            </w:tcBorders>
            <w:noWrap w:val="0"/>
            <w:vAlign w:val="center"/>
          </w:tcPr>
          <w:p w14:paraId="214D2A51">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Cs/>
                <w:color w:val="auto"/>
                <w:sz w:val="21"/>
                <w:szCs w:val="21"/>
                <w:vertAlign w:val="baseline"/>
                <w:lang w:val="en-US" w:eastAsia="zh-CN"/>
              </w:rPr>
              <w:t>200</w:t>
            </w:r>
          </w:p>
        </w:tc>
        <w:tc>
          <w:tcPr>
            <w:tcW w:w="2049" w:type="dxa"/>
            <w:tcBorders>
              <w:top w:val="single" w:color="000000" w:sz="4" w:space="0"/>
              <w:bottom w:val="single" w:color="000000" w:sz="4" w:space="0"/>
            </w:tcBorders>
            <w:noWrap w:val="0"/>
            <w:vAlign w:val="center"/>
          </w:tcPr>
          <w:p w14:paraId="286EC458">
            <w:pPr>
              <w:spacing w:line="240" w:lineRule="auto"/>
              <w:jc w:val="center"/>
              <w:rPr>
                <w:rFonts w:hint="default" w:ascii="Times New Roman" w:hAnsi="Times New Roman" w:eastAsia="宋体" w:cs="Times New Roman"/>
                <w:bCs/>
                <w:color w:val="auto"/>
                <w:kern w:val="2"/>
                <w:sz w:val="21"/>
                <w:szCs w:val="21"/>
                <w:vertAlign w:val="baseline"/>
                <w:lang w:val="en-US" w:eastAsia="zh-CN" w:bidi="ar-SA"/>
              </w:rPr>
            </w:pPr>
            <w:r>
              <w:rPr>
                <w:rFonts w:hint="eastAsia" w:ascii="Times New Roman" w:hAnsi="Times New Roman" w:eastAsia="宋体" w:cs="Times New Roman"/>
                <w:bCs/>
                <w:color w:val="auto"/>
                <w:sz w:val="21"/>
                <w:szCs w:val="21"/>
                <w:vertAlign w:val="baseline"/>
                <w:lang w:val="en-US" w:eastAsia="zh-CN"/>
              </w:rPr>
              <w:t>400</w:t>
            </w:r>
          </w:p>
        </w:tc>
        <w:tc>
          <w:tcPr>
            <w:tcW w:w="1238" w:type="dxa"/>
            <w:vMerge w:val="continue"/>
            <w:tcBorders>
              <w:top w:val="single" w:color="000000" w:sz="4" w:space="0"/>
              <w:bottom w:val="single" w:color="000000" w:sz="4" w:space="0"/>
              <w:right w:val="single" w:color="000000" w:sz="4" w:space="0"/>
            </w:tcBorders>
            <w:noWrap w:val="0"/>
            <w:vAlign w:val="center"/>
          </w:tcPr>
          <w:p w14:paraId="58EBE6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r>
      <w:tr w14:paraId="68B20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continue"/>
            <w:tcBorders>
              <w:top w:val="single" w:color="000000" w:sz="4" w:space="0"/>
              <w:left w:val="single" w:color="000000" w:sz="4" w:space="0"/>
              <w:bottom w:val="single" w:color="000000" w:sz="4" w:space="0"/>
            </w:tcBorders>
            <w:noWrap w:val="0"/>
            <w:vAlign w:val="center"/>
          </w:tcPr>
          <w:p w14:paraId="0B3F93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819" w:type="dxa"/>
            <w:vMerge w:val="continue"/>
            <w:tcBorders>
              <w:top w:val="single" w:color="000000" w:sz="4" w:space="0"/>
              <w:bottom w:val="single" w:color="000000" w:sz="4" w:space="0"/>
            </w:tcBorders>
            <w:noWrap w:val="0"/>
            <w:vAlign w:val="center"/>
          </w:tcPr>
          <w:p w14:paraId="6639EE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135" w:type="dxa"/>
            <w:vMerge w:val="continue"/>
            <w:tcBorders>
              <w:top w:val="single" w:color="000000" w:sz="4" w:space="0"/>
              <w:bottom w:val="single" w:color="000000" w:sz="4" w:space="0"/>
            </w:tcBorders>
            <w:noWrap w:val="0"/>
            <w:vAlign w:val="center"/>
          </w:tcPr>
          <w:p w14:paraId="610DE5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17" w:type="dxa"/>
            <w:vMerge w:val="continue"/>
            <w:tcBorders>
              <w:top w:val="single" w:color="000000" w:sz="4" w:space="0"/>
              <w:bottom w:val="single" w:color="000000" w:sz="4" w:space="0"/>
            </w:tcBorders>
            <w:noWrap w:val="0"/>
            <w:vAlign w:val="center"/>
          </w:tcPr>
          <w:p w14:paraId="3CDBCD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50" w:type="dxa"/>
            <w:vMerge w:val="continue"/>
            <w:tcBorders>
              <w:top w:val="single" w:color="000000" w:sz="4" w:space="0"/>
              <w:bottom w:val="single" w:color="000000" w:sz="4" w:space="0"/>
            </w:tcBorders>
            <w:noWrap w:val="0"/>
            <w:vAlign w:val="center"/>
          </w:tcPr>
          <w:p w14:paraId="495F010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040" w:type="dxa"/>
            <w:vMerge w:val="continue"/>
            <w:tcBorders>
              <w:top w:val="single" w:color="000000" w:sz="4" w:space="0"/>
              <w:bottom w:val="single" w:color="000000" w:sz="4" w:space="0"/>
            </w:tcBorders>
            <w:noWrap w:val="0"/>
            <w:vAlign w:val="center"/>
          </w:tcPr>
          <w:p w14:paraId="1A364B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477" w:type="dxa"/>
            <w:vMerge w:val="continue"/>
            <w:tcBorders>
              <w:top w:val="single" w:color="000000" w:sz="4" w:space="0"/>
              <w:bottom w:val="single" w:color="000000" w:sz="4" w:space="0"/>
            </w:tcBorders>
            <w:noWrap w:val="0"/>
            <w:vAlign w:val="center"/>
          </w:tcPr>
          <w:p w14:paraId="3B28E5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823" w:type="dxa"/>
            <w:vMerge w:val="continue"/>
            <w:tcBorders>
              <w:top w:val="single" w:color="000000" w:sz="4" w:space="0"/>
              <w:bottom w:val="single" w:color="000000" w:sz="4" w:space="0"/>
            </w:tcBorders>
            <w:noWrap w:val="0"/>
            <w:vAlign w:val="center"/>
          </w:tcPr>
          <w:p w14:paraId="46A180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41" w:type="dxa"/>
            <w:vMerge w:val="continue"/>
            <w:tcBorders>
              <w:top w:val="single" w:color="000000" w:sz="4" w:space="0"/>
              <w:bottom w:val="single" w:color="000000" w:sz="4" w:space="0"/>
            </w:tcBorders>
            <w:noWrap w:val="0"/>
            <w:vAlign w:val="center"/>
          </w:tcPr>
          <w:p w14:paraId="399984A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104" w:type="dxa"/>
            <w:tcBorders>
              <w:top w:val="single" w:color="000000" w:sz="4" w:space="0"/>
              <w:bottom w:val="single" w:color="000000" w:sz="4" w:space="0"/>
            </w:tcBorders>
            <w:noWrap w:val="0"/>
            <w:vAlign w:val="center"/>
          </w:tcPr>
          <w:p w14:paraId="7441E76D">
            <w:pPr>
              <w:spacing w:line="240" w:lineRule="auto"/>
              <w:jc w:val="center"/>
              <w:rPr>
                <w:rFonts w:hint="default" w:ascii="Times New Roman" w:hAnsi="Times New Roman" w:eastAsia="宋体" w:cs="Times New Roman"/>
                <w:b w:val="0"/>
                <w:bCs/>
                <w:color w:val="auto"/>
                <w:kern w:val="2"/>
                <w:sz w:val="21"/>
                <w:szCs w:val="21"/>
                <w:vertAlign w:val="baseline"/>
                <w:lang w:val="en-US" w:eastAsia="zh-CN" w:bidi="ar-SA"/>
              </w:rPr>
            </w:pPr>
            <w:r>
              <w:rPr>
                <w:rFonts w:hint="eastAsia" w:ascii="Times New Roman" w:hAnsi="Times New Roman" w:eastAsia="宋体" w:cs="Times New Roman"/>
                <w:b w:val="0"/>
                <w:bCs/>
                <w:color w:val="auto"/>
                <w:sz w:val="21"/>
                <w:szCs w:val="21"/>
                <w:vertAlign w:val="baseline"/>
                <w:lang w:val="en-US" w:eastAsia="zh-CN"/>
              </w:rPr>
              <w:t>NH</w:t>
            </w:r>
            <w:r>
              <w:rPr>
                <w:rFonts w:hint="eastAsia" w:ascii="Times New Roman" w:hAnsi="Times New Roman" w:eastAsia="宋体" w:cs="Times New Roman"/>
                <w:b w:val="0"/>
                <w:bCs/>
                <w:color w:val="auto"/>
                <w:sz w:val="21"/>
                <w:szCs w:val="21"/>
                <w:vertAlign w:val="subscript"/>
                <w:lang w:val="en-US" w:eastAsia="zh-CN"/>
              </w:rPr>
              <w:t>3</w:t>
            </w:r>
            <w:r>
              <w:rPr>
                <w:rFonts w:hint="eastAsia" w:ascii="Times New Roman" w:hAnsi="Times New Roman" w:eastAsia="宋体" w:cs="Times New Roman"/>
                <w:b w:val="0"/>
                <w:bCs/>
                <w:color w:val="auto"/>
                <w:sz w:val="21"/>
                <w:szCs w:val="21"/>
                <w:vertAlign w:val="baseline"/>
                <w:lang w:val="en-US" w:eastAsia="zh-CN"/>
              </w:rPr>
              <w:t>-N</w:t>
            </w:r>
          </w:p>
        </w:tc>
        <w:tc>
          <w:tcPr>
            <w:tcW w:w="1534" w:type="dxa"/>
            <w:tcBorders>
              <w:top w:val="single" w:color="000000" w:sz="4" w:space="0"/>
              <w:bottom w:val="single" w:color="000000" w:sz="4" w:space="0"/>
            </w:tcBorders>
            <w:noWrap w:val="0"/>
            <w:vAlign w:val="center"/>
          </w:tcPr>
          <w:p w14:paraId="2052AD8A">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Cs/>
                <w:color w:val="auto"/>
                <w:sz w:val="21"/>
                <w:szCs w:val="21"/>
                <w:vertAlign w:val="baseline"/>
                <w:lang w:val="en-US" w:eastAsia="zh-CN"/>
              </w:rPr>
              <w:t>30</w:t>
            </w:r>
          </w:p>
        </w:tc>
        <w:tc>
          <w:tcPr>
            <w:tcW w:w="2049" w:type="dxa"/>
            <w:tcBorders>
              <w:top w:val="single" w:color="000000" w:sz="4" w:space="0"/>
              <w:bottom w:val="single" w:color="000000" w:sz="4" w:space="0"/>
            </w:tcBorders>
            <w:noWrap w:val="0"/>
            <w:vAlign w:val="center"/>
          </w:tcPr>
          <w:p w14:paraId="6FAE9475">
            <w:pPr>
              <w:spacing w:line="240" w:lineRule="auto"/>
              <w:jc w:val="center"/>
              <w:rPr>
                <w:rFonts w:hint="default" w:ascii="Times New Roman" w:hAnsi="Times New Roman" w:eastAsia="宋体" w:cs="Times New Roman"/>
                <w:bCs/>
                <w:color w:val="auto"/>
                <w:kern w:val="2"/>
                <w:sz w:val="21"/>
                <w:szCs w:val="21"/>
                <w:vertAlign w:val="baseline"/>
                <w:lang w:val="en-US" w:eastAsia="zh-CN" w:bidi="ar-SA"/>
              </w:rPr>
            </w:pPr>
            <w:r>
              <w:rPr>
                <w:rFonts w:hint="eastAsia" w:ascii="Times New Roman" w:hAnsi="Times New Roman" w:eastAsia="宋体" w:cs="Times New Roman"/>
                <w:bCs/>
                <w:color w:val="auto"/>
                <w:sz w:val="21"/>
                <w:szCs w:val="21"/>
                <w:vertAlign w:val="baseline"/>
                <w:lang w:val="en-US" w:eastAsia="zh-CN"/>
              </w:rPr>
              <w:t>/</w:t>
            </w:r>
          </w:p>
        </w:tc>
        <w:tc>
          <w:tcPr>
            <w:tcW w:w="1238" w:type="dxa"/>
            <w:vMerge w:val="continue"/>
            <w:tcBorders>
              <w:top w:val="single" w:color="000000" w:sz="4" w:space="0"/>
              <w:bottom w:val="single" w:color="000000" w:sz="4" w:space="0"/>
              <w:right w:val="single" w:color="000000" w:sz="4" w:space="0"/>
            </w:tcBorders>
            <w:noWrap w:val="0"/>
            <w:vAlign w:val="center"/>
          </w:tcPr>
          <w:p w14:paraId="3801367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r>
      <w:tr w14:paraId="572C0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43" w:type="dxa"/>
            <w:vMerge w:val="continue"/>
            <w:tcBorders>
              <w:top w:val="single" w:color="000000" w:sz="4" w:space="0"/>
              <w:left w:val="single" w:color="000000" w:sz="4" w:space="0"/>
            </w:tcBorders>
            <w:noWrap w:val="0"/>
            <w:vAlign w:val="center"/>
          </w:tcPr>
          <w:p w14:paraId="18498D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819" w:type="dxa"/>
            <w:vMerge w:val="continue"/>
            <w:tcBorders>
              <w:top w:val="single" w:color="000000" w:sz="4" w:space="0"/>
            </w:tcBorders>
            <w:noWrap w:val="0"/>
            <w:vAlign w:val="center"/>
          </w:tcPr>
          <w:p w14:paraId="1487FDE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135" w:type="dxa"/>
            <w:vMerge w:val="continue"/>
            <w:tcBorders>
              <w:top w:val="single" w:color="000000" w:sz="4" w:space="0"/>
            </w:tcBorders>
            <w:noWrap w:val="0"/>
            <w:vAlign w:val="center"/>
          </w:tcPr>
          <w:p w14:paraId="47F61F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17" w:type="dxa"/>
            <w:vMerge w:val="continue"/>
            <w:tcBorders>
              <w:top w:val="single" w:color="000000" w:sz="4" w:space="0"/>
            </w:tcBorders>
            <w:noWrap w:val="0"/>
            <w:vAlign w:val="center"/>
          </w:tcPr>
          <w:p w14:paraId="7A07D4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50" w:type="dxa"/>
            <w:vMerge w:val="continue"/>
            <w:tcBorders>
              <w:top w:val="single" w:color="000000" w:sz="4" w:space="0"/>
            </w:tcBorders>
            <w:noWrap w:val="0"/>
            <w:vAlign w:val="center"/>
          </w:tcPr>
          <w:p w14:paraId="65B043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040" w:type="dxa"/>
            <w:vMerge w:val="continue"/>
            <w:tcBorders>
              <w:top w:val="single" w:color="000000" w:sz="4" w:space="0"/>
            </w:tcBorders>
            <w:noWrap w:val="0"/>
            <w:vAlign w:val="center"/>
          </w:tcPr>
          <w:p w14:paraId="4C6474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477" w:type="dxa"/>
            <w:vMerge w:val="continue"/>
            <w:tcBorders>
              <w:top w:val="single" w:color="000000" w:sz="4" w:space="0"/>
            </w:tcBorders>
            <w:noWrap w:val="0"/>
            <w:vAlign w:val="center"/>
          </w:tcPr>
          <w:p w14:paraId="79F1AD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823" w:type="dxa"/>
            <w:vMerge w:val="continue"/>
            <w:tcBorders>
              <w:top w:val="single" w:color="000000" w:sz="4" w:space="0"/>
            </w:tcBorders>
            <w:noWrap w:val="0"/>
            <w:vAlign w:val="center"/>
          </w:tcPr>
          <w:p w14:paraId="34E97B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41" w:type="dxa"/>
            <w:vMerge w:val="continue"/>
            <w:tcBorders>
              <w:top w:val="single" w:color="000000" w:sz="4" w:space="0"/>
            </w:tcBorders>
            <w:noWrap w:val="0"/>
            <w:vAlign w:val="center"/>
          </w:tcPr>
          <w:p w14:paraId="28D122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104" w:type="dxa"/>
            <w:tcBorders>
              <w:top w:val="single" w:color="000000" w:sz="4" w:space="0"/>
            </w:tcBorders>
            <w:noWrap w:val="0"/>
            <w:vAlign w:val="center"/>
          </w:tcPr>
          <w:p w14:paraId="384DF1D9">
            <w:pPr>
              <w:spacing w:line="240" w:lineRule="auto"/>
              <w:jc w:val="center"/>
              <w:rPr>
                <w:rFonts w:hint="default" w:ascii="Times New Roman" w:hAnsi="Times New Roman" w:eastAsia="宋体" w:cs="Times New Roman"/>
                <w:b w:val="0"/>
                <w:bCs/>
                <w:color w:val="auto"/>
                <w:kern w:val="2"/>
                <w:sz w:val="21"/>
                <w:szCs w:val="21"/>
                <w:vertAlign w:val="subscript"/>
                <w:lang w:val="en-US" w:eastAsia="zh-CN" w:bidi="ar-SA"/>
              </w:rPr>
            </w:pPr>
            <w:r>
              <w:rPr>
                <w:rFonts w:hint="eastAsia" w:ascii="Times New Roman" w:hAnsi="Times New Roman" w:eastAsia="宋体" w:cs="Times New Roman"/>
                <w:b w:val="0"/>
                <w:bCs/>
                <w:color w:val="auto"/>
                <w:sz w:val="21"/>
                <w:szCs w:val="21"/>
                <w:vertAlign w:val="baseline"/>
                <w:lang w:val="en-US" w:eastAsia="zh-CN"/>
              </w:rPr>
              <w:t>BOD</w:t>
            </w:r>
            <w:r>
              <w:rPr>
                <w:rFonts w:hint="eastAsia" w:ascii="Times New Roman" w:hAnsi="Times New Roman" w:eastAsia="宋体" w:cs="Times New Roman"/>
                <w:b w:val="0"/>
                <w:bCs/>
                <w:color w:val="auto"/>
                <w:sz w:val="21"/>
                <w:szCs w:val="21"/>
                <w:vertAlign w:val="subscript"/>
                <w:lang w:val="en-US" w:eastAsia="zh-CN"/>
              </w:rPr>
              <w:t>5</w:t>
            </w:r>
          </w:p>
        </w:tc>
        <w:tc>
          <w:tcPr>
            <w:tcW w:w="1534" w:type="dxa"/>
            <w:tcBorders>
              <w:top w:val="single" w:color="000000" w:sz="4" w:space="0"/>
            </w:tcBorders>
            <w:noWrap w:val="0"/>
            <w:vAlign w:val="center"/>
          </w:tcPr>
          <w:p w14:paraId="36E862AF">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Cs/>
                <w:color w:val="auto"/>
                <w:sz w:val="21"/>
                <w:szCs w:val="21"/>
                <w:vertAlign w:val="baseline"/>
                <w:lang w:val="en-US" w:eastAsia="zh-CN"/>
              </w:rPr>
              <w:t>150</w:t>
            </w:r>
          </w:p>
        </w:tc>
        <w:tc>
          <w:tcPr>
            <w:tcW w:w="2049" w:type="dxa"/>
            <w:tcBorders>
              <w:top w:val="single" w:color="000000" w:sz="4" w:space="0"/>
            </w:tcBorders>
            <w:noWrap w:val="0"/>
            <w:vAlign w:val="center"/>
          </w:tcPr>
          <w:p w14:paraId="075B45F8">
            <w:pPr>
              <w:spacing w:line="240" w:lineRule="auto"/>
              <w:jc w:val="center"/>
              <w:rPr>
                <w:rFonts w:hint="default" w:ascii="Times New Roman" w:hAnsi="Times New Roman" w:eastAsia="宋体" w:cs="Times New Roman"/>
                <w:bCs/>
                <w:color w:val="auto"/>
                <w:kern w:val="2"/>
                <w:sz w:val="21"/>
                <w:szCs w:val="21"/>
                <w:vertAlign w:val="baseline"/>
                <w:lang w:val="en-US" w:eastAsia="zh-CN" w:bidi="ar-SA"/>
              </w:rPr>
            </w:pPr>
            <w:r>
              <w:rPr>
                <w:rFonts w:hint="eastAsia" w:ascii="Times New Roman" w:hAnsi="Times New Roman" w:eastAsia="宋体" w:cs="Times New Roman"/>
                <w:bCs/>
                <w:color w:val="auto"/>
                <w:sz w:val="21"/>
                <w:szCs w:val="21"/>
                <w:vertAlign w:val="baseline"/>
                <w:lang w:val="en-US" w:eastAsia="zh-CN"/>
              </w:rPr>
              <w:t>300</w:t>
            </w:r>
          </w:p>
        </w:tc>
        <w:tc>
          <w:tcPr>
            <w:tcW w:w="1238" w:type="dxa"/>
            <w:vMerge w:val="continue"/>
            <w:tcBorders>
              <w:top w:val="single" w:color="000000" w:sz="4" w:space="0"/>
              <w:right w:val="single" w:color="000000" w:sz="4" w:space="0"/>
            </w:tcBorders>
            <w:noWrap w:val="0"/>
            <w:vAlign w:val="center"/>
          </w:tcPr>
          <w:p w14:paraId="7EC771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r>
    </w:tbl>
    <w:p w14:paraId="0B1C245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bCs/>
          <w:color w:val="auto"/>
          <w:spacing w:val="7"/>
          <w:sz w:val="24"/>
          <w:szCs w:val="24"/>
          <w:lang w:val="en-US" w:eastAsia="zh-CN"/>
        </w:rPr>
      </w:pPr>
      <w:r>
        <w:rPr>
          <w:rFonts w:hint="eastAsia" w:ascii="Times New Roman" w:hAnsi="Times New Roman" w:eastAsia="宋体" w:cs="Times New Roman"/>
          <w:b/>
          <w:bCs/>
          <w:color w:val="auto"/>
          <w:spacing w:val="7"/>
          <w:sz w:val="24"/>
          <w:szCs w:val="24"/>
          <w:lang w:val="en-US" w:eastAsia="zh-CN"/>
        </w:rPr>
        <w:t>表12  建设项目噪声排放信息表</w:t>
      </w:r>
    </w:p>
    <w:tbl>
      <w:tblPr>
        <w:tblStyle w:val="129"/>
        <w:tblW w:w="501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553"/>
        <w:gridCol w:w="1773"/>
        <w:gridCol w:w="1866"/>
        <w:gridCol w:w="5186"/>
        <w:gridCol w:w="1255"/>
        <w:gridCol w:w="1204"/>
        <w:gridCol w:w="1227"/>
      </w:tblGrid>
      <w:tr w14:paraId="3ADD8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52" w:type="pct"/>
            <w:vMerge w:val="restart"/>
            <w:tcBorders>
              <w:top w:val="single" w:color="000000" w:sz="4" w:space="0"/>
              <w:left w:val="single" w:color="000000" w:sz="4" w:space="0"/>
              <w:bottom w:val="single" w:color="000000" w:sz="4" w:space="0"/>
              <w:right w:val="single" w:color="000000" w:sz="4" w:space="0"/>
            </w:tcBorders>
            <w:noWrap w:val="0"/>
            <w:vAlign w:val="center"/>
          </w:tcPr>
          <w:p w14:paraId="3CB919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噪声类别</w:t>
            </w:r>
          </w:p>
        </w:tc>
        <w:tc>
          <w:tcPr>
            <w:tcW w:w="1293" w:type="pct"/>
            <w:gridSpan w:val="2"/>
            <w:tcBorders>
              <w:top w:val="single" w:color="000000" w:sz="4" w:space="0"/>
              <w:left w:val="single" w:color="000000" w:sz="4" w:space="0"/>
              <w:bottom w:val="single" w:color="000000" w:sz="4" w:space="0"/>
              <w:right w:val="single" w:color="000000" w:sz="4" w:space="0"/>
            </w:tcBorders>
            <w:noWrap w:val="0"/>
            <w:vAlign w:val="center"/>
          </w:tcPr>
          <w:p w14:paraId="442DBD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生产时段</w:t>
            </w:r>
          </w:p>
        </w:tc>
        <w:tc>
          <w:tcPr>
            <w:tcW w:w="1843" w:type="pct"/>
            <w:vMerge w:val="restart"/>
            <w:tcBorders>
              <w:top w:val="single" w:color="000000" w:sz="4" w:space="0"/>
              <w:left w:val="single" w:color="000000" w:sz="4" w:space="0"/>
              <w:bottom w:val="single" w:color="000000" w:sz="4" w:space="0"/>
              <w:right w:val="single" w:color="000000" w:sz="4" w:space="0"/>
            </w:tcBorders>
            <w:noWrap w:val="0"/>
            <w:vAlign w:val="center"/>
          </w:tcPr>
          <w:p w14:paraId="0928B2E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执行排放标准名称</w:t>
            </w:r>
          </w:p>
        </w:tc>
        <w:tc>
          <w:tcPr>
            <w:tcW w:w="874" w:type="pct"/>
            <w:gridSpan w:val="2"/>
            <w:tcBorders>
              <w:top w:val="single" w:color="000000" w:sz="4" w:space="0"/>
              <w:left w:val="single" w:color="000000" w:sz="4" w:space="0"/>
              <w:bottom w:val="single" w:color="000000" w:sz="4" w:space="0"/>
              <w:right w:val="single" w:color="000000" w:sz="4" w:space="0"/>
            </w:tcBorders>
            <w:noWrap w:val="0"/>
            <w:vAlign w:val="center"/>
          </w:tcPr>
          <w:p w14:paraId="4AB8A7C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厂界噪声排放限值</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dB</w:t>
            </w:r>
            <w:r>
              <w:rPr>
                <w:rFonts w:hint="eastAsia" w:ascii="Times New Roman" w:hAnsi="Times New Roman" w:eastAsia="宋体" w:cs="Times New Roman"/>
                <w:b/>
                <w:bCs/>
                <w:color w:val="auto"/>
                <w:spacing w:val="3"/>
                <w:position w:val="1"/>
                <w:sz w:val="21"/>
                <w:szCs w:val="21"/>
                <w:lang w:val="en-US" w:eastAsia="zh-CN"/>
              </w:rPr>
              <w:t>（</w:t>
            </w:r>
            <w:r>
              <w:rPr>
                <w:rFonts w:hint="default" w:ascii="Times New Roman" w:hAnsi="Times New Roman" w:eastAsia="宋体" w:cs="Times New Roman"/>
                <w:b/>
                <w:bCs/>
                <w:color w:val="auto"/>
                <w:spacing w:val="3"/>
                <w:position w:val="1"/>
                <w:sz w:val="21"/>
                <w:szCs w:val="21"/>
                <w:lang w:val="en-US" w:eastAsia="zh-CN"/>
              </w:rPr>
              <w:t>A</w:t>
            </w:r>
            <w:r>
              <w:rPr>
                <w:rFonts w:hint="eastAsia" w:ascii="Times New Roman" w:hAnsi="Times New Roman" w:eastAsia="宋体" w:cs="Times New Roman"/>
                <w:b/>
                <w:bCs/>
                <w:color w:val="auto"/>
                <w:spacing w:val="3"/>
                <w:position w:val="1"/>
                <w:sz w:val="21"/>
                <w:szCs w:val="21"/>
                <w:lang w:val="en-US" w:eastAsia="zh-CN"/>
              </w:rPr>
              <w:t>）</w:t>
            </w:r>
          </w:p>
        </w:tc>
        <w:tc>
          <w:tcPr>
            <w:tcW w:w="436" w:type="pct"/>
            <w:vMerge w:val="restart"/>
            <w:tcBorders>
              <w:top w:val="single" w:color="000000" w:sz="4" w:space="0"/>
              <w:left w:val="single" w:color="000000" w:sz="4" w:space="0"/>
              <w:bottom w:val="single" w:color="000000" w:sz="4" w:space="0"/>
              <w:right w:val="single" w:color="000000" w:sz="4" w:space="0"/>
            </w:tcBorders>
            <w:noWrap w:val="0"/>
            <w:vAlign w:val="center"/>
          </w:tcPr>
          <w:p w14:paraId="6DEFB0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备注</w:t>
            </w:r>
          </w:p>
        </w:tc>
      </w:tr>
      <w:tr w14:paraId="26A14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5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119C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630" w:type="pct"/>
            <w:tcBorders>
              <w:top w:val="single" w:color="000000" w:sz="4" w:space="0"/>
              <w:left w:val="single" w:color="000000" w:sz="4" w:space="0"/>
              <w:bottom w:val="single" w:color="000000" w:sz="4" w:space="0"/>
              <w:right w:val="single" w:color="000000" w:sz="4" w:space="0"/>
            </w:tcBorders>
            <w:noWrap w:val="0"/>
            <w:vAlign w:val="center"/>
          </w:tcPr>
          <w:p w14:paraId="36DB62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昼间</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37F149E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夜间</w:t>
            </w:r>
          </w:p>
        </w:tc>
        <w:tc>
          <w:tcPr>
            <w:tcW w:w="184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B781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c>
          <w:tcPr>
            <w:tcW w:w="446" w:type="pct"/>
            <w:tcBorders>
              <w:top w:val="single" w:color="000000" w:sz="4" w:space="0"/>
              <w:left w:val="single" w:color="000000" w:sz="4" w:space="0"/>
              <w:bottom w:val="single" w:color="000000" w:sz="4" w:space="0"/>
              <w:right w:val="single" w:color="000000" w:sz="4" w:space="0"/>
            </w:tcBorders>
            <w:noWrap w:val="0"/>
            <w:vAlign w:val="center"/>
          </w:tcPr>
          <w:p w14:paraId="17666F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昼间</w:t>
            </w:r>
          </w:p>
        </w:tc>
        <w:tc>
          <w:tcPr>
            <w:tcW w:w="427" w:type="pct"/>
            <w:tcBorders>
              <w:top w:val="single" w:color="000000" w:sz="4" w:space="0"/>
              <w:left w:val="single" w:color="000000" w:sz="4" w:space="0"/>
              <w:bottom w:val="single" w:color="000000" w:sz="4" w:space="0"/>
              <w:right w:val="single" w:color="000000" w:sz="4" w:space="0"/>
            </w:tcBorders>
            <w:noWrap w:val="0"/>
            <w:vAlign w:val="center"/>
          </w:tcPr>
          <w:p w14:paraId="73C34C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夜间</w:t>
            </w:r>
          </w:p>
        </w:tc>
        <w:tc>
          <w:tcPr>
            <w:tcW w:w="43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8B78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p>
        </w:tc>
      </w:tr>
      <w:tr w14:paraId="68581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52" w:type="pct"/>
            <w:tcBorders>
              <w:top w:val="single" w:color="000000" w:sz="4" w:space="0"/>
              <w:left w:val="single" w:color="000000" w:sz="4" w:space="0"/>
              <w:bottom w:val="single" w:color="000000" w:sz="4" w:space="0"/>
              <w:right w:val="single" w:color="000000" w:sz="4" w:space="0"/>
            </w:tcBorders>
            <w:noWrap w:val="0"/>
            <w:vAlign w:val="center"/>
          </w:tcPr>
          <w:p w14:paraId="378093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稳态噪声</w:t>
            </w:r>
          </w:p>
        </w:tc>
        <w:tc>
          <w:tcPr>
            <w:tcW w:w="630" w:type="pct"/>
            <w:tcBorders>
              <w:top w:val="single" w:color="000000" w:sz="4" w:space="0"/>
              <w:left w:val="single" w:color="000000" w:sz="4" w:space="0"/>
              <w:bottom w:val="single" w:color="000000" w:sz="4" w:space="0"/>
              <w:right w:val="single" w:color="000000" w:sz="4" w:space="0"/>
            </w:tcBorders>
            <w:noWrap w:val="0"/>
            <w:vAlign w:val="center"/>
          </w:tcPr>
          <w:p w14:paraId="62A5D5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06</w:t>
            </w:r>
            <w:r>
              <w:rPr>
                <w:rFonts w:hint="eastAsia" w:cs="Times New Roman"/>
                <w:color w:val="auto"/>
                <w:spacing w:val="3"/>
                <w:position w:val="1"/>
                <w:sz w:val="21"/>
                <w:szCs w:val="21"/>
                <w:lang w:val="en-US" w:eastAsia="zh-CN"/>
              </w:rPr>
              <w:t>:</w:t>
            </w:r>
            <w:r>
              <w:rPr>
                <w:rFonts w:hint="eastAsia" w:ascii="Times New Roman" w:hAnsi="Times New Roman" w:eastAsia="宋体" w:cs="Times New Roman"/>
                <w:color w:val="auto"/>
                <w:spacing w:val="3"/>
                <w:position w:val="1"/>
                <w:sz w:val="21"/>
                <w:szCs w:val="21"/>
                <w:lang w:val="en-US" w:eastAsia="zh-CN"/>
              </w:rPr>
              <w:t>00</w:t>
            </w:r>
            <w:r>
              <w:rPr>
                <w:rFonts w:hint="default" w:ascii="Times New Roman" w:hAnsi="Times New Roman" w:eastAsia="宋体" w:cs="Times New Roman"/>
                <w:color w:val="auto"/>
                <w:spacing w:val="3"/>
                <w:position w:val="1"/>
                <w:sz w:val="21"/>
                <w:szCs w:val="21"/>
                <w:lang w:val="en-US" w:eastAsia="zh-CN"/>
              </w:rPr>
              <w:t>至22</w:t>
            </w:r>
            <w:r>
              <w:rPr>
                <w:rFonts w:hint="eastAsia" w:cs="Times New Roman"/>
                <w:color w:val="auto"/>
                <w:spacing w:val="3"/>
                <w:position w:val="1"/>
                <w:sz w:val="21"/>
                <w:szCs w:val="21"/>
                <w:lang w:val="en-US" w:eastAsia="zh-CN"/>
              </w:rPr>
              <w:t>:</w:t>
            </w:r>
            <w:r>
              <w:rPr>
                <w:rFonts w:hint="eastAsia" w:ascii="Times New Roman" w:hAnsi="Times New Roman" w:eastAsia="宋体" w:cs="Times New Roman"/>
                <w:color w:val="auto"/>
                <w:spacing w:val="3"/>
                <w:position w:val="1"/>
                <w:sz w:val="21"/>
                <w:szCs w:val="21"/>
                <w:lang w:val="en-US" w:eastAsia="zh-CN"/>
              </w:rPr>
              <w:t>00</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10FDCE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22</w:t>
            </w:r>
            <w:r>
              <w:rPr>
                <w:rFonts w:hint="eastAsia" w:cs="Times New Roman"/>
                <w:color w:val="auto"/>
                <w:spacing w:val="3"/>
                <w:position w:val="1"/>
                <w:sz w:val="21"/>
                <w:szCs w:val="21"/>
                <w:lang w:val="en-US" w:eastAsia="zh-CN"/>
              </w:rPr>
              <w:t>:</w:t>
            </w:r>
            <w:r>
              <w:rPr>
                <w:rFonts w:hint="eastAsia" w:ascii="Times New Roman" w:hAnsi="Times New Roman" w:eastAsia="宋体" w:cs="Times New Roman"/>
                <w:color w:val="auto"/>
                <w:spacing w:val="3"/>
                <w:position w:val="1"/>
                <w:sz w:val="21"/>
                <w:szCs w:val="21"/>
                <w:lang w:val="en-US" w:eastAsia="zh-CN"/>
              </w:rPr>
              <w:t>00</w:t>
            </w:r>
            <w:r>
              <w:rPr>
                <w:rFonts w:hint="default" w:ascii="Times New Roman" w:hAnsi="Times New Roman" w:eastAsia="宋体" w:cs="Times New Roman"/>
                <w:color w:val="auto"/>
                <w:spacing w:val="3"/>
                <w:position w:val="1"/>
                <w:sz w:val="21"/>
                <w:szCs w:val="21"/>
                <w:lang w:val="en-US" w:eastAsia="zh-CN"/>
              </w:rPr>
              <w:t>至06</w:t>
            </w:r>
            <w:r>
              <w:rPr>
                <w:rFonts w:hint="eastAsia" w:cs="Times New Roman"/>
                <w:color w:val="auto"/>
                <w:spacing w:val="3"/>
                <w:position w:val="1"/>
                <w:sz w:val="21"/>
                <w:szCs w:val="21"/>
                <w:lang w:val="en-US" w:eastAsia="zh-CN"/>
              </w:rPr>
              <w:t>:</w:t>
            </w:r>
            <w:r>
              <w:rPr>
                <w:rFonts w:hint="eastAsia" w:ascii="Times New Roman" w:hAnsi="Times New Roman" w:eastAsia="宋体" w:cs="Times New Roman"/>
                <w:color w:val="auto"/>
                <w:spacing w:val="3"/>
                <w:position w:val="1"/>
                <w:sz w:val="21"/>
                <w:szCs w:val="21"/>
                <w:lang w:val="en-US" w:eastAsia="zh-CN"/>
              </w:rPr>
              <w:t>00</w:t>
            </w:r>
          </w:p>
        </w:tc>
        <w:tc>
          <w:tcPr>
            <w:tcW w:w="1843" w:type="pct"/>
            <w:tcBorders>
              <w:top w:val="single" w:color="000000" w:sz="4" w:space="0"/>
              <w:left w:val="single" w:color="000000" w:sz="4" w:space="0"/>
              <w:bottom w:val="single" w:color="000000" w:sz="4" w:space="0"/>
              <w:right w:val="single" w:color="000000" w:sz="4" w:space="0"/>
            </w:tcBorders>
            <w:noWrap w:val="0"/>
            <w:vAlign w:val="center"/>
          </w:tcPr>
          <w:p w14:paraId="2484AD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《工业企业厂界环境噪声排放标准》（GB</w:t>
            </w:r>
            <w:r>
              <w:rPr>
                <w:rFonts w:hint="eastAsia" w:ascii="Times New Roman" w:hAnsi="Times New Roman" w:eastAsia="宋体" w:cs="Times New Roman"/>
                <w:color w:val="auto"/>
                <w:spacing w:val="3"/>
                <w:position w:val="1"/>
                <w:sz w:val="21"/>
                <w:szCs w:val="21"/>
                <w:lang w:val="en-US" w:eastAsia="zh-CN"/>
              </w:rPr>
              <w:t xml:space="preserve"> </w:t>
            </w:r>
            <w:r>
              <w:rPr>
                <w:rFonts w:hint="default" w:ascii="Times New Roman" w:hAnsi="Times New Roman" w:eastAsia="宋体" w:cs="Times New Roman"/>
                <w:color w:val="auto"/>
                <w:spacing w:val="3"/>
                <w:position w:val="1"/>
                <w:sz w:val="21"/>
                <w:szCs w:val="21"/>
                <w:lang w:val="en-US" w:eastAsia="zh-CN"/>
              </w:rPr>
              <w:t>12348-2008）</w:t>
            </w:r>
          </w:p>
        </w:tc>
        <w:tc>
          <w:tcPr>
            <w:tcW w:w="446" w:type="pct"/>
            <w:tcBorders>
              <w:top w:val="single" w:color="000000" w:sz="4" w:space="0"/>
              <w:left w:val="single" w:color="000000" w:sz="4" w:space="0"/>
              <w:bottom w:val="single" w:color="000000" w:sz="4" w:space="0"/>
              <w:right w:val="single" w:color="000000" w:sz="4" w:space="0"/>
            </w:tcBorders>
            <w:noWrap w:val="0"/>
            <w:vAlign w:val="center"/>
          </w:tcPr>
          <w:p w14:paraId="19EAD47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6</w:t>
            </w:r>
            <w:r>
              <w:rPr>
                <w:rFonts w:hint="eastAsia" w:ascii="Times New Roman" w:hAnsi="Times New Roman" w:eastAsia="宋体" w:cs="Times New Roman"/>
                <w:color w:val="auto"/>
                <w:spacing w:val="3"/>
                <w:position w:val="1"/>
                <w:sz w:val="21"/>
                <w:szCs w:val="21"/>
                <w:lang w:val="en-US" w:eastAsia="zh-CN"/>
              </w:rPr>
              <w:t>5</w:t>
            </w:r>
          </w:p>
        </w:tc>
        <w:tc>
          <w:tcPr>
            <w:tcW w:w="427" w:type="pct"/>
            <w:tcBorders>
              <w:top w:val="single" w:color="000000" w:sz="4" w:space="0"/>
              <w:left w:val="single" w:color="000000" w:sz="4" w:space="0"/>
              <w:bottom w:val="single" w:color="000000" w:sz="4" w:space="0"/>
              <w:right w:val="single" w:color="000000" w:sz="4" w:space="0"/>
            </w:tcBorders>
            <w:noWrap w:val="0"/>
            <w:vAlign w:val="center"/>
          </w:tcPr>
          <w:p w14:paraId="4134D2F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5</w:t>
            </w:r>
            <w:r>
              <w:rPr>
                <w:rFonts w:hint="eastAsia" w:ascii="Times New Roman" w:hAnsi="Times New Roman" w:eastAsia="宋体" w:cs="Times New Roman"/>
                <w:color w:val="auto"/>
                <w:spacing w:val="3"/>
                <w:position w:val="1"/>
                <w:sz w:val="21"/>
                <w:szCs w:val="21"/>
                <w:lang w:val="en-US" w:eastAsia="zh-CN"/>
              </w:rPr>
              <w:t>5</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7E9BAF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41A76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52" w:type="pct"/>
            <w:tcBorders>
              <w:top w:val="single" w:color="000000" w:sz="4" w:space="0"/>
              <w:left w:val="single" w:color="000000" w:sz="4" w:space="0"/>
              <w:bottom w:val="single" w:color="000000" w:sz="4" w:space="0"/>
              <w:right w:val="single" w:color="000000" w:sz="4" w:space="0"/>
            </w:tcBorders>
            <w:noWrap w:val="0"/>
            <w:vAlign w:val="center"/>
          </w:tcPr>
          <w:p w14:paraId="79E185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频发噪声</w:t>
            </w:r>
          </w:p>
        </w:tc>
        <w:tc>
          <w:tcPr>
            <w:tcW w:w="630" w:type="pct"/>
            <w:tcBorders>
              <w:top w:val="single" w:color="000000" w:sz="4" w:space="0"/>
              <w:left w:val="single" w:color="000000" w:sz="4" w:space="0"/>
              <w:bottom w:val="single" w:color="000000" w:sz="4" w:space="0"/>
              <w:right w:val="single" w:color="000000" w:sz="4" w:space="0"/>
            </w:tcBorders>
            <w:noWrap w:val="0"/>
            <w:vAlign w:val="center"/>
          </w:tcPr>
          <w:p w14:paraId="45EF29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430F4DB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5192" w:type="dxa"/>
            <w:tcBorders>
              <w:top w:val="single" w:color="000000" w:sz="4" w:space="0"/>
              <w:left w:val="single" w:color="000000" w:sz="4" w:space="0"/>
              <w:bottom w:val="single" w:color="000000" w:sz="4" w:space="0"/>
              <w:right w:val="single" w:color="000000" w:sz="4" w:space="0"/>
            </w:tcBorders>
            <w:noWrap w:val="0"/>
            <w:vAlign w:val="center"/>
          </w:tcPr>
          <w:p w14:paraId="695AA5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57" w:type="dxa"/>
            <w:tcBorders>
              <w:top w:val="single" w:color="000000" w:sz="4" w:space="0"/>
              <w:left w:val="single" w:color="000000" w:sz="4" w:space="0"/>
              <w:bottom w:val="single" w:color="000000" w:sz="4" w:space="0"/>
              <w:right w:val="single" w:color="000000" w:sz="4" w:space="0"/>
            </w:tcBorders>
            <w:noWrap w:val="0"/>
            <w:vAlign w:val="center"/>
          </w:tcPr>
          <w:p w14:paraId="3517CF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5EEAFA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5140B4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7D7E7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552" w:type="pct"/>
            <w:tcBorders>
              <w:top w:val="single" w:color="000000" w:sz="4" w:space="0"/>
              <w:left w:val="single" w:color="000000" w:sz="4" w:space="0"/>
              <w:bottom w:val="single" w:color="000000" w:sz="4" w:space="0"/>
              <w:right w:val="single" w:color="000000" w:sz="4" w:space="0"/>
            </w:tcBorders>
            <w:noWrap w:val="0"/>
            <w:vAlign w:val="center"/>
          </w:tcPr>
          <w:p w14:paraId="280F0E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偶发噪声</w:t>
            </w:r>
          </w:p>
        </w:tc>
        <w:tc>
          <w:tcPr>
            <w:tcW w:w="630" w:type="pct"/>
            <w:tcBorders>
              <w:top w:val="single" w:color="000000" w:sz="4" w:space="0"/>
              <w:left w:val="single" w:color="000000" w:sz="4" w:space="0"/>
              <w:bottom w:val="single" w:color="000000" w:sz="4" w:space="0"/>
              <w:right w:val="single" w:color="000000" w:sz="4" w:space="0"/>
            </w:tcBorders>
            <w:noWrap w:val="0"/>
            <w:vAlign w:val="center"/>
          </w:tcPr>
          <w:p w14:paraId="1AB30F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63" w:type="pct"/>
            <w:tcBorders>
              <w:top w:val="single" w:color="000000" w:sz="4" w:space="0"/>
              <w:left w:val="single" w:color="000000" w:sz="4" w:space="0"/>
              <w:bottom w:val="single" w:color="000000" w:sz="4" w:space="0"/>
              <w:right w:val="single" w:color="000000" w:sz="4" w:space="0"/>
            </w:tcBorders>
            <w:noWrap w:val="0"/>
            <w:vAlign w:val="center"/>
          </w:tcPr>
          <w:p w14:paraId="401485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5192" w:type="dxa"/>
            <w:tcBorders>
              <w:top w:val="single" w:color="000000" w:sz="4" w:space="0"/>
              <w:left w:val="single" w:color="000000" w:sz="4" w:space="0"/>
              <w:bottom w:val="single" w:color="000000" w:sz="4" w:space="0"/>
              <w:right w:val="single" w:color="000000" w:sz="4" w:space="0"/>
            </w:tcBorders>
            <w:noWrap w:val="0"/>
            <w:vAlign w:val="center"/>
          </w:tcPr>
          <w:p w14:paraId="477DC6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57" w:type="dxa"/>
            <w:tcBorders>
              <w:top w:val="single" w:color="000000" w:sz="4" w:space="0"/>
              <w:left w:val="single" w:color="000000" w:sz="4" w:space="0"/>
              <w:bottom w:val="single" w:color="000000" w:sz="4" w:space="0"/>
              <w:right w:val="single" w:color="000000" w:sz="4" w:space="0"/>
            </w:tcBorders>
            <w:noWrap w:val="0"/>
            <w:vAlign w:val="center"/>
          </w:tcPr>
          <w:p w14:paraId="71ADDE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24AC39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1228" w:type="dxa"/>
            <w:tcBorders>
              <w:top w:val="single" w:color="000000" w:sz="4" w:space="0"/>
              <w:left w:val="single" w:color="000000" w:sz="4" w:space="0"/>
              <w:bottom w:val="single" w:color="000000" w:sz="4" w:space="0"/>
              <w:right w:val="single" w:color="000000" w:sz="4" w:space="0"/>
            </w:tcBorders>
            <w:noWrap w:val="0"/>
            <w:vAlign w:val="center"/>
          </w:tcPr>
          <w:p w14:paraId="04359F0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5F00748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lang w:val="en-US" w:eastAsia="zh-CN"/>
        </w:rPr>
      </w:pPr>
    </w:p>
    <w:p w14:paraId="65EAB32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lang w:val="en-US" w:eastAsia="zh-CN"/>
        </w:rPr>
      </w:pPr>
      <w:r>
        <w:rPr>
          <w:rFonts w:hint="default" w:ascii="Times New Roman" w:hAnsi="Times New Roman" w:eastAsia="宋体" w:cs="Times New Roman"/>
          <w:b/>
          <w:bCs/>
          <w:color w:val="auto"/>
          <w:spacing w:val="7"/>
          <w:sz w:val="24"/>
          <w:szCs w:val="24"/>
          <w:lang w:val="en-US" w:eastAsia="zh-CN"/>
        </w:rPr>
        <w:t>表1</w:t>
      </w:r>
      <w:r>
        <w:rPr>
          <w:rFonts w:hint="eastAsia" w:ascii="Times New Roman" w:hAnsi="Times New Roman" w:eastAsia="宋体" w:cs="Times New Roman"/>
          <w:b/>
          <w:bCs/>
          <w:color w:val="auto"/>
          <w:spacing w:val="7"/>
          <w:sz w:val="24"/>
          <w:szCs w:val="24"/>
          <w:lang w:val="en-US" w:eastAsia="zh-CN"/>
        </w:rPr>
        <w:t xml:space="preserve">3  </w:t>
      </w:r>
      <w:r>
        <w:rPr>
          <w:rFonts w:hint="default" w:ascii="Times New Roman" w:hAnsi="Times New Roman" w:eastAsia="宋体" w:cs="Times New Roman"/>
          <w:b/>
          <w:bCs/>
          <w:color w:val="auto"/>
          <w:spacing w:val="7"/>
          <w:sz w:val="24"/>
          <w:szCs w:val="24"/>
          <w:lang w:val="en-US" w:eastAsia="zh-CN"/>
        </w:rPr>
        <w:t>建设项目固体废物排放信息表</w:t>
      </w:r>
    </w:p>
    <w:tbl>
      <w:tblPr>
        <w:tblStyle w:val="129"/>
        <w:tblW w:w="500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0"/>
        <w:gridCol w:w="1270"/>
        <w:gridCol w:w="933"/>
        <w:gridCol w:w="466"/>
        <w:gridCol w:w="491"/>
        <w:gridCol w:w="2588"/>
        <w:gridCol w:w="874"/>
        <w:gridCol w:w="1593"/>
        <w:gridCol w:w="831"/>
        <w:gridCol w:w="747"/>
        <w:gridCol w:w="769"/>
        <w:gridCol w:w="755"/>
        <w:gridCol w:w="834"/>
        <w:gridCol w:w="875"/>
        <w:gridCol w:w="652"/>
      </w:tblGrid>
      <w:tr w14:paraId="147D2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7" w:type="pct"/>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6AE3096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序号</w:t>
            </w:r>
          </w:p>
        </w:tc>
        <w:tc>
          <w:tcPr>
            <w:tcW w:w="452" w:type="pct"/>
            <w:vMerge w:val="restart"/>
            <w:tcBorders>
              <w:top w:val="single" w:color="000000" w:sz="4" w:space="0"/>
              <w:left w:val="single" w:color="000000" w:sz="4" w:space="0"/>
              <w:bottom w:val="single" w:color="000000" w:sz="4" w:space="0"/>
              <w:right w:val="single" w:color="000000" w:sz="4" w:space="0"/>
            </w:tcBorders>
            <w:noWrap w:val="0"/>
            <w:vAlign w:val="center"/>
          </w:tcPr>
          <w:p w14:paraId="133824C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固体废物来源</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6BD6CD9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固体废物名称</w:t>
            </w:r>
          </w:p>
        </w:tc>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4C538F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固体废物种类</w:t>
            </w:r>
          </w:p>
        </w:tc>
        <w:tc>
          <w:tcPr>
            <w:tcW w:w="174" w:type="pct"/>
            <w:vMerge w:val="restart"/>
            <w:tcBorders>
              <w:top w:val="single" w:color="000000" w:sz="4" w:space="0"/>
              <w:left w:val="single" w:color="000000" w:sz="4" w:space="0"/>
              <w:bottom w:val="single" w:color="000000" w:sz="4" w:space="0"/>
              <w:right w:val="single" w:color="000000" w:sz="4" w:space="0"/>
            </w:tcBorders>
            <w:noWrap w:val="0"/>
            <w:vAlign w:val="center"/>
          </w:tcPr>
          <w:p w14:paraId="3FB9148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固体废物类别</w:t>
            </w:r>
          </w:p>
        </w:tc>
        <w:tc>
          <w:tcPr>
            <w:tcW w:w="921" w:type="pct"/>
            <w:vMerge w:val="restart"/>
            <w:tcBorders>
              <w:top w:val="single" w:color="000000" w:sz="4" w:space="0"/>
              <w:left w:val="single" w:color="000000" w:sz="4" w:space="0"/>
              <w:bottom w:val="single" w:color="000000" w:sz="4" w:space="0"/>
              <w:right w:val="single" w:color="000000" w:sz="4" w:space="0"/>
            </w:tcBorders>
            <w:noWrap w:val="0"/>
            <w:vAlign w:val="center"/>
          </w:tcPr>
          <w:p w14:paraId="26B6132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固体废物描述</w:t>
            </w:r>
          </w:p>
        </w:tc>
        <w:tc>
          <w:tcPr>
            <w:tcW w:w="311" w:type="pct"/>
            <w:vMerge w:val="restart"/>
            <w:tcBorders>
              <w:top w:val="single" w:color="000000" w:sz="4" w:space="0"/>
              <w:left w:val="single" w:color="000000" w:sz="4" w:space="0"/>
              <w:bottom w:val="single" w:color="000000" w:sz="4" w:space="0"/>
              <w:right w:val="single" w:color="000000" w:sz="4" w:space="0"/>
            </w:tcBorders>
            <w:noWrap w:val="0"/>
            <w:vAlign w:val="center"/>
          </w:tcPr>
          <w:p w14:paraId="62C5E5F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固体废物产生量（t/a）</w:t>
            </w:r>
          </w:p>
        </w:tc>
        <w:tc>
          <w:tcPr>
            <w:tcW w:w="567" w:type="pct"/>
            <w:vMerge w:val="restart"/>
            <w:tcBorders>
              <w:top w:val="single" w:color="000000" w:sz="4" w:space="0"/>
              <w:left w:val="single" w:color="000000" w:sz="4" w:space="0"/>
              <w:bottom w:val="single" w:color="000000" w:sz="4" w:space="0"/>
              <w:right w:val="single" w:color="000000" w:sz="4" w:space="0"/>
            </w:tcBorders>
            <w:noWrap w:val="0"/>
            <w:vAlign w:val="center"/>
          </w:tcPr>
          <w:p w14:paraId="150A157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处理方式</w:t>
            </w:r>
          </w:p>
        </w:tc>
        <w:tc>
          <w:tcPr>
            <w:tcW w:w="1714" w:type="pct"/>
            <w:gridSpan w:val="6"/>
            <w:tcBorders>
              <w:top w:val="single" w:color="000000" w:sz="4" w:space="0"/>
              <w:left w:val="single" w:color="000000" w:sz="4" w:space="0"/>
              <w:bottom w:val="single" w:color="000000" w:sz="4" w:space="0"/>
              <w:right w:val="single" w:color="000000" w:sz="4" w:space="0"/>
            </w:tcBorders>
            <w:noWrap w:val="0"/>
            <w:vAlign w:val="center"/>
          </w:tcPr>
          <w:p w14:paraId="25EB9BF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处理去向</w:t>
            </w:r>
          </w:p>
        </w:tc>
        <w:tc>
          <w:tcPr>
            <w:tcW w:w="232" w:type="pct"/>
            <w:vMerge w:val="restart"/>
            <w:tcBorders>
              <w:top w:val="single" w:color="000000" w:sz="4" w:space="0"/>
              <w:left w:val="single" w:color="000000" w:sz="4" w:space="0"/>
              <w:bottom w:val="single" w:color="000000" w:sz="4" w:space="0"/>
              <w:right w:val="single" w:color="000000" w:sz="4" w:space="0"/>
            </w:tcBorders>
            <w:noWrap w:val="0"/>
            <w:vAlign w:val="center"/>
          </w:tcPr>
          <w:p w14:paraId="3F955AA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其他信息</w:t>
            </w:r>
          </w:p>
        </w:tc>
      </w:tr>
      <w:tr w14:paraId="062EF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7" w:type="pct"/>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2A2D1F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45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5B5C1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5F6EC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CA900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2CBCA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9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EB9EC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3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60F62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5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A17F9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296" w:type="pct"/>
            <w:vMerge w:val="restart"/>
            <w:tcBorders>
              <w:top w:val="single" w:color="000000" w:sz="4" w:space="0"/>
              <w:left w:val="single" w:color="000000" w:sz="4" w:space="0"/>
              <w:bottom w:val="single" w:color="000000" w:sz="4" w:space="0"/>
              <w:right w:val="single" w:color="000000" w:sz="4" w:space="0"/>
            </w:tcBorders>
            <w:noWrap w:val="0"/>
            <w:vAlign w:val="center"/>
          </w:tcPr>
          <w:p w14:paraId="224B1BC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自行贮存量（t/a）</w:t>
            </w:r>
          </w:p>
        </w:tc>
        <w:tc>
          <w:tcPr>
            <w:tcW w:w="2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EEBC3B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自行利用（t/a）</w:t>
            </w:r>
          </w:p>
        </w:tc>
        <w:tc>
          <w:tcPr>
            <w:tcW w:w="274" w:type="pct"/>
            <w:vMerge w:val="restart"/>
            <w:tcBorders>
              <w:top w:val="single" w:color="000000" w:sz="4" w:space="0"/>
              <w:left w:val="single" w:color="000000" w:sz="4" w:space="0"/>
              <w:bottom w:val="single" w:color="000000" w:sz="4" w:space="0"/>
              <w:right w:val="single" w:color="000000" w:sz="4" w:space="0"/>
            </w:tcBorders>
            <w:noWrap w:val="0"/>
            <w:vAlign w:val="center"/>
          </w:tcPr>
          <w:p w14:paraId="7B3E215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自行处置（t/a）</w:t>
            </w:r>
          </w:p>
        </w:tc>
        <w:tc>
          <w:tcPr>
            <w:tcW w:w="566" w:type="pct"/>
            <w:gridSpan w:val="2"/>
            <w:tcBorders>
              <w:top w:val="single" w:color="000000" w:sz="4" w:space="0"/>
              <w:left w:val="single" w:color="000000" w:sz="4" w:space="0"/>
              <w:bottom w:val="single" w:color="000000" w:sz="4" w:space="0"/>
              <w:right w:val="single" w:color="000000" w:sz="4" w:space="0"/>
            </w:tcBorders>
            <w:noWrap w:val="0"/>
            <w:vAlign w:val="center"/>
          </w:tcPr>
          <w:p w14:paraId="538E844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转移量（t/a）</w:t>
            </w:r>
          </w:p>
        </w:tc>
        <w:tc>
          <w:tcPr>
            <w:tcW w:w="311" w:type="pct"/>
            <w:vMerge w:val="restart"/>
            <w:tcBorders>
              <w:top w:val="single" w:color="000000" w:sz="4" w:space="0"/>
              <w:left w:val="single" w:color="000000" w:sz="4" w:space="0"/>
              <w:bottom w:val="single" w:color="000000" w:sz="4" w:space="0"/>
              <w:right w:val="single" w:color="000000" w:sz="4" w:space="0"/>
            </w:tcBorders>
            <w:noWrap w:val="0"/>
            <w:vAlign w:val="center"/>
          </w:tcPr>
          <w:p w14:paraId="40DA6C0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排放量（t/a）</w:t>
            </w:r>
          </w:p>
        </w:tc>
        <w:tc>
          <w:tcPr>
            <w:tcW w:w="2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3839B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r>
      <w:tr w14:paraId="76618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7" w:type="pct"/>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2967B3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45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0D39C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CD30E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F06F9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6FF19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9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DECD6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3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6166F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5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54A5D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29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006D3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2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0E1E0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2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78DF1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269" w:type="pct"/>
            <w:tcBorders>
              <w:top w:val="single" w:color="000000" w:sz="4" w:space="0"/>
              <w:left w:val="single" w:color="000000" w:sz="4" w:space="0"/>
              <w:bottom w:val="single" w:color="000000" w:sz="4" w:space="0"/>
              <w:right w:val="single" w:color="000000" w:sz="4" w:space="0"/>
            </w:tcBorders>
            <w:noWrap w:val="0"/>
            <w:vAlign w:val="center"/>
          </w:tcPr>
          <w:p w14:paraId="12B7E07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委托利用量</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1C0CF3F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r>
              <w:rPr>
                <w:rFonts w:hint="default" w:ascii="Times New Roman" w:hAnsi="Times New Roman" w:eastAsia="宋体" w:cs="Times New Roman"/>
                <w:b/>
                <w:bCs/>
                <w:color w:val="auto"/>
                <w:spacing w:val="7"/>
                <w:sz w:val="21"/>
                <w:szCs w:val="21"/>
                <w:lang w:val="en-US" w:eastAsia="zh-CN"/>
              </w:rPr>
              <w:t>委托处置量</w:t>
            </w:r>
          </w:p>
        </w:tc>
        <w:tc>
          <w:tcPr>
            <w:tcW w:w="3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3D94D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c>
          <w:tcPr>
            <w:tcW w:w="2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5B6F7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1"/>
                <w:szCs w:val="21"/>
                <w:lang w:val="en-US" w:eastAsia="zh-CN"/>
              </w:rPr>
            </w:pPr>
          </w:p>
        </w:tc>
      </w:tr>
      <w:tr w14:paraId="327BEFE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066382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1</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0EFD3261">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砂处理、制芯（射芯）、落砂、混砂</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357E4C5">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废砂</w:t>
            </w:r>
          </w:p>
        </w:tc>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DD1480E">
            <w:pPr>
              <w:pStyle w:val="116"/>
              <w:tabs>
                <w:tab w:val="left" w:pos="0"/>
              </w:tabs>
              <w:spacing w:line="240" w:lineRule="auto"/>
              <w:ind w:firstLine="0" w:firstLineChars="0"/>
              <w:rPr>
                <w:rFonts w:hint="eastAsia"/>
                <w:color w:val="auto"/>
                <w:sz w:val="21"/>
                <w:szCs w:val="21"/>
              </w:rPr>
            </w:pPr>
            <w:r>
              <w:rPr>
                <w:rFonts w:hint="eastAsia"/>
                <w:color w:val="auto"/>
                <w:sz w:val="21"/>
                <w:szCs w:val="21"/>
                <w:lang w:eastAsia="zh-CN"/>
              </w:rPr>
              <w:t>其他</w:t>
            </w:r>
            <w:r>
              <w:rPr>
                <w:rFonts w:hint="eastAsia"/>
                <w:color w:val="auto"/>
                <w:sz w:val="21"/>
                <w:szCs w:val="21"/>
              </w:rPr>
              <w:t>固体废物</w:t>
            </w:r>
          </w:p>
          <w:p w14:paraId="5C83843B">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color w:val="auto"/>
                <w:sz w:val="21"/>
                <w:szCs w:val="21"/>
              </w:rPr>
              <w:t>（含半液态、液态废物）</w:t>
            </w:r>
          </w:p>
        </w:tc>
        <w:tc>
          <w:tcPr>
            <w:tcW w:w="174" w:type="pct"/>
            <w:vMerge w:val="restart"/>
            <w:tcBorders>
              <w:top w:val="single" w:color="000000" w:sz="4" w:space="0"/>
              <w:left w:val="single" w:color="000000" w:sz="4" w:space="0"/>
              <w:bottom w:val="single" w:color="000000" w:sz="4" w:space="0"/>
              <w:right w:val="single" w:color="000000" w:sz="4" w:space="0"/>
            </w:tcBorders>
            <w:noWrap w:val="0"/>
            <w:vAlign w:val="center"/>
          </w:tcPr>
          <w:p w14:paraId="2E2972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一般固废</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574286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b w:val="0"/>
                <w:bCs/>
                <w:color w:val="auto"/>
                <w:sz w:val="21"/>
                <w:szCs w:val="21"/>
                <w:lang w:val="en-US" w:eastAsia="zh-CN"/>
              </w:rPr>
              <w:t>砂处理、制芯（射芯）、落砂、混砂等过程中产生废砂</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27151501">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35</w:t>
            </w:r>
            <w:r>
              <w:rPr>
                <w:rFonts w:hint="eastAsia" w:ascii="Times New Roman" w:hAnsi="Times New Roman" w:eastAsia="宋体" w:cs="Times New Roman"/>
                <w:b w:val="0"/>
                <w:bCs/>
                <w:color w:val="auto"/>
                <w:sz w:val="21"/>
                <w:szCs w:val="21"/>
                <w:lang w:val="en-US" w:eastAsia="zh-CN"/>
              </w:rPr>
              <w:t>0</w:t>
            </w:r>
          </w:p>
        </w:tc>
        <w:tc>
          <w:tcPr>
            <w:tcW w:w="567" w:type="pct"/>
            <w:tcBorders>
              <w:top w:val="single" w:color="000000" w:sz="4" w:space="0"/>
              <w:left w:val="single" w:color="000000" w:sz="4" w:space="0"/>
              <w:bottom w:val="single" w:color="000000" w:sz="4" w:space="0"/>
              <w:right w:val="single" w:color="000000" w:sz="4" w:space="0"/>
            </w:tcBorders>
            <w:noWrap w:val="0"/>
            <w:vAlign w:val="center"/>
          </w:tcPr>
          <w:p w14:paraId="5720BB9B">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委托废砂处理公司回收处理</w:t>
            </w: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1AF528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66" w:type="pct"/>
            <w:tcBorders>
              <w:top w:val="single" w:color="000000" w:sz="4" w:space="0"/>
              <w:left w:val="single" w:color="000000" w:sz="4" w:space="0"/>
              <w:bottom w:val="single" w:color="000000" w:sz="4" w:space="0"/>
              <w:right w:val="single" w:color="000000" w:sz="4" w:space="0"/>
            </w:tcBorders>
            <w:noWrap w:val="0"/>
            <w:vAlign w:val="center"/>
          </w:tcPr>
          <w:p w14:paraId="248760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6054F87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153AFB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652A62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350</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3FDFC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6EBC72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3A9464C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3E5080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2</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440D84EA">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切割</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6850098">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废浇冒口</w:t>
            </w: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54DB5F">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3BE0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21" w:type="pct"/>
            <w:vMerge w:val="restart"/>
            <w:tcBorders>
              <w:top w:val="single" w:color="000000" w:sz="4" w:space="0"/>
              <w:left w:val="single" w:color="000000" w:sz="4" w:space="0"/>
              <w:bottom w:val="single" w:color="000000" w:sz="4" w:space="0"/>
              <w:right w:val="single" w:color="000000" w:sz="4" w:space="0"/>
            </w:tcBorders>
            <w:noWrap w:val="0"/>
            <w:vAlign w:val="center"/>
          </w:tcPr>
          <w:p w14:paraId="20E1CF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切割、打磨过程中产生的废金属料</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4CCD9B2D">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0.5</w:t>
            </w:r>
          </w:p>
        </w:tc>
        <w:tc>
          <w:tcPr>
            <w:tcW w:w="567" w:type="pct"/>
            <w:vMerge w:val="restart"/>
            <w:tcBorders>
              <w:top w:val="single" w:color="000000" w:sz="4" w:space="0"/>
              <w:left w:val="single" w:color="000000" w:sz="4" w:space="0"/>
              <w:bottom w:val="single" w:color="000000" w:sz="4" w:space="0"/>
              <w:right w:val="single" w:color="000000" w:sz="4" w:space="0"/>
            </w:tcBorders>
            <w:noWrap w:val="0"/>
            <w:vAlign w:val="center"/>
          </w:tcPr>
          <w:p w14:paraId="4601DE9E">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收集后回用于生产</w:t>
            </w: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4EAC40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66" w:type="pct"/>
            <w:tcBorders>
              <w:top w:val="single" w:color="000000" w:sz="4" w:space="0"/>
              <w:left w:val="single" w:color="000000" w:sz="4" w:space="0"/>
              <w:bottom w:val="single" w:color="000000" w:sz="4" w:space="0"/>
              <w:right w:val="single" w:color="000000" w:sz="4" w:space="0"/>
            </w:tcBorders>
            <w:noWrap w:val="0"/>
            <w:vAlign w:val="center"/>
          </w:tcPr>
          <w:p w14:paraId="3E1E5EF1">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0.5</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38E530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702F23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7B8293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32E90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727770C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679F5DC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7E3D63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3</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713395D5">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切割、打磨</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F379667">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边角料</w:t>
            </w: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543D51">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545A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76BF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07163E96">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w:t>
            </w:r>
          </w:p>
        </w:tc>
        <w:tc>
          <w:tcPr>
            <w:tcW w:w="5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451439">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3F14125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66" w:type="pct"/>
            <w:tcBorders>
              <w:top w:val="single" w:color="000000" w:sz="4" w:space="0"/>
              <w:left w:val="single" w:color="000000" w:sz="4" w:space="0"/>
              <w:bottom w:val="single" w:color="000000" w:sz="4" w:space="0"/>
              <w:right w:val="single" w:color="000000" w:sz="4" w:space="0"/>
            </w:tcBorders>
            <w:noWrap w:val="0"/>
            <w:vAlign w:val="center"/>
          </w:tcPr>
          <w:p w14:paraId="3C39BAEB">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1</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6C694F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5D6D05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03285D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E5D31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4E0F6DF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7E9FE5B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2350F58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4</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4C08918D">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检验</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ED87857">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不合格品</w:t>
            </w: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316E40">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1E8B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3C5A39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检验工序发现的不合格品</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00ED3027">
            <w:pPr>
              <w:pStyle w:val="116"/>
              <w:tabs>
                <w:tab w:val="left" w:pos="0"/>
              </w:tabs>
              <w:spacing w:line="240" w:lineRule="auto"/>
              <w:ind w:firstLine="0" w:firstLineChars="0"/>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0.5</w:t>
            </w:r>
          </w:p>
        </w:tc>
        <w:tc>
          <w:tcPr>
            <w:tcW w:w="5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9F1F6D">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0EBA3B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66" w:type="pct"/>
            <w:tcBorders>
              <w:top w:val="single" w:color="000000" w:sz="4" w:space="0"/>
              <w:left w:val="single" w:color="000000" w:sz="4" w:space="0"/>
              <w:bottom w:val="single" w:color="000000" w:sz="4" w:space="0"/>
              <w:right w:val="single" w:color="000000" w:sz="4" w:space="0"/>
            </w:tcBorders>
            <w:noWrap w:val="0"/>
            <w:vAlign w:val="center"/>
          </w:tcPr>
          <w:p w14:paraId="17633043">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0.5</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63BC351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6A0DE3D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7091AF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102334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0907ECE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241D5A5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49FAA99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5</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60BA064F">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熔化</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2368E6B">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炉渣</w:t>
            </w: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07845C">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B07F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3B67AF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有轭中频感应电炉熔化过程中会残留部分炉渣</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38F489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0.5</w:t>
            </w:r>
          </w:p>
        </w:tc>
        <w:tc>
          <w:tcPr>
            <w:tcW w:w="567" w:type="pct"/>
            <w:vMerge w:val="restart"/>
            <w:tcBorders>
              <w:top w:val="single" w:color="000000" w:sz="4" w:space="0"/>
              <w:left w:val="single" w:color="000000" w:sz="4" w:space="0"/>
              <w:bottom w:val="single" w:color="000000" w:sz="4" w:space="0"/>
              <w:right w:val="single" w:color="000000" w:sz="4" w:space="0"/>
            </w:tcBorders>
            <w:noWrap w:val="0"/>
            <w:vAlign w:val="center"/>
          </w:tcPr>
          <w:p w14:paraId="7301947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收集后外售综合利用</w:t>
            </w: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48D2E6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48" w:type="dxa"/>
            <w:tcBorders>
              <w:top w:val="single" w:color="000000" w:sz="4" w:space="0"/>
              <w:left w:val="single" w:color="000000" w:sz="4" w:space="0"/>
              <w:bottom w:val="single" w:color="000000" w:sz="4" w:space="0"/>
              <w:right w:val="single" w:color="000000" w:sz="4" w:space="0"/>
            </w:tcBorders>
            <w:noWrap w:val="0"/>
            <w:vAlign w:val="center"/>
          </w:tcPr>
          <w:p w14:paraId="2DC906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05EA93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56BA91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5164D1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0.5</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DCCCB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435879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03A20F6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1230BF5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6</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5E6A8E2F">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原料使用</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0A50625">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废包装材料</w:t>
            </w: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9409B8">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9A72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7A707286">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原材料使用及产品包装过程中会产生少量的废纸、塑料膜、纸箱等</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0356B4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0.1</w:t>
            </w:r>
          </w:p>
        </w:tc>
        <w:tc>
          <w:tcPr>
            <w:tcW w:w="5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81DF2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5D9260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48" w:type="dxa"/>
            <w:tcBorders>
              <w:top w:val="single" w:color="000000" w:sz="4" w:space="0"/>
              <w:left w:val="single" w:color="000000" w:sz="4" w:space="0"/>
              <w:bottom w:val="single" w:color="000000" w:sz="4" w:space="0"/>
              <w:right w:val="single" w:color="000000" w:sz="4" w:space="0"/>
            </w:tcBorders>
            <w:noWrap w:val="0"/>
            <w:vAlign w:val="center"/>
          </w:tcPr>
          <w:p w14:paraId="0E75764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213D81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076F53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5A4EE0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0.1</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89032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588655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r>
      <w:tr w14:paraId="590174E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0" w:hRule="atLeast"/>
          <w:jc w:val="center"/>
        </w:trPr>
        <w:tc>
          <w:tcPr>
            <w:tcW w:w="127" w:type="pct"/>
            <w:tcBorders>
              <w:top w:val="single" w:color="000000" w:sz="4" w:space="0"/>
              <w:left w:val="single" w:color="000000" w:sz="4" w:space="0"/>
              <w:bottom w:val="single" w:color="000000" w:sz="4" w:space="0"/>
              <w:right w:val="single" w:color="000000" w:sz="4" w:space="0"/>
            </w:tcBorders>
            <w:noWrap w:val="0"/>
            <w:vAlign w:val="center"/>
          </w:tcPr>
          <w:p w14:paraId="59875F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7</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310F0CC9">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废气处理</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51FF6B2">
            <w:pPr>
              <w:pStyle w:val="116"/>
              <w:tabs>
                <w:tab w:val="left" w:pos="0"/>
              </w:tabs>
              <w:spacing w:line="240" w:lineRule="auto"/>
              <w:ind w:firstLine="0" w:firstLineChars="0"/>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收集粉尘</w:t>
            </w:r>
          </w:p>
        </w:tc>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4399C8">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p>
        </w:tc>
        <w:tc>
          <w:tcPr>
            <w:tcW w:w="1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7D0A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158B42DD">
            <w:pPr>
              <w:pStyle w:val="116"/>
              <w:tabs>
                <w:tab w:val="left" w:pos="0"/>
              </w:tabs>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除尘器收集的粉尘</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5C7C3130">
            <w:pPr>
              <w:pStyle w:val="116"/>
              <w:tabs>
                <w:tab w:val="left" w:pos="0"/>
              </w:tabs>
              <w:spacing w:line="240" w:lineRule="auto"/>
              <w:ind w:firstLine="0" w:firstLineChars="0"/>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sz w:val="21"/>
                <w:szCs w:val="21"/>
                <w:lang w:val="en-US" w:eastAsia="zh-CN"/>
              </w:rPr>
              <w:t>216.858</w:t>
            </w:r>
          </w:p>
        </w:tc>
        <w:tc>
          <w:tcPr>
            <w:tcW w:w="5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D074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96" w:type="pct"/>
            <w:tcBorders>
              <w:top w:val="single" w:color="000000" w:sz="4" w:space="0"/>
              <w:left w:val="single" w:color="000000" w:sz="4" w:space="0"/>
              <w:bottom w:val="single" w:color="000000" w:sz="4" w:space="0"/>
              <w:right w:val="single" w:color="000000" w:sz="4" w:space="0"/>
            </w:tcBorders>
            <w:noWrap w:val="0"/>
            <w:vAlign w:val="center"/>
          </w:tcPr>
          <w:p w14:paraId="1F367B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48" w:type="dxa"/>
            <w:tcBorders>
              <w:top w:val="single" w:color="000000" w:sz="4" w:space="0"/>
              <w:left w:val="single" w:color="000000" w:sz="4" w:space="0"/>
              <w:bottom w:val="single" w:color="000000" w:sz="4" w:space="0"/>
              <w:right w:val="single" w:color="000000" w:sz="4" w:space="0"/>
            </w:tcBorders>
            <w:noWrap w:val="0"/>
            <w:vAlign w:val="center"/>
          </w:tcPr>
          <w:p w14:paraId="52591C1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70" w:type="dxa"/>
            <w:tcBorders>
              <w:top w:val="single" w:color="000000" w:sz="4" w:space="0"/>
              <w:left w:val="single" w:color="000000" w:sz="4" w:space="0"/>
              <w:bottom w:val="single" w:color="000000" w:sz="4" w:space="0"/>
              <w:right w:val="single" w:color="000000" w:sz="4" w:space="0"/>
            </w:tcBorders>
            <w:noWrap w:val="0"/>
            <w:vAlign w:val="center"/>
          </w:tcPr>
          <w:p w14:paraId="21BE686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0F396A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97" w:type="pct"/>
            <w:tcBorders>
              <w:top w:val="single" w:color="000000" w:sz="4" w:space="0"/>
              <w:left w:val="single" w:color="000000" w:sz="4" w:space="0"/>
              <w:bottom w:val="single" w:color="000000" w:sz="4" w:space="0"/>
              <w:right w:val="single" w:color="000000" w:sz="4" w:space="0"/>
            </w:tcBorders>
            <w:noWrap w:val="0"/>
            <w:vAlign w:val="center"/>
          </w:tcPr>
          <w:p w14:paraId="6CC9770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216.858</w:t>
            </w:r>
          </w:p>
        </w:tc>
        <w:tc>
          <w:tcPr>
            <w:tcW w:w="311" w:type="pct"/>
            <w:tcBorders>
              <w:top w:val="single" w:color="000000" w:sz="4" w:space="0"/>
              <w:left w:val="single" w:color="000000" w:sz="4" w:space="0"/>
              <w:bottom w:val="single" w:color="000000" w:sz="4" w:space="0"/>
              <w:right w:val="single" w:color="000000" w:sz="4" w:space="0"/>
            </w:tcBorders>
            <w:noWrap w:val="0"/>
            <w:vAlign w:val="center"/>
          </w:tcPr>
          <w:p w14:paraId="3C50A8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341B02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kern w:val="2"/>
                <w:position w:val="1"/>
                <w:sz w:val="21"/>
                <w:szCs w:val="21"/>
                <w:lang w:val="en-US" w:eastAsia="zh-CN" w:bidi="ar-SA"/>
              </w:rPr>
              <w:t>/</w:t>
            </w:r>
          </w:p>
        </w:tc>
      </w:tr>
    </w:tbl>
    <w:p w14:paraId="42D9FE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FF0000"/>
          <w:spacing w:val="3"/>
          <w:position w:val="1"/>
          <w:sz w:val="21"/>
          <w:szCs w:val="21"/>
          <w:lang w:val="en-US" w:eastAsia="zh-CN"/>
        </w:rPr>
      </w:pPr>
    </w:p>
    <w:p w14:paraId="730CB89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color w:val="auto"/>
          <w:spacing w:val="7"/>
          <w:sz w:val="24"/>
          <w:szCs w:val="24"/>
          <w:lang w:val="en-US" w:eastAsia="zh-CN"/>
        </w:rPr>
      </w:pPr>
      <w:r>
        <w:rPr>
          <w:rFonts w:hint="default" w:ascii="Times New Roman" w:hAnsi="Times New Roman" w:eastAsia="宋体" w:cs="Times New Roman"/>
          <w:b/>
          <w:bCs/>
          <w:color w:val="auto"/>
          <w:spacing w:val="7"/>
          <w:sz w:val="24"/>
          <w:szCs w:val="24"/>
          <w:lang w:val="en-US" w:eastAsia="zh-CN"/>
        </w:rPr>
        <w:t>表1</w:t>
      </w:r>
      <w:r>
        <w:rPr>
          <w:rFonts w:hint="eastAsia" w:ascii="Times New Roman" w:hAnsi="Times New Roman" w:eastAsia="宋体" w:cs="Times New Roman"/>
          <w:b/>
          <w:bCs/>
          <w:color w:val="auto"/>
          <w:spacing w:val="7"/>
          <w:sz w:val="24"/>
          <w:szCs w:val="24"/>
          <w:lang w:val="en-US" w:eastAsia="zh-CN"/>
        </w:rPr>
        <w:t xml:space="preserve">4  </w:t>
      </w:r>
      <w:r>
        <w:rPr>
          <w:rFonts w:hint="default" w:ascii="Times New Roman" w:hAnsi="Times New Roman" w:eastAsia="宋体" w:cs="Times New Roman"/>
          <w:b/>
          <w:bCs/>
          <w:color w:val="auto"/>
          <w:spacing w:val="7"/>
          <w:sz w:val="24"/>
          <w:szCs w:val="24"/>
          <w:lang w:val="en-US" w:eastAsia="zh-CN"/>
        </w:rPr>
        <w:t>建设项目自行监测及记录信息表</w:t>
      </w:r>
    </w:p>
    <w:tbl>
      <w:tblPr>
        <w:tblStyle w:val="129"/>
        <w:tblW w:w="50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98"/>
        <w:gridCol w:w="757"/>
        <w:gridCol w:w="700"/>
        <w:gridCol w:w="1188"/>
        <w:gridCol w:w="970"/>
        <w:gridCol w:w="805"/>
        <w:gridCol w:w="377"/>
        <w:gridCol w:w="700"/>
        <w:gridCol w:w="698"/>
        <w:gridCol w:w="666"/>
        <w:gridCol w:w="1199"/>
        <w:gridCol w:w="800"/>
        <w:gridCol w:w="732"/>
        <w:gridCol w:w="3788"/>
        <w:gridCol w:w="479"/>
      </w:tblGrid>
      <w:tr w14:paraId="64B0B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noWrap w:val="0"/>
            <w:textDirection w:val="tbRlV"/>
            <w:vAlign w:val="center"/>
          </w:tcPr>
          <w:p w14:paraId="0D0B5B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序号</w:t>
            </w:r>
          </w:p>
        </w:tc>
        <w:tc>
          <w:tcPr>
            <w:tcW w:w="267" w:type="pct"/>
            <w:noWrap w:val="0"/>
            <w:vAlign w:val="center"/>
          </w:tcPr>
          <w:p w14:paraId="423054D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污染源类别/监测类别</w:t>
            </w:r>
          </w:p>
        </w:tc>
        <w:tc>
          <w:tcPr>
            <w:tcW w:w="247" w:type="pct"/>
            <w:noWrap w:val="0"/>
            <w:vAlign w:val="center"/>
          </w:tcPr>
          <w:p w14:paraId="31D7B8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排放口编号/监测点位</w:t>
            </w:r>
          </w:p>
        </w:tc>
        <w:tc>
          <w:tcPr>
            <w:tcW w:w="419" w:type="pct"/>
            <w:noWrap w:val="0"/>
            <w:vAlign w:val="center"/>
          </w:tcPr>
          <w:p w14:paraId="1BDCB73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排放口名称/监测点位名称</w:t>
            </w:r>
          </w:p>
        </w:tc>
        <w:tc>
          <w:tcPr>
            <w:tcW w:w="342" w:type="pct"/>
            <w:noWrap w:val="0"/>
            <w:vAlign w:val="center"/>
          </w:tcPr>
          <w:p w14:paraId="2B931B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监测内容</w:t>
            </w:r>
          </w:p>
        </w:tc>
        <w:tc>
          <w:tcPr>
            <w:tcW w:w="284" w:type="pct"/>
            <w:noWrap w:val="0"/>
            <w:vAlign w:val="center"/>
          </w:tcPr>
          <w:p w14:paraId="1F20E0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污染物名称</w:t>
            </w:r>
          </w:p>
        </w:tc>
        <w:tc>
          <w:tcPr>
            <w:tcW w:w="133" w:type="pct"/>
            <w:noWrap w:val="0"/>
            <w:vAlign w:val="center"/>
          </w:tcPr>
          <w:p w14:paraId="3EAA45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监测设施</w:t>
            </w:r>
          </w:p>
        </w:tc>
        <w:tc>
          <w:tcPr>
            <w:tcW w:w="247" w:type="pct"/>
            <w:noWrap w:val="0"/>
            <w:vAlign w:val="center"/>
          </w:tcPr>
          <w:p w14:paraId="5474B1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自动监测是否联网</w:t>
            </w:r>
          </w:p>
        </w:tc>
        <w:tc>
          <w:tcPr>
            <w:tcW w:w="246" w:type="pct"/>
            <w:noWrap w:val="0"/>
            <w:vAlign w:val="center"/>
          </w:tcPr>
          <w:p w14:paraId="2C5186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自动监测仪器名称</w:t>
            </w:r>
          </w:p>
        </w:tc>
        <w:tc>
          <w:tcPr>
            <w:tcW w:w="235" w:type="pct"/>
            <w:noWrap w:val="0"/>
            <w:vAlign w:val="center"/>
          </w:tcPr>
          <w:p w14:paraId="57589D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自动监测设施安装位置</w:t>
            </w:r>
          </w:p>
        </w:tc>
        <w:tc>
          <w:tcPr>
            <w:tcW w:w="423" w:type="pct"/>
            <w:noWrap w:val="0"/>
            <w:vAlign w:val="center"/>
          </w:tcPr>
          <w:p w14:paraId="00DF81E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自动监测设施是否符合安装、运行、维护等管理要求</w:t>
            </w:r>
          </w:p>
        </w:tc>
        <w:tc>
          <w:tcPr>
            <w:tcW w:w="282" w:type="pct"/>
            <w:tcBorders>
              <w:bottom w:val="single" w:color="000000" w:sz="4" w:space="0"/>
            </w:tcBorders>
            <w:noWrap w:val="0"/>
            <w:vAlign w:val="center"/>
          </w:tcPr>
          <w:p w14:paraId="268E6B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手工监测采样方法及个数</w:t>
            </w:r>
          </w:p>
        </w:tc>
        <w:tc>
          <w:tcPr>
            <w:tcW w:w="258" w:type="pct"/>
            <w:noWrap w:val="0"/>
            <w:vAlign w:val="center"/>
          </w:tcPr>
          <w:p w14:paraId="494536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手工监测频次</w:t>
            </w:r>
          </w:p>
        </w:tc>
        <w:tc>
          <w:tcPr>
            <w:tcW w:w="1336" w:type="pct"/>
            <w:noWrap w:val="0"/>
            <w:vAlign w:val="center"/>
          </w:tcPr>
          <w:p w14:paraId="20D594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手工测定方法</w:t>
            </w:r>
          </w:p>
        </w:tc>
        <w:tc>
          <w:tcPr>
            <w:tcW w:w="169" w:type="pct"/>
            <w:noWrap w:val="0"/>
            <w:vAlign w:val="center"/>
          </w:tcPr>
          <w:p w14:paraId="1BF0CF1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spacing w:val="3"/>
                <w:position w:val="1"/>
                <w:sz w:val="21"/>
                <w:szCs w:val="21"/>
                <w:lang w:val="en-US" w:eastAsia="zh-CN"/>
              </w:rPr>
            </w:pPr>
            <w:r>
              <w:rPr>
                <w:rFonts w:hint="default" w:ascii="Times New Roman" w:hAnsi="Times New Roman" w:eastAsia="宋体" w:cs="Times New Roman"/>
                <w:b/>
                <w:bCs/>
                <w:color w:val="auto"/>
                <w:spacing w:val="3"/>
                <w:position w:val="1"/>
                <w:sz w:val="21"/>
                <w:szCs w:val="21"/>
                <w:lang w:val="en-US" w:eastAsia="zh-CN"/>
              </w:rPr>
              <w:t>其他信息</w:t>
            </w:r>
          </w:p>
        </w:tc>
      </w:tr>
      <w:tr w14:paraId="4B22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restart"/>
            <w:noWrap w:val="0"/>
            <w:vAlign w:val="center"/>
          </w:tcPr>
          <w:p w14:paraId="7761EC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w:t>
            </w:r>
          </w:p>
        </w:tc>
        <w:tc>
          <w:tcPr>
            <w:tcW w:w="267" w:type="pct"/>
            <w:vMerge w:val="restart"/>
            <w:noWrap w:val="0"/>
            <w:vAlign w:val="center"/>
          </w:tcPr>
          <w:p w14:paraId="4D5875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废气</w:t>
            </w:r>
          </w:p>
        </w:tc>
        <w:tc>
          <w:tcPr>
            <w:tcW w:w="247" w:type="pct"/>
            <w:noWrap w:val="0"/>
            <w:vAlign w:val="center"/>
          </w:tcPr>
          <w:p w14:paraId="06ECCF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DA001</w:t>
            </w:r>
          </w:p>
        </w:tc>
        <w:tc>
          <w:tcPr>
            <w:tcW w:w="419" w:type="pct"/>
            <w:noWrap w:val="0"/>
            <w:vAlign w:val="center"/>
          </w:tcPr>
          <w:p w14:paraId="4199D1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现有熔化废气排气筒</w:t>
            </w:r>
          </w:p>
        </w:tc>
        <w:tc>
          <w:tcPr>
            <w:tcW w:w="342" w:type="pct"/>
            <w:noWrap w:val="0"/>
            <w:vAlign w:val="center"/>
          </w:tcPr>
          <w:p w14:paraId="0BCF020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烟气流速</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烟气温度</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烟气量</w:t>
            </w:r>
          </w:p>
        </w:tc>
        <w:tc>
          <w:tcPr>
            <w:tcW w:w="284" w:type="pct"/>
            <w:noWrap w:val="0"/>
            <w:vAlign w:val="center"/>
          </w:tcPr>
          <w:p w14:paraId="4988C6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颗粒物</w:t>
            </w:r>
          </w:p>
        </w:tc>
        <w:tc>
          <w:tcPr>
            <w:tcW w:w="133" w:type="pct"/>
            <w:noWrap w:val="0"/>
            <w:vAlign w:val="center"/>
          </w:tcPr>
          <w:p w14:paraId="764D6F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10D6A1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1256B6C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66FE716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noWrap w:val="0"/>
            <w:vAlign w:val="center"/>
          </w:tcPr>
          <w:p w14:paraId="2BE3BD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restart"/>
            <w:tcBorders>
              <w:top w:val="single" w:color="000000" w:sz="4" w:space="0"/>
              <w:left w:val="single" w:color="000000" w:sz="4" w:space="0"/>
              <w:right w:val="single" w:color="000000" w:sz="4" w:space="0"/>
            </w:tcBorders>
            <w:noWrap w:val="0"/>
            <w:vAlign w:val="center"/>
          </w:tcPr>
          <w:p w14:paraId="44992C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非连续采样至少4个</w:t>
            </w:r>
          </w:p>
        </w:tc>
        <w:tc>
          <w:tcPr>
            <w:tcW w:w="258" w:type="pct"/>
            <w:tcBorders>
              <w:left w:val="single" w:color="000000" w:sz="4" w:space="0"/>
            </w:tcBorders>
            <w:noWrap w:val="0"/>
            <w:vAlign w:val="center"/>
          </w:tcPr>
          <w:p w14:paraId="5E8B1F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noWrap w:val="0"/>
            <w:vAlign w:val="center"/>
          </w:tcPr>
          <w:p w14:paraId="350A6E5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514178F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61B9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1DFF29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67" w:type="pct"/>
            <w:vMerge w:val="continue"/>
            <w:noWrap w:val="0"/>
            <w:vAlign w:val="center"/>
          </w:tcPr>
          <w:p w14:paraId="748EF2C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47" w:type="pct"/>
            <w:noWrap w:val="0"/>
            <w:vAlign w:val="center"/>
          </w:tcPr>
          <w:p w14:paraId="0E70613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DA002</w:t>
            </w:r>
          </w:p>
        </w:tc>
        <w:tc>
          <w:tcPr>
            <w:tcW w:w="419" w:type="pct"/>
            <w:noWrap w:val="0"/>
            <w:vAlign w:val="center"/>
          </w:tcPr>
          <w:p w14:paraId="1ACEE3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砂处理废气排气筒</w:t>
            </w:r>
          </w:p>
        </w:tc>
        <w:tc>
          <w:tcPr>
            <w:tcW w:w="342" w:type="pct"/>
            <w:noWrap w:val="0"/>
            <w:vAlign w:val="center"/>
          </w:tcPr>
          <w:p w14:paraId="1616231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烟气流速</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烟气温度</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烟气量</w:t>
            </w:r>
          </w:p>
        </w:tc>
        <w:tc>
          <w:tcPr>
            <w:tcW w:w="284" w:type="pct"/>
            <w:noWrap w:val="0"/>
            <w:vAlign w:val="center"/>
          </w:tcPr>
          <w:p w14:paraId="367B2F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颗粒物</w:t>
            </w:r>
          </w:p>
        </w:tc>
        <w:tc>
          <w:tcPr>
            <w:tcW w:w="133" w:type="pct"/>
            <w:noWrap w:val="0"/>
            <w:vAlign w:val="center"/>
          </w:tcPr>
          <w:p w14:paraId="30363E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07C20D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7E03F8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5A6BCC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noWrap w:val="0"/>
            <w:vAlign w:val="center"/>
          </w:tcPr>
          <w:p w14:paraId="5F09892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left w:val="single" w:color="000000" w:sz="4" w:space="0"/>
              <w:right w:val="single" w:color="000000" w:sz="4" w:space="0"/>
            </w:tcBorders>
            <w:noWrap w:val="0"/>
            <w:vAlign w:val="center"/>
          </w:tcPr>
          <w:p w14:paraId="1E590F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58" w:type="pct"/>
            <w:tcBorders>
              <w:left w:val="single" w:color="000000" w:sz="4" w:space="0"/>
            </w:tcBorders>
            <w:noWrap w:val="0"/>
            <w:vAlign w:val="center"/>
          </w:tcPr>
          <w:p w14:paraId="2D23EFF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noWrap w:val="0"/>
            <w:vAlign w:val="center"/>
          </w:tcPr>
          <w:p w14:paraId="454F64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51211F5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3CF5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3DACDF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67" w:type="pct"/>
            <w:vMerge w:val="continue"/>
            <w:noWrap w:val="0"/>
            <w:vAlign w:val="center"/>
          </w:tcPr>
          <w:p w14:paraId="4D93147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47" w:type="pct"/>
            <w:noWrap w:val="0"/>
            <w:vAlign w:val="center"/>
          </w:tcPr>
          <w:p w14:paraId="575610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DA003</w:t>
            </w:r>
          </w:p>
        </w:tc>
        <w:tc>
          <w:tcPr>
            <w:tcW w:w="419" w:type="pct"/>
            <w:noWrap w:val="0"/>
            <w:vAlign w:val="center"/>
          </w:tcPr>
          <w:p w14:paraId="4CE35C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cs="Times New Roman"/>
                <w:color w:val="auto"/>
                <w:spacing w:val="3"/>
                <w:position w:val="1"/>
                <w:sz w:val="21"/>
                <w:szCs w:val="21"/>
                <w:lang w:val="en-US" w:eastAsia="zh-CN"/>
              </w:rPr>
              <w:t>打磨</w:t>
            </w:r>
            <w:r>
              <w:rPr>
                <w:rFonts w:hint="eastAsia" w:ascii="Times New Roman" w:hAnsi="Times New Roman" w:eastAsia="宋体" w:cs="Times New Roman"/>
                <w:color w:val="auto"/>
                <w:spacing w:val="3"/>
                <w:position w:val="1"/>
                <w:sz w:val="21"/>
                <w:szCs w:val="21"/>
                <w:lang w:val="en-US" w:eastAsia="zh-CN"/>
              </w:rPr>
              <w:t>废气排气筒</w:t>
            </w:r>
          </w:p>
        </w:tc>
        <w:tc>
          <w:tcPr>
            <w:tcW w:w="342" w:type="pct"/>
            <w:noWrap w:val="0"/>
            <w:vAlign w:val="center"/>
          </w:tcPr>
          <w:p w14:paraId="0A60FE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烟气流速</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烟气温度</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烟气量</w:t>
            </w:r>
          </w:p>
        </w:tc>
        <w:tc>
          <w:tcPr>
            <w:tcW w:w="284" w:type="pct"/>
            <w:noWrap w:val="0"/>
            <w:vAlign w:val="center"/>
          </w:tcPr>
          <w:p w14:paraId="138B71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颗粒物</w:t>
            </w:r>
          </w:p>
        </w:tc>
        <w:tc>
          <w:tcPr>
            <w:tcW w:w="133" w:type="pct"/>
            <w:noWrap w:val="0"/>
            <w:vAlign w:val="center"/>
          </w:tcPr>
          <w:p w14:paraId="6EF001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22DAD0C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33B0681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73FDBD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noWrap w:val="0"/>
            <w:vAlign w:val="center"/>
          </w:tcPr>
          <w:p w14:paraId="67C3BA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left w:val="single" w:color="000000" w:sz="4" w:space="0"/>
              <w:right w:val="single" w:color="000000" w:sz="4" w:space="0"/>
            </w:tcBorders>
            <w:noWrap w:val="0"/>
            <w:vAlign w:val="center"/>
          </w:tcPr>
          <w:p w14:paraId="4B5A46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258" w:type="pct"/>
            <w:tcBorders>
              <w:left w:val="single" w:color="000000" w:sz="4" w:space="0"/>
            </w:tcBorders>
            <w:noWrap w:val="0"/>
            <w:vAlign w:val="center"/>
          </w:tcPr>
          <w:p w14:paraId="1EF2F9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noWrap w:val="0"/>
            <w:vAlign w:val="center"/>
          </w:tcPr>
          <w:p w14:paraId="672F66F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6089F91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24D5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6DF737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67" w:type="pct"/>
            <w:vMerge w:val="continue"/>
            <w:noWrap w:val="0"/>
            <w:vAlign w:val="center"/>
          </w:tcPr>
          <w:p w14:paraId="7448A0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47" w:type="pct"/>
            <w:vMerge w:val="restart"/>
            <w:shd w:val="clear" w:color="auto" w:fill="auto"/>
            <w:noWrap w:val="0"/>
            <w:vAlign w:val="center"/>
          </w:tcPr>
          <w:p w14:paraId="559970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4</w:t>
            </w:r>
          </w:p>
        </w:tc>
        <w:tc>
          <w:tcPr>
            <w:tcW w:w="419" w:type="pct"/>
            <w:vMerge w:val="restart"/>
            <w:noWrap w:val="0"/>
            <w:vAlign w:val="center"/>
          </w:tcPr>
          <w:p w14:paraId="37289B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造型/浇铸、制芯（射芯）废气排气筒</w:t>
            </w:r>
          </w:p>
        </w:tc>
        <w:tc>
          <w:tcPr>
            <w:tcW w:w="342" w:type="pct"/>
            <w:vMerge w:val="restart"/>
            <w:noWrap w:val="0"/>
            <w:vAlign w:val="center"/>
          </w:tcPr>
          <w:p w14:paraId="68A3B5E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default"/>
                <w:color w:val="auto"/>
                <w:sz w:val="21"/>
                <w:szCs w:val="21"/>
                <w:lang w:val="en-US" w:eastAsia="zh-CN"/>
              </w:rPr>
              <w:t>烟气流速</w:t>
            </w:r>
            <w:r>
              <w:rPr>
                <w:rFonts w:hint="eastAsia"/>
                <w:color w:val="auto"/>
                <w:sz w:val="21"/>
                <w:szCs w:val="21"/>
                <w:lang w:val="en-US" w:eastAsia="zh-CN"/>
              </w:rPr>
              <w:t>，</w:t>
            </w:r>
            <w:r>
              <w:rPr>
                <w:rFonts w:hint="default"/>
                <w:color w:val="auto"/>
                <w:sz w:val="21"/>
                <w:szCs w:val="21"/>
                <w:lang w:val="en-US" w:eastAsia="zh-CN"/>
              </w:rPr>
              <w:t>烟气温度</w:t>
            </w:r>
            <w:r>
              <w:rPr>
                <w:rFonts w:hint="eastAsia"/>
                <w:color w:val="auto"/>
                <w:sz w:val="21"/>
                <w:szCs w:val="21"/>
                <w:lang w:val="en-US" w:eastAsia="zh-CN"/>
              </w:rPr>
              <w:t>，</w:t>
            </w:r>
            <w:r>
              <w:rPr>
                <w:rFonts w:hint="default"/>
                <w:color w:val="auto"/>
                <w:sz w:val="21"/>
                <w:szCs w:val="21"/>
                <w:lang w:val="en-US" w:eastAsia="zh-CN"/>
              </w:rPr>
              <w:t>烟气量</w:t>
            </w:r>
          </w:p>
        </w:tc>
        <w:tc>
          <w:tcPr>
            <w:tcW w:w="284" w:type="pct"/>
            <w:shd w:val="clear" w:color="auto" w:fill="auto"/>
            <w:noWrap w:val="0"/>
            <w:vAlign w:val="center"/>
          </w:tcPr>
          <w:p w14:paraId="723554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颗粒物</w:t>
            </w:r>
          </w:p>
        </w:tc>
        <w:tc>
          <w:tcPr>
            <w:tcW w:w="133" w:type="pct"/>
            <w:shd w:val="clear" w:color="auto" w:fill="auto"/>
            <w:noWrap w:val="0"/>
            <w:vAlign w:val="center"/>
          </w:tcPr>
          <w:p w14:paraId="50F4C7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手工</w:t>
            </w:r>
          </w:p>
        </w:tc>
        <w:tc>
          <w:tcPr>
            <w:tcW w:w="247" w:type="pct"/>
            <w:shd w:val="clear" w:color="auto" w:fill="auto"/>
            <w:noWrap w:val="0"/>
            <w:vAlign w:val="center"/>
          </w:tcPr>
          <w:p w14:paraId="78AD02D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46" w:type="pct"/>
            <w:shd w:val="clear" w:color="auto" w:fill="auto"/>
            <w:noWrap w:val="0"/>
            <w:vAlign w:val="center"/>
          </w:tcPr>
          <w:p w14:paraId="20AC47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5" w:type="pct"/>
            <w:shd w:val="clear" w:color="auto" w:fill="auto"/>
            <w:noWrap w:val="0"/>
            <w:vAlign w:val="center"/>
          </w:tcPr>
          <w:p w14:paraId="29C3B74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shd w:val="clear" w:color="auto" w:fill="auto"/>
            <w:noWrap w:val="0"/>
            <w:vAlign w:val="center"/>
          </w:tcPr>
          <w:p w14:paraId="6EB7C9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left w:val="single" w:color="000000" w:sz="4" w:space="0"/>
              <w:right w:val="single" w:color="000000" w:sz="4" w:space="0"/>
            </w:tcBorders>
            <w:noWrap w:val="0"/>
            <w:vAlign w:val="center"/>
          </w:tcPr>
          <w:p w14:paraId="784C66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258" w:type="pct"/>
            <w:tcBorders>
              <w:left w:val="single" w:color="000000" w:sz="4" w:space="0"/>
            </w:tcBorders>
            <w:shd w:val="clear" w:color="auto" w:fill="auto"/>
            <w:noWrap w:val="0"/>
            <w:vAlign w:val="center"/>
          </w:tcPr>
          <w:p w14:paraId="21FB95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shd w:val="clear" w:color="auto" w:fill="auto"/>
            <w:noWrap w:val="0"/>
            <w:vAlign w:val="center"/>
          </w:tcPr>
          <w:p w14:paraId="08800B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50CEB6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r>
      <w:tr w14:paraId="6FEB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34F77E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67" w:type="pct"/>
            <w:vMerge w:val="continue"/>
            <w:noWrap w:val="0"/>
            <w:vAlign w:val="center"/>
          </w:tcPr>
          <w:p w14:paraId="5878F7B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47" w:type="pct"/>
            <w:vMerge w:val="continue"/>
            <w:shd w:val="clear" w:color="auto" w:fill="auto"/>
            <w:noWrap w:val="0"/>
            <w:vAlign w:val="center"/>
          </w:tcPr>
          <w:p w14:paraId="197EF2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419" w:type="pct"/>
            <w:vMerge w:val="continue"/>
            <w:noWrap w:val="0"/>
            <w:vAlign w:val="center"/>
          </w:tcPr>
          <w:p w14:paraId="43F7FC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342" w:type="pct"/>
            <w:vMerge w:val="continue"/>
            <w:noWrap w:val="0"/>
            <w:vAlign w:val="center"/>
          </w:tcPr>
          <w:p w14:paraId="64628A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84" w:type="pct"/>
            <w:shd w:val="clear" w:color="auto" w:fill="auto"/>
            <w:noWrap w:val="0"/>
            <w:vAlign w:val="center"/>
          </w:tcPr>
          <w:p w14:paraId="69C4A3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非甲烷总烃</w:t>
            </w:r>
          </w:p>
        </w:tc>
        <w:tc>
          <w:tcPr>
            <w:tcW w:w="133" w:type="pct"/>
            <w:shd w:val="clear" w:color="auto" w:fill="auto"/>
            <w:noWrap w:val="0"/>
            <w:vAlign w:val="center"/>
          </w:tcPr>
          <w:p w14:paraId="253323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手工</w:t>
            </w:r>
          </w:p>
        </w:tc>
        <w:tc>
          <w:tcPr>
            <w:tcW w:w="247" w:type="pct"/>
            <w:shd w:val="clear" w:color="auto" w:fill="auto"/>
            <w:noWrap w:val="0"/>
            <w:vAlign w:val="center"/>
          </w:tcPr>
          <w:p w14:paraId="11B5E5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46" w:type="pct"/>
            <w:shd w:val="clear" w:color="auto" w:fill="auto"/>
            <w:noWrap w:val="0"/>
            <w:vAlign w:val="center"/>
          </w:tcPr>
          <w:p w14:paraId="055500B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5" w:type="pct"/>
            <w:shd w:val="clear" w:color="auto" w:fill="auto"/>
            <w:noWrap w:val="0"/>
            <w:vAlign w:val="center"/>
          </w:tcPr>
          <w:p w14:paraId="2553C3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shd w:val="clear" w:color="auto" w:fill="auto"/>
            <w:noWrap w:val="0"/>
            <w:vAlign w:val="center"/>
          </w:tcPr>
          <w:p w14:paraId="36F9E15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left w:val="single" w:color="000000" w:sz="4" w:space="0"/>
              <w:right w:val="single" w:color="000000" w:sz="4" w:space="0"/>
            </w:tcBorders>
            <w:noWrap w:val="0"/>
            <w:vAlign w:val="center"/>
          </w:tcPr>
          <w:p w14:paraId="0233FC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258" w:type="pct"/>
            <w:tcBorders>
              <w:left w:val="single" w:color="000000" w:sz="4" w:space="0"/>
            </w:tcBorders>
            <w:shd w:val="clear" w:color="auto" w:fill="auto"/>
            <w:noWrap w:val="0"/>
            <w:vAlign w:val="center"/>
          </w:tcPr>
          <w:p w14:paraId="5F9F37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shd w:val="clear" w:color="auto" w:fill="auto"/>
            <w:noWrap w:val="0"/>
            <w:vAlign w:val="center"/>
          </w:tcPr>
          <w:p w14:paraId="786B99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 xml:space="preserve">固定污染源排气中非甲烷总烃的测定 </w:t>
            </w:r>
            <w:r>
              <w:rPr>
                <w:rFonts w:hint="eastAsia" w:cs="Times New Roman"/>
                <w:color w:val="auto"/>
                <w:spacing w:val="3"/>
                <w:position w:val="1"/>
                <w:sz w:val="21"/>
                <w:szCs w:val="21"/>
                <w:lang w:val="en-US" w:eastAsia="zh-CN"/>
              </w:rPr>
              <w:t>气相色谱法</w:t>
            </w:r>
            <w:r>
              <w:rPr>
                <w:rFonts w:hint="default" w:ascii="Times New Roman" w:hAnsi="Times New Roman" w:eastAsia="宋体" w:cs="Times New Roman"/>
                <w:color w:val="auto"/>
                <w:spacing w:val="3"/>
                <w:position w:val="1"/>
                <w:sz w:val="21"/>
                <w:szCs w:val="21"/>
                <w:lang w:val="en-US" w:eastAsia="zh-CN"/>
              </w:rPr>
              <w:t>HJ/T 39-1999</w:t>
            </w:r>
          </w:p>
        </w:tc>
        <w:tc>
          <w:tcPr>
            <w:tcW w:w="169" w:type="pct"/>
            <w:noWrap w:val="0"/>
            <w:vAlign w:val="center"/>
          </w:tcPr>
          <w:p w14:paraId="1322FE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r>
      <w:tr w14:paraId="6C0B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43F90C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67" w:type="pct"/>
            <w:vMerge w:val="continue"/>
            <w:noWrap w:val="0"/>
            <w:vAlign w:val="center"/>
          </w:tcPr>
          <w:p w14:paraId="333964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47" w:type="pct"/>
            <w:shd w:val="clear" w:color="auto" w:fill="auto"/>
            <w:noWrap w:val="0"/>
            <w:vAlign w:val="center"/>
          </w:tcPr>
          <w:p w14:paraId="01A0B2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DA00</w:t>
            </w:r>
            <w:r>
              <w:rPr>
                <w:rFonts w:hint="eastAsia" w:cs="Times New Roman"/>
                <w:color w:val="auto"/>
                <w:spacing w:val="3"/>
                <w:position w:val="1"/>
                <w:sz w:val="21"/>
                <w:szCs w:val="21"/>
                <w:lang w:val="en-US" w:eastAsia="zh-CN"/>
              </w:rPr>
              <w:t>5</w:t>
            </w:r>
          </w:p>
        </w:tc>
        <w:tc>
          <w:tcPr>
            <w:tcW w:w="419" w:type="pct"/>
            <w:noWrap w:val="0"/>
            <w:vAlign w:val="center"/>
          </w:tcPr>
          <w:p w14:paraId="5938ED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抛丸废气排气筒</w:t>
            </w:r>
          </w:p>
        </w:tc>
        <w:tc>
          <w:tcPr>
            <w:tcW w:w="342" w:type="pct"/>
            <w:vMerge w:val="restart"/>
            <w:noWrap w:val="0"/>
            <w:vAlign w:val="center"/>
          </w:tcPr>
          <w:p w14:paraId="1C74E67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default" w:ascii="Times New Roman" w:hAnsi="Times New Roman" w:eastAsia="宋体" w:cs="Times New Roman"/>
                <w:color w:val="auto"/>
                <w:spacing w:val="3"/>
                <w:position w:val="1"/>
                <w:sz w:val="21"/>
                <w:szCs w:val="21"/>
                <w:lang w:val="en-US" w:eastAsia="zh-CN"/>
              </w:rPr>
              <w:t>烟气流速</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烟气温度</w:t>
            </w:r>
            <w:r>
              <w:rPr>
                <w:rFonts w:hint="eastAsia" w:ascii="Times New Roman" w:hAnsi="Times New Roman" w:eastAsia="宋体"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烟气量</w:t>
            </w:r>
          </w:p>
        </w:tc>
        <w:tc>
          <w:tcPr>
            <w:tcW w:w="284" w:type="pct"/>
            <w:shd w:val="clear" w:color="auto" w:fill="auto"/>
            <w:noWrap w:val="0"/>
            <w:vAlign w:val="center"/>
          </w:tcPr>
          <w:p w14:paraId="31C2197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颗粒物</w:t>
            </w:r>
          </w:p>
        </w:tc>
        <w:tc>
          <w:tcPr>
            <w:tcW w:w="133" w:type="pct"/>
            <w:shd w:val="clear" w:color="auto" w:fill="auto"/>
            <w:noWrap w:val="0"/>
            <w:vAlign w:val="center"/>
          </w:tcPr>
          <w:p w14:paraId="5CF233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手工</w:t>
            </w:r>
          </w:p>
        </w:tc>
        <w:tc>
          <w:tcPr>
            <w:tcW w:w="247" w:type="pct"/>
            <w:shd w:val="clear" w:color="auto" w:fill="auto"/>
            <w:noWrap w:val="0"/>
            <w:vAlign w:val="center"/>
          </w:tcPr>
          <w:p w14:paraId="1A659A8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46" w:type="pct"/>
            <w:shd w:val="clear" w:color="auto" w:fill="auto"/>
            <w:noWrap w:val="0"/>
            <w:vAlign w:val="center"/>
          </w:tcPr>
          <w:p w14:paraId="020AA4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5" w:type="pct"/>
            <w:shd w:val="clear" w:color="auto" w:fill="auto"/>
            <w:noWrap w:val="0"/>
            <w:vAlign w:val="center"/>
          </w:tcPr>
          <w:p w14:paraId="42BBCE8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shd w:val="clear" w:color="auto" w:fill="auto"/>
            <w:noWrap w:val="0"/>
            <w:vAlign w:val="center"/>
          </w:tcPr>
          <w:p w14:paraId="31B0B31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left w:val="single" w:color="000000" w:sz="4" w:space="0"/>
              <w:right w:val="single" w:color="000000" w:sz="4" w:space="0"/>
            </w:tcBorders>
            <w:noWrap w:val="0"/>
            <w:vAlign w:val="center"/>
          </w:tcPr>
          <w:p w14:paraId="454F22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258" w:type="pct"/>
            <w:tcBorders>
              <w:left w:val="single" w:color="000000" w:sz="4" w:space="0"/>
            </w:tcBorders>
            <w:shd w:val="clear" w:color="auto" w:fill="auto"/>
            <w:noWrap w:val="0"/>
            <w:vAlign w:val="center"/>
          </w:tcPr>
          <w:p w14:paraId="2E6B4D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shd w:val="clear" w:color="auto" w:fill="auto"/>
            <w:noWrap w:val="0"/>
            <w:vAlign w:val="center"/>
          </w:tcPr>
          <w:p w14:paraId="32DDE44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299F2CB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r>
      <w:tr w14:paraId="0A9E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037532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67" w:type="pct"/>
            <w:vMerge w:val="continue"/>
            <w:noWrap w:val="0"/>
            <w:vAlign w:val="center"/>
          </w:tcPr>
          <w:p w14:paraId="706B7CC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47" w:type="pct"/>
            <w:noWrap w:val="0"/>
            <w:vAlign w:val="center"/>
          </w:tcPr>
          <w:p w14:paraId="3CA8B9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DA006</w:t>
            </w:r>
          </w:p>
        </w:tc>
        <w:tc>
          <w:tcPr>
            <w:tcW w:w="419" w:type="pct"/>
            <w:noWrap w:val="0"/>
            <w:vAlign w:val="center"/>
          </w:tcPr>
          <w:p w14:paraId="380DCB3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r>
              <w:rPr>
                <w:rFonts w:hint="eastAsia"/>
                <w:color w:val="auto"/>
                <w:sz w:val="21"/>
                <w:szCs w:val="21"/>
                <w:lang w:val="en-US" w:eastAsia="zh-CN"/>
              </w:rPr>
              <w:t>抛丸废气排气筒</w:t>
            </w:r>
          </w:p>
        </w:tc>
        <w:tc>
          <w:tcPr>
            <w:tcW w:w="342" w:type="pct"/>
            <w:vMerge w:val="continue"/>
            <w:noWrap w:val="0"/>
            <w:vAlign w:val="center"/>
          </w:tcPr>
          <w:p w14:paraId="21A76C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84" w:type="pct"/>
            <w:shd w:val="clear" w:color="auto" w:fill="auto"/>
            <w:noWrap w:val="0"/>
            <w:vAlign w:val="center"/>
          </w:tcPr>
          <w:p w14:paraId="00669AE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颗粒物</w:t>
            </w:r>
          </w:p>
        </w:tc>
        <w:tc>
          <w:tcPr>
            <w:tcW w:w="133" w:type="pct"/>
            <w:shd w:val="clear" w:color="auto" w:fill="auto"/>
            <w:noWrap w:val="0"/>
            <w:vAlign w:val="center"/>
          </w:tcPr>
          <w:p w14:paraId="0DF741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手工</w:t>
            </w:r>
          </w:p>
        </w:tc>
        <w:tc>
          <w:tcPr>
            <w:tcW w:w="247" w:type="pct"/>
            <w:shd w:val="clear" w:color="auto" w:fill="auto"/>
            <w:noWrap w:val="0"/>
            <w:vAlign w:val="center"/>
          </w:tcPr>
          <w:p w14:paraId="259D80F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46" w:type="pct"/>
            <w:shd w:val="clear" w:color="auto" w:fill="auto"/>
            <w:noWrap w:val="0"/>
            <w:vAlign w:val="center"/>
          </w:tcPr>
          <w:p w14:paraId="1E7995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35" w:type="pct"/>
            <w:shd w:val="clear" w:color="auto" w:fill="auto"/>
            <w:noWrap w:val="0"/>
            <w:vAlign w:val="center"/>
          </w:tcPr>
          <w:p w14:paraId="78DFB4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423" w:type="pct"/>
            <w:tcBorders>
              <w:right w:val="single" w:color="000000" w:sz="4" w:space="0"/>
            </w:tcBorders>
            <w:shd w:val="clear" w:color="auto" w:fill="auto"/>
            <w:noWrap w:val="0"/>
            <w:vAlign w:val="center"/>
          </w:tcPr>
          <w:p w14:paraId="3CEE0B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left w:val="single" w:color="000000" w:sz="4" w:space="0"/>
              <w:bottom w:val="single" w:color="000000" w:sz="4" w:space="0"/>
              <w:right w:val="single" w:color="000000" w:sz="4" w:space="0"/>
            </w:tcBorders>
            <w:noWrap w:val="0"/>
            <w:vAlign w:val="center"/>
          </w:tcPr>
          <w:p w14:paraId="60B5F70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p>
        </w:tc>
        <w:tc>
          <w:tcPr>
            <w:tcW w:w="258" w:type="pct"/>
            <w:tcBorders>
              <w:left w:val="single" w:color="000000" w:sz="4" w:space="0"/>
            </w:tcBorders>
            <w:shd w:val="clear" w:color="auto" w:fill="auto"/>
            <w:noWrap w:val="0"/>
            <w:vAlign w:val="center"/>
          </w:tcPr>
          <w:p w14:paraId="14D70B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1次/半年</w:t>
            </w:r>
          </w:p>
        </w:tc>
        <w:tc>
          <w:tcPr>
            <w:tcW w:w="1336" w:type="pct"/>
            <w:shd w:val="clear" w:color="auto" w:fill="auto"/>
            <w:noWrap w:val="0"/>
            <w:vAlign w:val="center"/>
          </w:tcPr>
          <w:p w14:paraId="0BA859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3EF2D8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r>
      <w:tr w14:paraId="5898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restart"/>
            <w:noWrap w:val="0"/>
            <w:vAlign w:val="center"/>
          </w:tcPr>
          <w:p w14:paraId="3872EA5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2</w:t>
            </w:r>
          </w:p>
        </w:tc>
        <w:tc>
          <w:tcPr>
            <w:tcW w:w="267" w:type="pct"/>
            <w:vMerge w:val="restart"/>
            <w:noWrap w:val="0"/>
            <w:vAlign w:val="center"/>
          </w:tcPr>
          <w:p w14:paraId="617665E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废气</w:t>
            </w:r>
          </w:p>
        </w:tc>
        <w:tc>
          <w:tcPr>
            <w:tcW w:w="247" w:type="pct"/>
            <w:vMerge w:val="restart"/>
            <w:noWrap w:val="0"/>
            <w:vAlign w:val="center"/>
          </w:tcPr>
          <w:p w14:paraId="4482B0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w:t>
            </w:r>
          </w:p>
        </w:tc>
        <w:tc>
          <w:tcPr>
            <w:tcW w:w="419" w:type="pct"/>
            <w:vMerge w:val="restart"/>
            <w:noWrap w:val="0"/>
            <w:vAlign w:val="center"/>
          </w:tcPr>
          <w:p w14:paraId="7FDD1B8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厂界无组织排放监控点</w:t>
            </w:r>
          </w:p>
        </w:tc>
        <w:tc>
          <w:tcPr>
            <w:tcW w:w="342" w:type="pct"/>
            <w:vMerge w:val="restart"/>
            <w:noWrap w:val="0"/>
            <w:vAlign w:val="center"/>
          </w:tcPr>
          <w:p w14:paraId="4017D32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污染物浓度</w:t>
            </w:r>
          </w:p>
        </w:tc>
        <w:tc>
          <w:tcPr>
            <w:tcW w:w="284" w:type="pct"/>
            <w:noWrap w:val="0"/>
            <w:vAlign w:val="center"/>
          </w:tcPr>
          <w:p w14:paraId="29E154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颗粒物</w:t>
            </w:r>
          </w:p>
        </w:tc>
        <w:tc>
          <w:tcPr>
            <w:tcW w:w="133" w:type="pct"/>
            <w:noWrap w:val="0"/>
            <w:vAlign w:val="center"/>
          </w:tcPr>
          <w:p w14:paraId="4E862E4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4DDBEA3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59B5945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26C393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44B7E8D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restart"/>
            <w:tcBorders>
              <w:top w:val="single" w:color="000000" w:sz="4" w:space="0"/>
              <w:bottom w:val="single" w:color="000000" w:sz="4" w:space="0"/>
            </w:tcBorders>
            <w:noWrap w:val="0"/>
            <w:vAlign w:val="center"/>
          </w:tcPr>
          <w:p w14:paraId="671608A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非连续采样至少4个</w:t>
            </w:r>
          </w:p>
        </w:tc>
        <w:tc>
          <w:tcPr>
            <w:tcW w:w="258" w:type="pct"/>
            <w:vMerge w:val="restart"/>
            <w:noWrap w:val="0"/>
            <w:vAlign w:val="center"/>
          </w:tcPr>
          <w:p w14:paraId="71C6F8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1次/年</w:t>
            </w:r>
          </w:p>
        </w:tc>
        <w:tc>
          <w:tcPr>
            <w:tcW w:w="1336" w:type="pct"/>
            <w:noWrap w:val="0"/>
            <w:vAlign w:val="center"/>
          </w:tcPr>
          <w:p w14:paraId="0D97A3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固定污染源排气中颗粒物测定与气态污染物采样方法 GB/T 16157-1996</w:t>
            </w:r>
          </w:p>
        </w:tc>
        <w:tc>
          <w:tcPr>
            <w:tcW w:w="169" w:type="pct"/>
            <w:noWrap w:val="0"/>
            <w:vAlign w:val="center"/>
          </w:tcPr>
          <w:p w14:paraId="779CB9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1EB0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5A9DE1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67" w:type="pct"/>
            <w:vMerge w:val="continue"/>
            <w:noWrap w:val="0"/>
            <w:vAlign w:val="center"/>
          </w:tcPr>
          <w:p w14:paraId="1E2560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47" w:type="pct"/>
            <w:vMerge w:val="continue"/>
            <w:noWrap w:val="0"/>
            <w:vAlign w:val="center"/>
          </w:tcPr>
          <w:p w14:paraId="6B45A5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419" w:type="pct"/>
            <w:vMerge w:val="continue"/>
            <w:noWrap w:val="0"/>
            <w:vAlign w:val="center"/>
          </w:tcPr>
          <w:p w14:paraId="4C1377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342" w:type="pct"/>
            <w:vMerge w:val="continue"/>
            <w:noWrap w:val="0"/>
            <w:vAlign w:val="center"/>
          </w:tcPr>
          <w:p w14:paraId="3F2835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84" w:type="pct"/>
            <w:noWrap w:val="0"/>
            <w:vAlign w:val="center"/>
          </w:tcPr>
          <w:p w14:paraId="0C8C05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eastAsia" w:ascii="Times New Roman" w:hAnsi="Times New Roman" w:eastAsia="宋体" w:cs="Times New Roman"/>
                <w:color w:val="auto"/>
                <w:spacing w:val="3"/>
                <w:position w:val="1"/>
                <w:sz w:val="21"/>
                <w:szCs w:val="21"/>
                <w:lang w:val="en-US" w:eastAsia="zh-CN"/>
              </w:rPr>
              <w:t>非甲烷总烃</w:t>
            </w:r>
          </w:p>
        </w:tc>
        <w:tc>
          <w:tcPr>
            <w:tcW w:w="133" w:type="pct"/>
            <w:noWrap w:val="0"/>
            <w:vAlign w:val="center"/>
          </w:tcPr>
          <w:p w14:paraId="5662217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0E2687F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59CD62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5C742F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1730A2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top w:val="single" w:color="000000" w:sz="4" w:space="0"/>
              <w:bottom w:val="single" w:color="000000" w:sz="4" w:space="0"/>
            </w:tcBorders>
            <w:noWrap w:val="0"/>
            <w:vAlign w:val="center"/>
          </w:tcPr>
          <w:p w14:paraId="5B52E1C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258" w:type="pct"/>
            <w:vMerge w:val="continue"/>
            <w:noWrap w:val="0"/>
            <w:vAlign w:val="center"/>
          </w:tcPr>
          <w:p w14:paraId="43EBC0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p>
        </w:tc>
        <w:tc>
          <w:tcPr>
            <w:tcW w:w="1336" w:type="pct"/>
            <w:noWrap w:val="0"/>
            <w:vAlign w:val="center"/>
          </w:tcPr>
          <w:p w14:paraId="4AFAFEC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kern w:val="2"/>
                <w:position w:val="1"/>
                <w:sz w:val="21"/>
                <w:szCs w:val="21"/>
                <w:lang w:val="en-US" w:eastAsia="zh-CN" w:bidi="ar-SA"/>
              </w:rPr>
            </w:pPr>
            <w:r>
              <w:rPr>
                <w:rFonts w:hint="default" w:ascii="Times New Roman" w:hAnsi="Times New Roman" w:eastAsia="宋体" w:cs="Times New Roman"/>
                <w:color w:val="auto"/>
                <w:spacing w:val="3"/>
                <w:position w:val="1"/>
                <w:sz w:val="21"/>
                <w:szCs w:val="21"/>
                <w:lang w:val="en-US" w:eastAsia="zh-CN"/>
              </w:rPr>
              <w:t xml:space="preserve">固定污染源排气中非甲烷总烃的测定 </w:t>
            </w:r>
            <w:r>
              <w:rPr>
                <w:rFonts w:hint="eastAsia" w:cs="Times New Roman"/>
                <w:color w:val="auto"/>
                <w:spacing w:val="3"/>
                <w:position w:val="1"/>
                <w:sz w:val="21"/>
                <w:szCs w:val="21"/>
                <w:lang w:val="en-US" w:eastAsia="zh-CN"/>
              </w:rPr>
              <w:t>气相色谱法</w:t>
            </w:r>
            <w:r>
              <w:rPr>
                <w:rFonts w:hint="default" w:ascii="Times New Roman" w:hAnsi="Times New Roman" w:eastAsia="宋体" w:cs="Times New Roman"/>
                <w:color w:val="auto"/>
                <w:spacing w:val="3"/>
                <w:position w:val="1"/>
                <w:sz w:val="21"/>
                <w:szCs w:val="21"/>
                <w:lang w:val="en-US" w:eastAsia="zh-CN"/>
              </w:rPr>
              <w:t>HJ/T 39-1999</w:t>
            </w:r>
          </w:p>
        </w:tc>
        <w:tc>
          <w:tcPr>
            <w:tcW w:w="169" w:type="pct"/>
            <w:noWrap w:val="0"/>
            <w:vAlign w:val="center"/>
          </w:tcPr>
          <w:p w14:paraId="2CA780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10655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restart"/>
            <w:noWrap w:val="0"/>
            <w:vAlign w:val="center"/>
          </w:tcPr>
          <w:p w14:paraId="2CAF5C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3</w:t>
            </w:r>
          </w:p>
        </w:tc>
        <w:tc>
          <w:tcPr>
            <w:tcW w:w="267" w:type="pct"/>
            <w:vMerge w:val="restart"/>
            <w:noWrap w:val="0"/>
            <w:vAlign w:val="center"/>
          </w:tcPr>
          <w:p w14:paraId="4370C6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废水</w:t>
            </w:r>
          </w:p>
        </w:tc>
        <w:tc>
          <w:tcPr>
            <w:tcW w:w="247" w:type="pct"/>
            <w:vMerge w:val="restart"/>
            <w:noWrap w:val="0"/>
            <w:vAlign w:val="center"/>
          </w:tcPr>
          <w:p w14:paraId="6EDA88F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DW001</w:t>
            </w:r>
          </w:p>
        </w:tc>
        <w:tc>
          <w:tcPr>
            <w:tcW w:w="419" w:type="pct"/>
            <w:vMerge w:val="restart"/>
            <w:noWrap w:val="0"/>
            <w:vAlign w:val="center"/>
          </w:tcPr>
          <w:p w14:paraId="530134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厂区总排口</w:t>
            </w:r>
          </w:p>
        </w:tc>
        <w:tc>
          <w:tcPr>
            <w:tcW w:w="342" w:type="pct"/>
            <w:vMerge w:val="restart"/>
            <w:noWrap w:val="0"/>
            <w:vAlign w:val="center"/>
          </w:tcPr>
          <w:p w14:paraId="57D2D2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废水流量</w:t>
            </w:r>
          </w:p>
        </w:tc>
        <w:tc>
          <w:tcPr>
            <w:tcW w:w="284" w:type="pct"/>
            <w:noWrap w:val="0"/>
            <w:vAlign w:val="center"/>
          </w:tcPr>
          <w:p w14:paraId="0C80B8E5">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化学需氧量</w:t>
            </w:r>
          </w:p>
        </w:tc>
        <w:tc>
          <w:tcPr>
            <w:tcW w:w="133" w:type="pct"/>
            <w:noWrap w:val="0"/>
            <w:vAlign w:val="center"/>
          </w:tcPr>
          <w:p w14:paraId="5A63DB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688FFF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4F15C1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43F30B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2BAAA0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restart"/>
            <w:tcBorders>
              <w:top w:val="single" w:color="000000" w:sz="4" w:space="0"/>
              <w:bottom w:val="single" w:color="000000" w:sz="4" w:space="0"/>
            </w:tcBorders>
            <w:noWrap w:val="0"/>
            <w:vAlign w:val="center"/>
          </w:tcPr>
          <w:p w14:paraId="1D3C0B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非连续采样至少3个</w:t>
            </w:r>
          </w:p>
        </w:tc>
        <w:tc>
          <w:tcPr>
            <w:tcW w:w="258" w:type="pct"/>
            <w:vMerge w:val="restart"/>
            <w:noWrap w:val="0"/>
            <w:vAlign w:val="center"/>
          </w:tcPr>
          <w:p w14:paraId="7FCC466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1次/年</w:t>
            </w:r>
          </w:p>
        </w:tc>
        <w:tc>
          <w:tcPr>
            <w:tcW w:w="1336" w:type="pct"/>
            <w:noWrap w:val="0"/>
            <w:vAlign w:val="center"/>
          </w:tcPr>
          <w:p w14:paraId="6031EC0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水质 化学需氧量的测定</w:t>
            </w:r>
            <w:r>
              <w:rPr>
                <w:rFonts w:hint="eastAsia" w:ascii="Times New Roman" w:hAnsi="Times New Roman" w:eastAsia="宋体" w:cs="Times New Roman"/>
                <w:color w:val="auto"/>
                <w:spacing w:val="3"/>
                <w:position w:val="1"/>
                <w:sz w:val="21"/>
                <w:szCs w:val="21"/>
                <w:lang w:val="en-US" w:eastAsia="zh-CN"/>
              </w:rPr>
              <w:t xml:space="preserve"> </w:t>
            </w:r>
            <w:r>
              <w:rPr>
                <w:rFonts w:hint="default" w:ascii="Times New Roman" w:hAnsi="Times New Roman" w:eastAsia="宋体" w:cs="Times New Roman"/>
                <w:color w:val="auto"/>
                <w:spacing w:val="3"/>
                <w:position w:val="1"/>
                <w:sz w:val="21"/>
                <w:szCs w:val="21"/>
                <w:lang w:val="en-US" w:eastAsia="zh-CN"/>
              </w:rPr>
              <w:t>重铬酸盐法 HJ 828-2017</w:t>
            </w:r>
          </w:p>
        </w:tc>
        <w:tc>
          <w:tcPr>
            <w:tcW w:w="169" w:type="pct"/>
            <w:noWrap w:val="0"/>
            <w:vAlign w:val="center"/>
          </w:tcPr>
          <w:p w14:paraId="2737BA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52335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2D7844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67" w:type="pct"/>
            <w:vMerge w:val="continue"/>
            <w:noWrap w:val="0"/>
            <w:vAlign w:val="center"/>
          </w:tcPr>
          <w:p w14:paraId="159604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47" w:type="pct"/>
            <w:vMerge w:val="continue"/>
            <w:noWrap w:val="0"/>
            <w:vAlign w:val="center"/>
          </w:tcPr>
          <w:p w14:paraId="6DB11C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419" w:type="pct"/>
            <w:vMerge w:val="continue"/>
            <w:noWrap w:val="0"/>
            <w:vAlign w:val="center"/>
          </w:tcPr>
          <w:p w14:paraId="7A500C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342" w:type="pct"/>
            <w:vMerge w:val="continue"/>
            <w:noWrap w:val="0"/>
            <w:vAlign w:val="center"/>
          </w:tcPr>
          <w:p w14:paraId="53CE02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z w:val="21"/>
                <w:szCs w:val="21"/>
              </w:rPr>
            </w:pPr>
          </w:p>
        </w:tc>
        <w:tc>
          <w:tcPr>
            <w:tcW w:w="284" w:type="pct"/>
            <w:noWrap w:val="0"/>
            <w:vAlign w:val="center"/>
          </w:tcPr>
          <w:p w14:paraId="020DED01">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五日生化需氧量</w:t>
            </w:r>
          </w:p>
        </w:tc>
        <w:tc>
          <w:tcPr>
            <w:tcW w:w="133" w:type="pct"/>
            <w:noWrap w:val="0"/>
            <w:vAlign w:val="center"/>
          </w:tcPr>
          <w:p w14:paraId="55CAA8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2994C7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2D26B4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21A717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3EDE92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top w:val="single" w:color="000000" w:sz="4" w:space="0"/>
              <w:bottom w:val="single" w:color="000000" w:sz="4" w:space="0"/>
            </w:tcBorders>
            <w:noWrap w:val="0"/>
            <w:vAlign w:val="center"/>
          </w:tcPr>
          <w:p w14:paraId="4818EE2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58" w:type="pct"/>
            <w:vMerge w:val="continue"/>
            <w:noWrap w:val="0"/>
            <w:vAlign w:val="center"/>
          </w:tcPr>
          <w:p w14:paraId="4B9FA6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1336" w:type="pct"/>
            <w:noWrap w:val="0"/>
            <w:vAlign w:val="center"/>
          </w:tcPr>
          <w:p w14:paraId="13B47B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水质 五日生化需氧量</w:t>
            </w:r>
            <w:r>
              <w:rPr>
                <w:rFonts w:hint="eastAsia" w:cs="Times New Roman"/>
                <w:color w:val="auto"/>
                <w:spacing w:val="3"/>
                <w:position w:val="1"/>
                <w:sz w:val="21"/>
                <w:szCs w:val="21"/>
                <w:lang w:val="en-US" w:eastAsia="zh-CN"/>
              </w:rPr>
              <w:t>（</w:t>
            </w:r>
            <w:r>
              <w:rPr>
                <w:rFonts w:hint="eastAsia" w:ascii="Times New Roman" w:hAnsi="Times New Roman" w:eastAsia="宋体" w:cs="Times New Roman"/>
                <w:color w:val="auto"/>
                <w:spacing w:val="3"/>
                <w:position w:val="1"/>
                <w:sz w:val="21"/>
                <w:szCs w:val="21"/>
                <w:lang w:val="en-US" w:eastAsia="zh-CN"/>
              </w:rPr>
              <w:t>BOD</w:t>
            </w:r>
            <w:r>
              <w:rPr>
                <w:rFonts w:hint="eastAsia" w:ascii="Times New Roman" w:hAnsi="Times New Roman" w:eastAsia="宋体" w:cs="Times New Roman"/>
                <w:color w:val="auto"/>
                <w:spacing w:val="3"/>
                <w:position w:val="1"/>
                <w:sz w:val="21"/>
                <w:szCs w:val="21"/>
                <w:vertAlign w:val="subscript"/>
                <w:lang w:val="en-US" w:eastAsia="zh-CN"/>
              </w:rPr>
              <w:t>5</w:t>
            </w:r>
            <w:r>
              <w:rPr>
                <w:rFonts w:hint="eastAsia" w:ascii="Times New Roman" w:hAnsi="Times New Roman" w:eastAsia="宋体" w:cs="Times New Roman"/>
                <w:color w:val="auto"/>
                <w:spacing w:val="3"/>
                <w:position w:val="1"/>
                <w:sz w:val="21"/>
                <w:szCs w:val="21"/>
                <w:lang w:val="en-US" w:eastAsia="zh-CN"/>
              </w:rPr>
              <w:t xml:space="preserve"> </w:t>
            </w:r>
            <w:r>
              <w:rPr>
                <w:rFonts w:hint="eastAsia" w:cs="Times New Roman"/>
                <w:color w:val="auto"/>
                <w:spacing w:val="3"/>
                <w:position w:val="1"/>
                <w:sz w:val="21"/>
                <w:szCs w:val="21"/>
                <w:lang w:val="en-US" w:eastAsia="zh-CN"/>
              </w:rPr>
              <w:t>）</w:t>
            </w:r>
            <w:r>
              <w:rPr>
                <w:rFonts w:hint="eastAsia" w:ascii="Times New Roman" w:hAnsi="Times New Roman" w:eastAsia="宋体" w:cs="Times New Roman"/>
                <w:color w:val="auto"/>
                <w:spacing w:val="3"/>
                <w:position w:val="1"/>
                <w:sz w:val="21"/>
                <w:szCs w:val="21"/>
                <w:lang w:val="en-US" w:eastAsia="zh-CN"/>
              </w:rPr>
              <w:t>的测定 稀释与接种法 HJ 505-2009</w:t>
            </w:r>
          </w:p>
        </w:tc>
        <w:tc>
          <w:tcPr>
            <w:tcW w:w="169" w:type="pct"/>
            <w:noWrap w:val="0"/>
            <w:vAlign w:val="center"/>
          </w:tcPr>
          <w:p w14:paraId="596DEE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5FA7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6DA6341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67" w:type="pct"/>
            <w:vMerge w:val="continue"/>
            <w:noWrap w:val="0"/>
            <w:vAlign w:val="center"/>
          </w:tcPr>
          <w:p w14:paraId="2E0D73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47" w:type="pct"/>
            <w:vMerge w:val="continue"/>
            <w:noWrap w:val="0"/>
            <w:vAlign w:val="center"/>
          </w:tcPr>
          <w:p w14:paraId="224D74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419" w:type="pct"/>
            <w:vMerge w:val="continue"/>
            <w:noWrap w:val="0"/>
            <w:vAlign w:val="center"/>
          </w:tcPr>
          <w:p w14:paraId="199DC6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342" w:type="pct"/>
            <w:vMerge w:val="continue"/>
            <w:noWrap w:val="0"/>
            <w:vAlign w:val="center"/>
          </w:tcPr>
          <w:p w14:paraId="4BEC0D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84" w:type="pct"/>
            <w:noWrap w:val="0"/>
            <w:vAlign w:val="center"/>
          </w:tcPr>
          <w:p w14:paraId="6474E3D0">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pH值</w:t>
            </w:r>
          </w:p>
        </w:tc>
        <w:tc>
          <w:tcPr>
            <w:tcW w:w="133" w:type="pct"/>
            <w:noWrap w:val="0"/>
            <w:vAlign w:val="center"/>
          </w:tcPr>
          <w:p w14:paraId="51890A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2C30D8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335699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16AE63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4DE621F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top w:val="single" w:color="000000" w:sz="4" w:space="0"/>
              <w:bottom w:val="single" w:color="000000" w:sz="4" w:space="0"/>
            </w:tcBorders>
            <w:noWrap w:val="0"/>
            <w:vAlign w:val="center"/>
          </w:tcPr>
          <w:p w14:paraId="5EF6992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58" w:type="pct"/>
            <w:vMerge w:val="continue"/>
            <w:noWrap w:val="0"/>
            <w:vAlign w:val="center"/>
          </w:tcPr>
          <w:p w14:paraId="4B39E39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1336" w:type="pct"/>
            <w:noWrap w:val="0"/>
            <w:vAlign w:val="center"/>
          </w:tcPr>
          <w:p w14:paraId="57535E9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水质 pH 值的测定 电极法</w:t>
            </w:r>
          </w:p>
          <w:p w14:paraId="44B201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HJ 1147-2020</w:t>
            </w:r>
          </w:p>
        </w:tc>
        <w:tc>
          <w:tcPr>
            <w:tcW w:w="169" w:type="pct"/>
            <w:noWrap w:val="0"/>
            <w:vAlign w:val="center"/>
          </w:tcPr>
          <w:p w14:paraId="3C4ECC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1115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7222DD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67" w:type="pct"/>
            <w:vMerge w:val="continue"/>
            <w:noWrap w:val="0"/>
            <w:vAlign w:val="center"/>
          </w:tcPr>
          <w:p w14:paraId="208241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47" w:type="pct"/>
            <w:vMerge w:val="continue"/>
            <w:noWrap w:val="0"/>
            <w:vAlign w:val="center"/>
          </w:tcPr>
          <w:p w14:paraId="0D10E46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419" w:type="pct"/>
            <w:vMerge w:val="continue"/>
            <w:noWrap w:val="0"/>
            <w:vAlign w:val="center"/>
          </w:tcPr>
          <w:p w14:paraId="21EBD3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342" w:type="pct"/>
            <w:vMerge w:val="continue"/>
            <w:noWrap w:val="0"/>
            <w:vAlign w:val="center"/>
          </w:tcPr>
          <w:p w14:paraId="760AA3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84" w:type="pct"/>
            <w:noWrap w:val="0"/>
            <w:vAlign w:val="center"/>
          </w:tcPr>
          <w:p w14:paraId="678A68DF">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氨氮</w:t>
            </w:r>
          </w:p>
        </w:tc>
        <w:tc>
          <w:tcPr>
            <w:tcW w:w="133" w:type="pct"/>
            <w:noWrap w:val="0"/>
            <w:vAlign w:val="center"/>
          </w:tcPr>
          <w:p w14:paraId="34C4B3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49C6155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6D7775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3BD2697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2A595D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top w:val="single" w:color="000000" w:sz="4" w:space="0"/>
              <w:bottom w:val="single" w:color="000000" w:sz="4" w:space="0"/>
            </w:tcBorders>
            <w:noWrap w:val="0"/>
            <w:vAlign w:val="center"/>
          </w:tcPr>
          <w:p w14:paraId="6B6BA1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58" w:type="pct"/>
            <w:vMerge w:val="continue"/>
            <w:noWrap w:val="0"/>
            <w:vAlign w:val="center"/>
          </w:tcPr>
          <w:p w14:paraId="426373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1336" w:type="pct"/>
            <w:noWrap w:val="0"/>
            <w:vAlign w:val="center"/>
          </w:tcPr>
          <w:p w14:paraId="0E4C87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水质 氨氮的测定 纳氏试剂分光光度法 HJ 35-2009</w:t>
            </w:r>
          </w:p>
        </w:tc>
        <w:tc>
          <w:tcPr>
            <w:tcW w:w="169" w:type="pct"/>
            <w:noWrap w:val="0"/>
            <w:vAlign w:val="center"/>
          </w:tcPr>
          <w:p w14:paraId="32BF17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6F61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vMerge w:val="continue"/>
            <w:noWrap w:val="0"/>
            <w:vAlign w:val="center"/>
          </w:tcPr>
          <w:p w14:paraId="4E6148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67" w:type="pct"/>
            <w:vMerge w:val="continue"/>
            <w:noWrap w:val="0"/>
            <w:vAlign w:val="center"/>
          </w:tcPr>
          <w:p w14:paraId="1AF892C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47" w:type="pct"/>
            <w:vMerge w:val="continue"/>
            <w:noWrap w:val="0"/>
            <w:vAlign w:val="center"/>
          </w:tcPr>
          <w:p w14:paraId="015EF9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419" w:type="pct"/>
            <w:vMerge w:val="continue"/>
            <w:noWrap w:val="0"/>
            <w:vAlign w:val="center"/>
          </w:tcPr>
          <w:p w14:paraId="43E778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342" w:type="pct"/>
            <w:vMerge w:val="continue"/>
            <w:noWrap w:val="0"/>
            <w:vAlign w:val="center"/>
          </w:tcPr>
          <w:p w14:paraId="288B8B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84" w:type="pct"/>
            <w:noWrap w:val="0"/>
            <w:vAlign w:val="center"/>
          </w:tcPr>
          <w:p w14:paraId="688F228F">
            <w:pPr>
              <w:keepNext w:val="0"/>
              <w:keepLines w:val="0"/>
              <w:pageBreakBefore w:val="0"/>
              <w:widowControl/>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悬浮物</w:t>
            </w:r>
          </w:p>
        </w:tc>
        <w:tc>
          <w:tcPr>
            <w:tcW w:w="133" w:type="pct"/>
            <w:noWrap w:val="0"/>
            <w:vAlign w:val="center"/>
          </w:tcPr>
          <w:p w14:paraId="1E677A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1AB6AB6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0601AB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0965CD5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6CEC48D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vMerge w:val="continue"/>
            <w:tcBorders>
              <w:top w:val="single" w:color="000000" w:sz="4" w:space="0"/>
              <w:bottom w:val="single" w:color="000000" w:sz="4" w:space="0"/>
            </w:tcBorders>
            <w:noWrap w:val="0"/>
            <w:vAlign w:val="center"/>
          </w:tcPr>
          <w:p w14:paraId="64C54E9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258" w:type="pct"/>
            <w:vMerge w:val="continue"/>
            <w:noWrap w:val="0"/>
            <w:vAlign w:val="center"/>
          </w:tcPr>
          <w:p w14:paraId="181D85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p>
        </w:tc>
        <w:tc>
          <w:tcPr>
            <w:tcW w:w="1336" w:type="pct"/>
            <w:noWrap w:val="0"/>
            <w:vAlign w:val="center"/>
          </w:tcPr>
          <w:p w14:paraId="0743D69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水质 悬浮物的测定 重量法  GB 11901-1989</w:t>
            </w:r>
          </w:p>
        </w:tc>
        <w:tc>
          <w:tcPr>
            <w:tcW w:w="169" w:type="pct"/>
            <w:noWrap w:val="0"/>
            <w:vAlign w:val="center"/>
          </w:tcPr>
          <w:p w14:paraId="2A7135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r w14:paraId="34ED1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05" w:type="pct"/>
            <w:noWrap w:val="0"/>
            <w:vAlign w:val="center"/>
          </w:tcPr>
          <w:p w14:paraId="17EDD6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4</w:t>
            </w:r>
          </w:p>
        </w:tc>
        <w:tc>
          <w:tcPr>
            <w:tcW w:w="267" w:type="pct"/>
            <w:noWrap w:val="0"/>
            <w:vAlign w:val="center"/>
          </w:tcPr>
          <w:p w14:paraId="5E51CC0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噪声</w:t>
            </w:r>
          </w:p>
        </w:tc>
        <w:tc>
          <w:tcPr>
            <w:tcW w:w="247" w:type="pct"/>
            <w:noWrap w:val="0"/>
            <w:vAlign w:val="center"/>
          </w:tcPr>
          <w:p w14:paraId="1D88F0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N1~N4</w:t>
            </w:r>
          </w:p>
        </w:tc>
        <w:tc>
          <w:tcPr>
            <w:tcW w:w="419" w:type="pct"/>
            <w:noWrap w:val="0"/>
            <w:vAlign w:val="center"/>
          </w:tcPr>
          <w:p w14:paraId="4A7C15C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厂界四周</w:t>
            </w:r>
          </w:p>
        </w:tc>
        <w:tc>
          <w:tcPr>
            <w:tcW w:w="342" w:type="pct"/>
            <w:noWrap w:val="0"/>
            <w:vAlign w:val="center"/>
          </w:tcPr>
          <w:p w14:paraId="0599DD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声强</w:t>
            </w:r>
          </w:p>
        </w:tc>
        <w:tc>
          <w:tcPr>
            <w:tcW w:w="284" w:type="pct"/>
            <w:noWrap w:val="0"/>
            <w:vAlign w:val="center"/>
          </w:tcPr>
          <w:p w14:paraId="412D3C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Leq</w:t>
            </w:r>
            <w:r>
              <w:rPr>
                <w:rFonts w:hint="eastAsia" w:cs="Times New Roman"/>
                <w:color w:val="auto"/>
                <w:spacing w:val="3"/>
                <w:position w:val="1"/>
                <w:sz w:val="21"/>
                <w:szCs w:val="21"/>
                <w:lang w:val="en-US" w:eastAsia="zh-CN"/>
              </w:rPr>
              <w:t>(</w:t>
            </w:r>
            <w:r>
              <w:rPr>
                <w:rFonts w:hint="default" w:ascii="Times New Roman" w:hAnsi="Times New Roman" w:eastAsia="宋体" w:cs="Times New Roman"/>
                <w:color w:val="auto"/>
                <w:spacing w:val="3"/>
                <w:position w:val="1"/>
                <w:sz w:val="21"/>
                <w:szCs w:val="21"/>
                <w:lang w:val="en-US" w:eastAsia="zh-CN"/>
              </w:rPr>
              <w:t>A</w:t>
            </w:r>
            <w:r>
              <w:rPr>
                <w:rFonts w:hint="eastAsia" w:cs="Times New Roman"/>
                <w:color w:val="auto"/>
                <w:spacing w:val="3"/>
                <w:position w:val="1"/>
                <w:sz w:val="21"/>
                <w:szCs w:val="21"/>
                <w:lang w:val="en-US" w:eastAsia="zh-CN"/>
              </w:rPr>
              <w:t>)</w:t>
            </w:r>
          </w:p>
        </w:tc>
        <w:tc>
          <w:tcPr>
            <w:tcW w:w="133" w:type="pct"/>
            <w:noWrap w:val="0"/>
            <w:vAlign w:val="center"/>
          </w:tcPr>
          <w:p w14:paraId="24E31D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手工</w:t>
            </w:r>
          </w:p>
        </w:tc>
        <w:tc>
          <w:tcPr>
            <w:tcW w:w="247" w:type="pct"/>
            <w:noWrap w:val="0"/>
            <w:vAlign w:val="center"/>
          </w:tcPr>
          <w:p w14:paraId="1827432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46" w:type="pct"/>
            <w:noWrap w:val="0"/>
            <w:vAlign w:val="center"/>
          </w:tcPr>
          <w:p w14:paraId="12A897D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35" w:type="pct"/>
            <w:noWrap w:val="0"/>
            <w:vAlign w:val="center"/>
          </w:tcPr>
          <w:p w14:paraId="0360FD4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423" w:type="pct"/>
            <w:noWrap w:val="0"/>
            <w:vAlign w:val="center"/>
          </w:tcPr>
          <w:p w14:paraId="7AAFC58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c>
          <w:tcPr>
            <w:tcW w:w="282" w:type="pct"/>
            <w:tcBorders>
              <w:top w:val="single" w:color="000000" w:sz="4" w:space="0"/>
            </w:tcBorders>
            <w:noWrap w:val="0"/>
            <w:vAlign w:val="center"/>
          </w:tcPr>
          <w:p w14:paraId="0515BBE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昼夜噪声</w:t>
            </w:r>
          </w:p>
        </w:tc>
        <w:tc>
          <w:tcPr>
            <w:tcW w:w="258" w:type="pct"/>
            <w:noWrap w:val="0"/>
            <w:vAlign w:val="center"/>
          </w:tcPr>
          <w:p w14:paraId="11A47A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1次/季度</w:t>
            </w:r>
          </w:p>
        </w:tc>
        <w:tc>
          <w:tcPr>
            <w:tcW w:w="1336" w:type="pct"/>
            <w:noWrap w:val="0"/>
            <w:vAlign w:val="center"/>
          </w:tcPr>
          <w:p w14:paraId="0E4758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default" w:ascii="Times New Roman" w:hAnsi="Times New Roman" w:eastAsia="宋体" w:cs="Times New Roman"/>
                <w:color w:val="auto"/>
                <w:spacing w:val="3"/>
                <w:position w:val="1"/>
                <w:sz w:val="21"/>
                <w:szCs w:val="21"/>
                <w:lang w:val="en-US" w:eastAsia="zh-CN"/>
              </w:rPr>
              <w:t>/</w:t>
            </w:r>
          </w:p>
        </w:tc>
        <w:tc>
          <w:tcPr>
            <w:tcW w:w="169" w:type="pct"/>
            <w:noWrap w:val="0"/>
            <w:vAlign w:val="center"/>
          </w:tcPr>
          <w:p w14:paraId="26C3AA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3"/>
                <w:position w:val="1"/>
                <w:sz w:val="21"/>
                <w:szCs w:val="21"/>
                <w:lang w:val="en-US" w:eastAsia="zh-CN"/>
              </w:rPr>
            </w:pPr>
            <w:r>
              <w:rPr>
                <w:rFonts w:hint="eastAsia" w:ascii="Times New Roman" w:hAnsi="Times New Roman" w:eastAsia="宋体" w:cs="Times New Roman"/>
                <w:color w:val="auto"/>
                <w:spacing w:val="3"/>
                <w:position w:val="1"/>
                <w:sz w:val="21"/>
                <w:szCs w:val="21"/>
                <w:lang w:val="en-US" w:eastAsia="zh-CN"/>
              </w:rPr>
              <w:t>/</w:t>
            </w:r>
          </w:p>
        </w:tc>
      </w:tr>
    </w:tbl>
    <w:p w14:paraId="288C58EC">
      <w:pPr>
        <w:pStyle w:val="68"/>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both"/>
        <w:textAlignment w:val="auto"/>
        <w:outlineLvl w:val="9"/>
        <w:rPr>
          <w:rFonts w:hint="default" w:ascii="Times New Roman" w:hAnsi="Times New Roman" w:eastAsia="宋体" w:cs="Times New Roman"/>
          <w:color w:val="FF0000"/>
          <w:kern w:val="2"/>
          <w:sz w:val="24"/>
          <w:szCs w:val="24"/>
          <w:highlight w:val="none"/>
          <w:lang w:eastAsia="zh-CN" w:bidi="ar-SA"/>
        </w:rPr>
      </w:pPr>
    </w:p>
    <w:sectPr>
      <w:pgSz w:w="16838" w:h="11905" w:orient="landscape"/>
      <w:pgMar w:top="1417" w:right="1417" w:bottom="1417" w:left="1417" w:header="850" w:footer="850" w:gutter="0"/>
      <w:pgBorders>
        <w:top w:val="none" w:sz="0" w:space="0"/>
        <w:left w:val="none" w:sz="0" w:space="0"/>
        <w:bottom w:val="none" w:sz="0" w:space="0"/>
        <w:right w:val="none" w:sz="0" w:space="0"/>
      </w:pgBorders>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Cambria">
    <w:altName w:val="ksdb"/>
    <w:panose1 w:val="02040503050406030204"/>
    <w:charset w:val="00"/>
    <w:family w:val="roman"/>
    <w:pitch w:val="default"/>
    <w:sig w:usb0="00000000" w:usb1="00000000" w:usb2="02000000" w:usb3="00000000" w:csb0="2000019F" w:csb1="00000000"/>
  </w:font>
  <w:font w:name="ksdb">
    <w:panose1 w:val="02000500000000000000"/>
    <w:charset w:val="00"/>
    <w:family w:val="auto"/>
    <w:pitch w:val="default"/>
    <w:sig w:usb0="00000001"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40001" w:csb1="00000000"/>
  </w:font>
  <w:font w:name="Cambria Math">
    <w:altName w:val="DejaVu Math TeX Gyre"/>
    <w:panose1 w:val="02040503050406030204"/>
    <w:charset w:val="00"/>
    <w:family w:val="auto"/>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叶根友毛笔行书2.0版">
    <w:altName w:val="宋体"/>
    <w:panose1 w:val="02010601030101010101"/>
    <w:charset w:val="86"/>
    <w:family w:val="auto"/>
    <w:pitch w:val="default"/>
    <w:sig w:usb0="00000000" w:usb1="0000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F33D1">
    <w:pPr>
      <w:pStyle w:val="22"/>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9E7AA">
    <w:pPr>
      <w:pStyle w:val="22"/>
      <w:framePr w:wrap="around" w:vAnchor="text" w:hAnchor="margin" w:xAlign="center" w:y="1"/>
      <w:rPr>
        <w:rStyle w:val="40"/>
      </w:rPr>
    </w:pPr>
    <w:r>
      <w:fldChar w:fldCharType="begin"/>
    </w:r>
    <w:r>
      <w:rPr>
        <w:rStyle w:val="40"/>
      </w:rPr>
      <w:instrText xml:space="preserve">PAGE  </w:instrText>
    </w:r>
    <w:r>
      <w:fldChar w:fldCharType="end"/>
    </w:r>
  </w:p>
  <w:p w14:paraId="0DF1AC30">
    <w:pPr>
      <w:pStyle w:val="2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09638">
    <w:pPr>
      <w:pStyle w:val="22"/>
      <w:tabs>
        <w:tab w:val="center" w:pos="4512"/>
        <w:tab w:val="clear" w:pos="4153"/>
      </w:tabs>
    </w:pP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25F7B">
    <w:pPr>
      <w:pStyle w:val="22"/>
      <w:jc w:val="center"/>
    </w:pPr>
    <w:r>
      <w:fldChar w:fldCharType="begin"/>
    </w:r>
    <w:r>
      <w:instrText xml:space="preserve">PAGE   \* MERGEFORMAT</w:instrText>
    </w:r>
    <w:r>
      <w:fldChar w:fldCharType="separate"/>
    </w:r>
    <w:r>
      <w:rPr>
        <w:lang w:val="zh-CN"/>
      </w:rPr>
      <w:t>12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51A38">
    <w:pPr>
      <w:pStyle w:val="22"/>
      <w:jc w:val="center"/>
    </w:pPr>
    <w:r>
      <w:fldChar w:fldCharType="begin"/>
    </w:r>
    <w:r>
      <w:instrText xml:space="preserve">PAGE   \* MERGEFORMAT</w:instrText>
    </w:r>
    <w:r>
      <w:fldChar w:fldCharType="separate"/>
    </w:r>
    <w:r>
      <w:rPr>
        <w:lang w:val="zh-CN"/>
      </w:rPr>
      <w:t>53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2FA0B">
    <w:pPr>
      <w:pStyle w:val="24"/>
      <w:pBdr>
        <w:bottom w:val="none" w:color="auto" w:sz="0" w:space="4"/>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72"/>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47E5599D"/>
    <w:multiLevelType w:val="multilevel"/>
    <w:tmpl w:val="47E5599D"/>
    <w:lvl w:ilvl="0" w:tentative="0">
      <w:start w:val="1"/>
      <w:numFmt w:val="decimal"/>
      <w:pStyle w:val="107"/>
      <w:suff w:val="space"/>
      <w:lvlText w:val="（%1）"/>
      <w:lvlJc w:val="left"/>
      <w:pPr>
        <w:ind w:left="854" w:hanging="372"/>
      </w:pPr>
      <w:rPr>
        <w:rFonts w:hint="default"/>
        <w:lang w:val="en-US"/>
      </w:rPr>
    </w:lvl>
    <w:lvl w:ilvl="1" w:tentative="0">
      <w:start w:val="1"/>
      <w:numFmt w:val="lowerLetter"/>
      <w:lvlText w:val="%2)"/>
      <w:lvlJc w:val="left"/>
      <w:pPr>
        <w:ind w:left="1322" w:hanging="420"/>
      </w:pPr>
      <w:rPr>
        <w:rFonts w:hint="eastAsia"/>
      </w:rPr>
    </w:lvl>
    <w:lvl w:ilvl="2" w:tentative="0">
      <w:start w:val="1"/>
      <w:numFmt w:val="lowerRoman"/>
      <w:lvlText w:val="%3."/>
      <w:lvlJc w:val="right"/>
      <w:pPr>
        <w:ind w:left="1742" w:hanging="420"/>
      </w:pPr>
      <w:rPr>
        <w:rFonts w:hint="eastAsia"/>
      </w:rPr>
    </w:lvl>
    <w:lvl w:ilvl="3" w:tentative="0">
      <w:start w:val="1"/>
      <w:numFmt w:val="decimal"/>
      <w:suff w:val="space"/>
      <w:lvlText w:val="%4."/>
      <w:lvlJc w:val="left"/>
      <w:pPr>
        <w:ind w:left="2162" w:hanging="420"/>
      </w:pPr>
      <w:rPr>
        <w:rFonts w:hint="eastAsia"/>
      </w:rPr>
    </w:lvl>
    <w:lvl w:ilvl="4" w:tentative="0">
      <w:start w:val="1"/>
      <w:numFmt w:val="lowerLetter"/>
      <w:lvlText w:val="%5)"/>
      <w:lvlJc w:val="left"/>
      <w:pPr>
        <w:ind w:left="2582" w:hanging="420"/>
      </w:pPr>
      <w:rPr>
        <w:rFonts w:hint="eastAsia"/>
      </w:rPr>
    </w:lvl>
    <w:lvl w:ilvl="5" w:tentative="0">
      <w:start w:val="1"/>
      <w:numFmt w:val="lowerRoman"/>
      <w:lvlText w:val="%6."/>
      <w:lvlJc w:val="right"/>
      <w:pPr>
        <w:ind w:left="3002" w:hanging="420"/>
      </w:pPr>
      <w:rPr>
        <w:rFonts w:hint="eastAsia"/>
      </w:rPr>
    </w:lvl>
    <w:lvl w:ilvl="6" w:tentative="0">
      <w:start w:val="1"/>
      <w:numFmt w:val="decimal"/>
      <w:suff w:val="space"/>
      <w:lvlText w:val="%7."/>
      <w:lvlJc w:val="left"/>
      <w:pPr>
        <w:ind w:left="3422" w:hanging="420"/>
      </w:pPr>
      <w:rPr>
        <w:rFonts w:hint="eastAsia"/>
      </w:rPr>
    </w:lvl>
    <w:lvl w:ilvl="7" w:tentative="0">
      <w:start w:val="1"/>
      <w:numFmt w:val="lowerLetter"/>
      <w:lvlText w:val="%8)"/>
      <w:lvlJc w:val="left"/>
      <w:pPr>
        <w:ind w:left="3842" w:hanging="420"/>
      </w:pPr>
      <w:rPr>
        <w:rFonts w:hint="eastAsia"/>
      </w:rPr>
    </w:lvl>
    <w:lvl w:ilvl="8" w:tentative="0">
      <w:start w:val="1"/>
      <w:numFmt w:val="lowerRoman"/>
      <w:lvlText w:val="%9."/>
      <w:lvlJc w:val="right"/>
      <w:pPr>
        <w:ind w:left="4262" w:hanging="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YTZlYWYwYWJlN2FlOTlkNGM1MzliMTAzZTUyOTgifQ=="/>
  </w:docVars>
  <w:rsids>
    <w:rsidRoot w:val="00A14947"/>
    <w:rsid w:val="0000205A"/>
    <w:rsid w:val="000060B3"/>
    <w:rsid w:val="00014493"/>
    <w:rsid w:val="00015CA2"/>
    <w:rsid w:val="00025C54"/>
    <w:rsid w:val="000264A1"/>
    <w:rsid w:val="00042514"/>
    <w:rsid w:val="00043538"/>
    <w:rsid w:val="0004364B"/>
    <w:rsid w:val="00061494"/>
    <w:rsid w:val="00061B1F"/>
    <w:rsid w:val="000629DF"/>
    <w:rsid w:val="00071943"/>
    <w:rsid w:val="000733C4"/>
    <w:rsid w:val="00074783"/>
    <w:rsid w:val="0008070B"/>
    <w:rsid w:val="000810AC"/>
    <w:rsid w:val="000814B0"/>
    <w:rsid w:val="00081A02"/>
    <w:rsid w:val="00082231"/>
    <w:rsid w:val="00082F6B"/>
    <w:rsid w:val="00087096"/>
    <w:rsid w:val="00092415"/>
    <w:rsid w:val="00092D38"/>
    <w:rsid w:val="0009377B"/>
    <w:rsid w:val="00097A8D"/>
    <w:rsid w:val="000A06B3"/>
    <w:rsid w:val="000A20C9"/>
    <w:rsid w:val="000A7A0F"/>
    <w:rsid w:val="000B058F"/>
    <w:rsid w:val="000B4467"/>
    <w:rsid w:val="000B4DB9"/>
    <w:rsid w:val="000C09AC"/>
    <w:rsid w:val="000C5C03"/>
    <w:rsid w:val="000C767F"/>
    <w:rsid w:val="000D0AD7"/>
    <w:rsid w:val="000D2235"/>
    <w:rsid w:val="000D45D1"/>
    <w:rsid w:val="000D5A44"/>
    <w:rsid w:val="000E3ED2"/>
    <w:rsid w:val="000E584A"/>
    <w:rsid w:val="000E7B7E"/>
    <w:rsid w:val="000F5A3B"/>
    <w:rsid w:val="000F71FC"/>
    <w:rsid w:val="000F7E20"/>
    <w:rsid w:val="0010185E"/>
    <w:rsid w:val="001215A1"/>
    <w:rsid w:val="001231B7"/>
    <w:rsid w:val="00131F42"/>
    <w:rsid w:val="001357F1"/>
    <w:rsid w:val="001376EB"/>
    <w:rsid w:val="00140FA8"/>
    <w:rsid w:val="00142FEB"/>
    <w:rsid w:val="00143A2D"/>
    <w:rsid w:val="00145A41"/>
    <w:rsid w:val="00151675"/>
    <w:rsid w:val="00157435"/>
    <w:rsid w:val="0017504D"/>
    <w:rsid w:val="001750EC"/>
    <w:rsid w:val="00175DF0"/>
    <w:rsid w:val="0017671A"/>
    <w:rsid w:val="00177422"/>
    <w:rsid w:val="00181DC2"/>
    <w:rsid w:val="00182C22"/>
    <w:rsid w:val="00184590"/>
    <w:rsid w:val="001870D1"/>
    <w:rsid w:val="0018781E"/>
    <w:rsid w:val="0019262D"/>
    <w:rsid w:val="0019263D"/>
    <w:rsid w:val="001950E9"/>
    <w:rsid w:val="001A12CB"/>
    <w:rsid w:val="001A1B35"/>
    <w:rsid w:val="001A2208"/>
    <w:rsid w:val="001A48A2"/>
    <w:rsid w:val="001A6F61"/>
    <w:rsid w:val="001B4870"/>
    <w:rsid w:val="001B4EE0"/>
    <w:rsid w:val="001B6E9E"/>
    <w:rsid w:val="001B72B8"/>
    <w:rsid w:val="001C69B3"/>
    <w:rsid w:val="001D5595"/>
    <w:rsid w:val="001D7874"/>
    <w:rsid w:val="001D7F22"/>
    <w:rsid w:val="001F0F17"/>
    <w:rsid w:val="001F3347"/>
    <w:rsid w:val="001F40C1"/>
    <w:rsid w:val="001F69E4"/>
    <w:rsid w:val="00203298"/>
    <w:rsid w:val="00205DBC"/>
    <w:rsid w:val="002115D4"/>
    <w:rsid w:val="002125B4"/>
    <w:rsid w:val="002155B8"/>
    <w:rsid w:val="00217D98"/>
    <w:rsid w:val="00222F5B"/>
    <w:rsid w:val="00224127"/>
    <w:rsid w:val="00224839"/>
    <w:rsid w:val="002249B2"/>
    <w:rsid w:val="00224E36"/>
    <w:rsid w:val="00226574"/>
    <w:rsid w:val="002278EC"/>
    <w:rsid w:val="0023280E"/>
    <w:rsid w:val="002377D1"/>
    <w:rsid w:val="0024438E"/>
    <w:rsid w:val="002506BC"/>
    <w:rsid w:val="00254345"/>
    <w:rsid w:val="002631BD"/>
    <w:rsid w:val="00264557"/>
    <w:rsid w:val="00267643"/>
    <w:rsid w:val="002805AB"/>
    <w:rsid w:val="00284204"/>
    <w:rsid w:val="00291773"/>
    <w:rsid w:val="002A168C"/>
    <w:rsid w:val="002A3DC7"/>
    <w:rsid w:val="002B49E2"/>
    <w:rsid w:val="002B790D"/>
    <w:rsid w:val="002B7B00"/>
    <w:rsid w:val="002B7C44"/>
    <w:rsid w:val="002C2B17"/>
    <w:rsid w:val="002D3DD0"/>
    <w:rsid w:val="002E1F3A"/>
    <w:rsid w:val="002E298A"/>
    <w:rsid w:val="002F1C34"/>
    <w:rsid w:val="002F5D74"/>
    <w:rsid w:val="00301978"/>
    <w:rsid w:val="00302A60"/>
    <w:rsid w:val="0030332C"/>
    <w:rsid w:val="003051C2"/>
    <w:rsid w:val="00312296"/>
    <w:rsid w:val="00314EAB"/>
    <w:rsid w:val="00314F0E"/>
    <w:rsid w:val="00315299"/>
    <w:rsid w:val="003211BB"/>
    <w:rsid w:val="00321D8E"/>
    <w:rsid w:val="0032514C"/>
    <w:rsid w:val="00325928"/>
    <w:rsid w:val="003309C3"/>
    <w:rsid w:val="003314A4"/>
    <w:rsid w:val="00332863"/>
    <w:rsid w:val="0033684D"/>
    <w:rsid w:val="00337B42"/>
    <w:rsid w:val="00341B42"/>
    <w:rsid w:val="0034348F"/>
    <w:rsid w:val="00344350"/>
    <w:rsid w:val="00354809"/>
    <w:rsid w:val="00356653"/>
    <w:rsid w:val="0035743F"/>
    <w:rsid w:val="00357BE2"/>
    <w:rsid w:val="003606D1"/>
    <w:rsid w:val="0036170C"/>
    <w:rsid w:val="003650BD"/>
    <w:rsid w:val="00366E0F"/>
    <w:rsid w:val="00381A72"/>
    <w:rsid w:val="00384676"/>
    <w:rsid w:val="00390857"/>
    <w:rsid w:val="0039455D"/>
    <w:rsid w:val="003956F4"/>
    <w:rsid w:val="003A4BF3"/>
    <w:rsid w:val="003B420D"/>
    <w:rsid w:val="003B4DAB"/>
    <w:rsid w:val="003C283B"/>
    <w:rsid w:val="003C39C4"/>
    <w:rsid w:val="003C6C16"/>
    <w:rsid w:val="003D454D"/>
    <w:rsid w:val="003D794D"/>
    <w:rsid w:val="003E29DC"/>
    <w:rsid w:val="003E3058"/>
    <w:rsid w:val="003E477C"/>
    <w:rsid w:val="003E76A9"/>
    <w:rsid w:val="003F0809"/>
    <w:rsid w:val="003F6A8C"/>
    <w:rsid w:val="003F755C"/>
    <w:rsid w:val="00406F01"/>
    <w:rsid w:val="00416D50"/>
    <w:rsid w:val="00416FD5"/>
    <w:rsid w:val="00417772"/>
    <w:rsid w:val="00420E6A"/>
    <w:rsid w:val="00423F34"/>
    <w:rsid w:val="00425A9E"/>
    <w:rsid w:val="00425D46"/>
    <w:rsid w:val="00426D6B"/>
    <w:rsid w:val="0043032F"/>
    <w:rsid w:val="00431E6C"/>
    <w:rsid w:val="00433CE7"/>
    <w:rsid w:val="00434B6B"/>
    <w:rsid w:val="00436C1B"/>
    <w:rsid w:val="00452738"/>
    <w:rsid w:val="00455E70"/>
    <w:rsid w:val="00456091"/>
    <w:rsid w:val="0046190C"/>
    <w:rsid w:val="00466321"/>
    <w:rsid w:val="00466BFA"/>
    <w:rsid w:val="00466DCC"/>
    <w:rsid w:val="00470F17"/>
    <w:rsid w:val="00484B9B"/>
    <w:rsid w:val="004855F6"/>
    <w:rsid w:val="0048661E"/>
    <w:rsid w:val="00494670"/>
    <w:rsid w:val="00494A22"/>
    <w:rsid w:val="00497014"/>
    <w:rsid w:val="004A0F1E"/>
    <w:rsid w:val="004A1BDE"/>
    <w:rsid w:val="004A2B11"/>
    <w:rsid w:val="004A3823"/>
    <w:rsid w:val="004A3E62"/>
    <w:rsid w:val="004C4719"/>
    <w:rsid w:val="004D3BBC"/>
    <w:rsid w:val="004D529D"/>
    <w:rsid w:val="004D52BA"/>
    <w:rsid w:val="004E000A"/>
    <w:rsid w:val="004E3EDB"/>
    <w:rsid w:val="004E6946"/>
    <w:rsid w:val="004F1AD8"/>
    <w:rsid w:val="005005EE"/>
    <w:rsid w:val="005039CB"/>
    <w:rsid w:val="005051E2"/>
    <w:rsid w:val="0050558F"/>
    <w:rsid w:val="00506286"/>
    <w:rsid w:val="00510813"/>
    <w:rsid w:val="00511990"/>
    <w:rsid w:val="00511DE0"/>
    <w:rsid w:val="00512160"/>
    <w:rsid w:val="00514870"/>
    <w:rsid w:val="00514B9B"/>
    <w:rsid w:val="00516388"/>
    <w:rsid w:val="00517F02"/>
    <w:rsid w:val="00524303"/>
    <w:rsid w:val="005258A2"/>
    <w:rsid w:val="005401AE"/>
    <w:rsid w:val="00542E07"/>
    <w:rsid w:val="00545424"/>
    <w:rsid w:val="00552C00"/>
    <w:rsid w:val="0055367B"/>
    <w:rsid w:val="00554A7B"/>
    <w:rsid w:val="0055572C"/>
    <w:rsid w:val="0056106A"/>
    <w:rsid w:val="00565F8C"/>
    <w:rsid w:val="00567B59"/>
    <w:rsid w:val="00567D5B"/>
    <w:rsid w:val="005720AE"/>
    <w:rsid w:val="00594D77"/>
    <w:rsid w:val="005969E4"/>
    <w:rsid w:val="005A06B7"/>
    <w:rsid w:val="005A1759"/>
    <w:rsid w:val="005A68A7"/>
    <w:rsid w:val="005B242D"/>
    <w:rsid w:val="005B358C"/>
    <w:rsid w:val="005B60B8"/>
    <w:rsid w:val="005D36AB"/>
    <w:rsid w:val="005D7C46"/>
    <w:rsid w:val="00610059"/>
    <w:rsid w:val="00614BAC"/>
    <w:rsid w:val="00616FFA"/>
    <w:rsid w:val="00617CC3"/>
    <w:rsid w:val="00620184"/>
    <w:rsid w:val="006377A6"/>
    <w:rsid w:val="00637A3D"/>
    <w:rsid w:val="006411EF"/>
    <w:rsid w:val="00642209"/>
    <w:rsid w:val="006557CE"/>
    <w:rsid w:val="006603FF"/>
    <w:rsid w:val="006648A4"/>
    <w:rsid w:val="006660A8"/>
    <w:rsid w:val="00671214"/>
    <w:rsid w:val="006748B8"/>
    <w:rsid w:val="00675C87"/>
    <w:rsid w:val="006775C3"/>
    <w:rsid w:val="006811D8"/>
    <w:rsid w:val="00686C2D"/>
    <w:rsid w:val="00692081"/>
    <w:rsid w:val="0069290A"/>
    <w:rsid w:val="0069775A"/>
    <w:rsid w:val="00697813"/>
    <w:rsid w:val="006A3EE8"/>
    <w:rsid w:val="006A72BF"/>
    <w:rsid w:val="006B03F2"/>
    <w:rsid w:val="006B37DC"/>
    <w:rsid w:val="006B4F68"/>
    <w:rsid w:val="006B742D"/>
    <w:rsid w:val="006C0592"/>
    <w:rsid w:val="006C0D2F"/>
    <w:rsid w:val="006C198F"/>
    <w:rsid w:val="006C272E"/>
    <w:rsid w:val="006C3825"/>
    <w:rsid w:val="006C5479"/>
    <w:rsid w:val="006D05AA"/>
    <w:rsid w:val="006D05E7"/>
    <w:rsid w:val="006D13B5"/>
    <w:rsid w:val="006D19FE"/>
    <w:rsid w:val="006D7FD5"/>
    <w:rsid w:val="006E12FF"/>
    <w:rsid w:val="006E607E"/>
    <w:rsid w:val="006F0F06"/>
    <w:rsid w:val="006F3111"/>
    <w:rsid w:val="006F73DB"/>
    <w:rsid w:val="0070138B"/>
    <w:rsid w:val="00702157"/>
    <w:rsid w:val="007053C7"/>
    <w:rsid w:val="00706C5D"/>
    <w:rsid w:val="00712BA7"/>
    <w:rsid w:val="00732922"/>
    <w:rsid w:val="00742691"/>
    <w:rsid w:val="00743B96"/>
    <w:rsid w:val="007443AF"/>
    <w:rsid w:val="00747696"/>
    <w:rsid w:val="0075162E"/>
    <w:rsid w:val="00753EC5"/>
    <w:rsid w:val="00754034"/>
    <w:rsid w:val="00756556"/>
    <w:rsid w:val="007618C4"/>
    <w:rsid w:val="00765536"/>
    <w:rsid w:val="00767980"/>
    <w:rsid w:val="00767EBF"/>
    <w:rsid w:val="00770B19"/>
    <w:rsid w:val="0077463F"/>
    <w:rsid w:val="00775BE6"/>
    <w:rsid w:val="00780522"/>
    <w:rsid w:val="007836EA"/>
    <w:rsid w:val="00784960"/>
    <w:rsid w:val="00784CDA"/>
    <w:rsid w:val="007906C4"/>
    <w:rsid w:val="007940EA"/>
    <w:rsid w:val="007967E8"/>
    <w:rsid w:val="007A01F0"/>
    <w:rsid w:val="007A2170"/>
    <w:rsid w:val="007A22BF"/>
    <w:rsid w:val="007A3323"/>
    <w:rsid w:val="007B23C5"/>
    <w:rsid w:val="007B53EC"/>
    <w:rsid w:val="007B69D4"/>
    <w:rsid w:val="007B72B8"/>
    <w:rsid w:val="007B7A58"/>
    <w:rsid w:val="007C21B5"/>
    <w:rsid w:val="007D5971"/>
    <w:rsid w:val="007D74D3"/>
    <w:rsid w:val="007E1724"/>
    <w:rsid w:val="007E4BD2"/>
    <w:rsid w:val="007F2473"/>
    <w:rsid w:val="00801393"/>
    <w:rsid w:val="00802F88"/>
    <w:rsid w:val="00803155"/>
    <w:rsid w:val="0081293E"/>
    <w:rsid w:val="00815465"/>
    <w:rsid w:val="00817E9A"/>
    <w:rsid w:val="008306BD"/>
    <w:rsid w:val="00831A80"/>
    <w:rsid w:val="00833743"/>
    <w:rsid w:val="008340A4"/>
    <w:rsid w:val="00852992"/>
    <w:rsid w:val="00855BD6"/>
    <w:rsid w:val="008603CF"/>
    <w:rsid w:val="00861E7E"/>
    <w:rsid w:val="0086735A"/>
    <w:rsid w:val="00870B32"/>
    <w:rsid w:val="0087135F"/>
    <w:rsid w:val="00872D94"/>
    <w:rsid w:val="00880364"/>
    <w:rsid w:val="0088079D"/>
    <w:rsid w:val="008909F6"/>
    <w:rsid w:val="00891592"/>
    <w:rsid w:val="00891E9E"/>
    <w:rsid w:val="00894A10"/>
    <w:rsid w:val="008A2F68"/>
    <w:rsid w:val="008A63EB"/>
    <w:rsid w:val="008B4FA6"/>
    <w:rsid w:val="008B5282"/>
    <w:rsid w:val="008B5614"/>
    <w:rsid w:val="008B7C17"/>
    <w:rsid w:val="008C2D01"/>
    <w:rsid w:val="008C40E6"/>
    <w:rsid w:val="008D0E06"/>
    <w:rsid w:val="008D0F7A"/>
    <w:rsid w:val="008D68E4"/>
    <w:rsid w:val="008E0506"/>
    <w:rsid w:val="008E0CFF"/>
    <w:rsid w:val="008E14EC"/>
    <w:rsid w:val="008E3CC5"/>
    <w:rsid w:val="008E4006"/>
    <w:rsid w:val="008E468D"/>
    <w:rsid w:val="008E5D6B"/>
    <w:rsid w:val="008E76F0"/>
    <w:rsid w:val="008F15FE"/>
    <w:rsid w:val="008F2D29"/>
    <w:rsid w:val="008F4D85"/>
    <w:rsid w:val="008F5187"/>
    <w:rsid w:val="008F60D8"/>
    <w:rsid w:val="008F6A7D"/>
    <w:rsid w:val="008F70D9"/>
    <w:rsid w:val="00902727"/>
    <w:rsid w:val="0090312B"/>
    <w:rsid w:val="00905EF7"/>
    <w:rsid w:val="00910270"/>
    <w:rsid w:val="009131D6"/>
    <w:rsid w:val="00914D66"/>
    <w:rsid w:val="0091736D"/>
    <w:rsid w:val="009237F7"/>
    <w:rsid w:val="0093037A"/>
    <w:rsid w:val="009355A5"/>
    <w:rsid w:val="00937167"/>
    <w:rsid w:val="0094154D"/>
    <w:rsid w:val="0095155F"/>
    <w:rsid w:val="00954429"/>
    <w:rsid w:val="009563CE"/>
    <w:rsid w:val="00957006"/>
    <w:rsid w:val="0096028D"/>
    <w:rsid w:val="0096240D"/>
    <w:rsid w:val="00967C92"/>
    <w:rsid w:val="009755CF"/>
    <w:rsid w:val="00976328"/>
    <w:rsid w:val="0097680D"/>
    <w:rsid w:val="00982438"/>
    <w:rsid w:val="00983AD2"/>
    <w:rsid w:val="0098404C"/>
    <w:rsid w:val="00985283"/>
    <w:rsid w:val="00995992"/>
    <w:rsid w:val="0099700E"/>
    <w:rsid w:val="009A03E5"/>
    <w:rsid w:val="009A0B7B"/>
    <w:rsid w:val="009A0F3B"/>
    <w:rsid w:val="009A1BB4"/>
    <w:rsid w:val="009A2628"/>
    <w:rsid w:val="009A3200"/>
    <w:rsid w:val="009B0897"/>
    <w:rsid w:val="009B7BD9"/>
    <w:rsid w:val="009C02A5"/>
    <w:rsid w:val="009C0D3F"/>
    <w:rsid w:val="009C7DD5"/>
    <w:rsid w:val="009E227D"/>
    <w:rsid w:val="009E5019"/>
    <w:rsid w:val="009E6752"/>
    <w:rsid w:val="009E6B87"/>
    <w:rsid w:val="009E78EC"/>
    <w:rsid w:val="009F5AEE"/>
    <w:rsid w:val="00A01394"/>
    <w:rsid w:val="00A04F1B"/>
    <w:rsid w:val="00A0501B"/>
    <w:rsid w:val="00A100F9"/>
    <w:rsid w:val="00A13F62"/>
    <w:rsid w:val="00A14947"/>
    <w:rsid w:val="00A158B2"/>
    <w:rsid w:val="00A202AA"/>
    <w:rsid w:val="00A32A83"/>
    <w:rsid w:val="00A368DB"/>
    <w:rsid w:val="00A423AA"/>
    <w:rsid w:val="00A53EC6"/>
    <w:rsid w:val="00A54465"/>
    <w:rsid w:val="00A55C0F"/>
    <w:rsid w:val="00A61507"/>
    <w:rsid w:val="00A62554"/>
    <w:rsid w:val="00A62962"/>
    <w:rsid w:val="00A65FEA"/>
    <w:rsid w:val="00A8549E"/>
    <w:rsid w:val="00A8713F"/>
    <w:rsid w:val="00A90BA1"/>
    <w:rsid w:val="00A92813"/>
    <w:rsid w:val="00A97A9A"/>
    <w:rsid w:val="00AA0671"/>
    <w:rsid w:val="00AA2531"/>
    <w:rsid w:val="00AA6317"/>
    <w:rsid w:val="00AB1CF2"/>
    <w:rsid w:val="00AB1E09"/>
    <w:rsid w:val="00AB472F"/>
    <w:rsid w:val="00AB5039"/>
    <w:rsid w:val="00AB5330"/>
    <w:rsid w:val="00AB7747"/>
    <w:rsid w:val="00AC14CE"/>
    <w:rsid w:val="00AC2A56"/>
    <w:rsid w:val="00AD055E"/>
    <w:rsid w:val="00AD47A7"/>
    <w:rsid w:val="00AD786F"/>
    <w:rsid w:val="00AE53F5"/>
    <w:rsid w:val="00AE5A50"/>
    <w:rsid w:val="00AE5E1E"/>
    <w:rsid w:val="00AF0CBF"/>
    <w:rsid w:val="00AF257F"/>
    <w:rsid w:val="00AF33CF"/>
    <w:rsid w:val="00AF4D50"/>
    <w:rsid w:val="00AF540C"/>
    <w:rsid w:val="00AF6179"/>
    <w:rsid w:val="00B1295A"/>
    <w:rsid w:val="00B20A45"/>
    <w:rsid w:val="00B22C5C"/>
    <w:rsid w:val="00B24F30"/>
    <w:rsid w:val="00B31ABF"/>
    <w:rsid w:val="00B33BE3"/>
    <w:rsid w:val="00B420AB"/>
    <w:rsid w:val="00B449C0"/>
    <w:rsid w:val="00B4559F"/>
    <w:rsid w:val="00B45A73"/>
    <w:rsid w:val="00B53B5D"/>
    <w:rsid w:val="00B6055E"/>
    <w:rsid w:val="00B6317D"/>
    <w:rsid w:val="00B64944"/>
    <w:rsid w:val="00B64F2C"/>
    <w:rsid w:val="00B76611"/>
    <w:rsid w:val="00B7723F"/>
    <w:rsid w:val="00B80534"/>
    <w:rsid w:val="00B8433C"/>
    <w:rsid w:val="00B87491"/>
    <w:rsid w:val="00B91620"/>
    <w:rsid w:val="00B92BC1"/>
    <w:rsid w:val="00B92CED"/>
    <w:rsid w:val="00BA29E9"/>
    <w:rsid w:val="00BA7142"/>
    <w:rsid w:val="00BB237C"/>
    <w:rsid w:val="00BB41A3"/>
    <w:rsid w:val="00BC2847"/>
    <w:rsid w:val="00BC32DC"/>
    <w:rsid w:val="00BC35B6"/>
    <w:rsid w:val="00BD1B51"/>
    <w:rsid w:val="00BD4596"/>
    <w:rsid w:val="00BE1405"/>
    <w:rsid w:val="00BE312D"/>
    <w:rsid w:val="00BE366A"/>
    <w:rsid w:val="00BE41E4"/>
    <w:rsid w:val="00BE70F0"/>
    <w:rsid w:val="00BE7C46"/>
    <w:rsid w:val="00BF1C20"/>
    <w:rsid w:val="00C009A2"/>
    <w:rsid w:val="00C00B92"/>
    <w:rsid w:val="00C10578"/>
    <w:rsid w:val="00C11B33"/>
    <w:rsid w:val="00C135BC"/>
    <w:rsid w:val="00C149DB"/>
    <w:rsid w:val="00C15C95"/>
    <w:rsid w:val="00C1741D"/>
    <w:rsid w:val="00C231EB"/>
    <w:rsid w:val="00C23F9A"/>
    <w:rsid w:val="00C2596A"/>
    <w:rsid w:val="00C27537"/>
    <w:rsid w:val="00C31627"/>
    <w:rsid w:val="00C328FE"/>
    <w:rsid w:val="00C33507"/>
    <w:rsid w:val="00C4409D"/>
    <w:rsid w:val="00C44E72"/>
    <w:rsid w:val="00C45A06"/>
    <w:rsid w:val="00C464C0"/>
    <w:rsid w:val="00C47E5B"/>
    <w:rsid w:val="00C53C1E"/>
    <w:rsid w:val="00C61E4B"/>
    <w:rsid w:val="00C64BFF"/>
    <w:rsid w:val="00C704E9"/>
    <w:rsid w:val="00C749E5"/>
    <w:rsid w:val="00C763C9"/>
    <w:rsid w:val="00C80057"/>
    <w:rsid w:val="00C82232"/>
    <w:rsid w:val="00C82913"/>
    <w:rsid w:val="00C914A2"/>
    <w:rsid w:val="00C94CD5"/>
    <w:rsid w:val="00C965F6"/>
    <w:rsid w:val="00C972B1"/>
    <w:rsid w:val="00CA2C4E"/>
    <w:rsid w:val="00CA2CCE"/>
    <w:rsid w:val="00CA43FD"/>
    <w:rsid w:val="00CA7A05"/>
    <w:rsid w:val="00CA7EF8"/>
    <w:rsid w:val="00CB61F1"/>
    <w:rsid w:val="00CB6825"/>
    <w:rsid w:val="00CC489B"/>
    <w:rsid w:val="00CC7CF7"/>
    <w:rsid w:val="00CD0A6B"/>
    <w:rsid w:val="00CD2BCD"/>
    <w:rsid w:val="00CD3A4C"/>
    <w:rsid w:val="00CD7EED"/>
    <w:rsid w:val="00CE10E9"/>
    <w:rsid w:val="00CE2910"/>
    <w:rsid w:val="00CE2B88"/>
    <w:rsid w:val="00CE44D9"/>
    <w:rsid w:val="00CE5393"/>
    <w:rsid w:val="00CF3291"/>
    <w:rsid w:val="00CF36BE"/>
    <w:rsid w:val="00CF6000"/>
    <w:rsid w:val="00D003F3"/>
    <w:rsid w:val="00D0364F"/>
    <w:rsid w:val="00D04B36"/>
    <w:rsid w:val="00D04E07"/>
    <w:rsid w:val="00D06834"/>
    <w:rsid w:val="00D17AB7"/>
    <w:rsid w:val="00D2249F"/>
    <w:rsid w:val="00D308ED"/>
    <w:rsid w:val="00D31BEE"/>
    <w:rsid w:val="00D36D3E"/>
    <w:rsid w:val="00D36D86"/>
    <w:rsid w:val="00D3779C"/>
    <w:rsid w:val="00D428AA"/>
    <w:rsid w:val="00D43714"/>
    <w:rsid w:val="00D50A34"/>
    <w:rsid w:val="00D53EFA"/>
    <w:rsid w:val="00D729A9"/>
    <w:rsid w:val="00D94A7C"/>
    <w:rsid w:val="00D95896"/>
    <w:rsid w:val="00DA6333"/>
    <w:rsid w:val="00DB25A1"/>
    <w:rsid w:val="00DB2983"/>
    <w:rsid w:val="00DC1257"/>
    <w:rsid w:val="00DC3DC0"/>
    <w:rsid w:val="00DC5B2B"/>
    <w:rsid w:val="00DD0B6C"/>
    <w:rsid w:val="00DD318D"/>
    <w:rsid w:val="00DD5A62"/>
    <w:rsid w:val="00DD652D"/>
    <w:rsid w:val="00DD75D2"/>
    <w:rsid w:val="00DF2E12"/>
    <w:rsid w:val="00DF514A"/>
    <w:rsid w:val="00DF6690"/>
    <w:rsid w:val="00DF674A"/>
    <w:rsid w:val="00DF6804"/>
    <w:rsid w:val="00DF6F38"/>
    <w:rsid w:val="00E0358D"/>
    <w:rsid w:val="00E04323"/>
    <w:rsid w:val="00E04C62"/>
    <w:rsid w:val="00E070A2"/>
    <w:rsid w:val="00E10751"/>
    <w:rsid w:val="00E2656A"/>
    <w:rsid w:val="00E335F3"/>
    <w:rsid w:val="00E412D0"/>
    <w:rsid w:val="00E452FF"/>
    <w:rsid w:val="00E56322"/>
    <w:rsid w:val="00E60982"/>
    <w:rsid w:val="00E62C62"/>
    <w:rsid w:val="00E654C1"/>
    <w:rsid w:val="00E65D97"/>
    <w:rsid w:val="00E72A5A"/>
    <w:rsid w:val="00E73319"/>
    <w:rsid w:val="00E73354"/>
    <w:rsid w:val="00E73AB0"/>
    <w:rsid w:val="00E8130B"/>
    <w:rsid w:val="00E8335D"/>
    <w:rsid w:val="00E9242D"/>
    <w:rsid w:val="00E939CC"/>
    <w:rsid w:val="00E97C7A"/>
    <w:rsid w:val="00EA127E"/>
    <w:rsid w:val="00EB5255"/>
    <w:rsid w:val="00EB5C47"/>
    <w:rsid w:val="00EB67A6"/>
    <w:rsid w:val="00EB7E76"/>
    <w:rsid w:val="00ED0639"/>
    <w:rsid w:val="00EE088E"/>
    <w:rsid w:val="00EF4755"/>
    <w:rsid w:val="00EF7135"/>
    <w:rsid w:val="00F027DB"/>
    <w:rsid w:val="00F03F47"/>
    <w:rsid w:val="00F068AE"/>
    <w:rsid w:val="00F14A7A"/>
    <w:rsid w:val="00F17579"/>
    <w:rsid w:val="00F21A28"/>
    <w:rsid w:val="00F22985"/>
    <w:rsid w:val="00F27088"/>
    <w:rsid w:val="00F3383E"/>
    <w:rsid w:val="00F338FD"/>
    <w:rsid w:val="00F442D0"/>
    <w:rsid w:val="00F4529F"/>
    <w:rsid w:val="00F465A7"/>
    <w:rsid w:val="00F467C3"/>
    <w:rsid w:val="00F50B7C"/>
    <w:rsid w:val="00F550E6"/>
    <w:rsid w:val="00F55D36"/>
    <w:rsid w:val="00F578AD"/>
    <w:rsid w:val="00F664C0"/>
    <w:rsid w:val="00F715E6"/>
    <w:rsid w:val="00F74345"/>
    <w:rsid w:val="00F7783E"/>
    <w:rsid w:val="00F80A0A"/>
    <w:rsid w:val="00F82338"/>
    <w:rsid w:val="00F82B19"/>
    <w:rsid w:val="00F833ED"/>
    <w:rsid w:val="00F846D4"/>
    <w:rsid w:val="00F87A60"/>
    <w:rsid w:val="00F9212D"/>
    <w:rsid w:val="00F965DA"/>
    <w:rsid w:val="00FA2D99"/>
    <w:rsid w:val="00FA406A"/>
    <w:rsid w:val="00FB503A"/>
    <w:rsid w:val="00FB516C"/>
    <w:rsid w:val="00FB5312"/>
    <w:rsid w:val="00FD0236"/>
    <w:rsid w:val="00FD0C78"/>
    <w:rsid w:val="00FD18F4"/>
    <w:rsid w:val="00FD1A1D"/>
    <w:rsid w:val="00FD54DB"/>
    <w:rsid w:val="00FD619F"/>
    <w:rsid w:val="00FE49D7"/>
    <w:rsid w:val="00FE581C"/>
    <w:rsid w:val="00FF4BEE"/>
    <w:rsid w:val="00FF4ECB"/>
    <w:rsid w:val="01290F7E"/>
    <w:rsid w:val="015D1E09"/>
    <w:rsid w:val="01FE4C3A"/>
    <w:rsid w:val="020967F0"/>
    <w:rsid w:val="02697903"/>
    <w:rsid w:val="026E4BCA"/>
    <w:rsid w:val="02A926DE"/>
    <w:rsid w:val="02C170CB"/>
    <w:rsid w:val="02F601A7"/>
    <w:rsid w:val="02F96569"/>
    <w:rsid w:val="03101E00"/>
    <w:rsid w:val="038A6A2F"/>
    <w:rsid w:val="03E653CF"/>
    <w:rsid w:val="03EA7B21"/>
    <w:rsid w:val="040D00EE"/>
    <w:rsid w:val="041E45FD"/>
    <w:rsid w:val="04B71C2E"/>
    <w:rsid w:val="04E41376"/>
    <w:rsid w:val="050F6B90"/>
    <w:rsid w:val="056A35F6"/>
    <w:rsid w:val="05712B3C"/>
    <w:rsid w:val="05936890"/>
    <w:rsid w:val="05F83EAE"/>
    <w:rsid w:val="06262E19"/>
    <w:rsid w:val="063E7D85"/>
    <w:rsid w:val="06865733"/>
    <w:rsid w:val="06A92B1B"/>
    <w:rsid w:val="06C07699"/>
    <w:rsid w:val="070752C8"/>
    <w:rsid w:val="071C205F"/>
    <w:rsid w:val="0721282E"/>
    <w:rsid w:val="07293586"/>
    <w:rsid w:val="07295285"/>
    <w:rsid w:val="074336EF"/>
    <w:rsid w:val="07636392"/>
    <w:rsid w:val="0763671E"/>
    <w:rsid w:val="07770C56"/>
    <w:rsid w:val="0795051A"/>
    <w:rsid w:val="07952481"/>
    <w:rsid w:val="07972D2B"/>
    <w:rsid w:val="07B65AE6"/>
    <w:rsid w:val="07BF1611"/>
    <w:rsid w:val="07F76E01"/>
    <w:rsid w:val="081447CD"/>
    <w:rsid w:val="0842353E"/>
    <w:rsid w:val="086E7F0F"/>
    <w:rsid w:val="08C031BA"/>
    <w:rsid w:val="08C6281E"/>
    <w:rsid w:val="08E65ADD"/>
    <w:rsid w:val="08EE5D83"/>
    <w:rsid w:val="08FF22A0"/>
    <w:rsid w:val="090B4B86"/>
    <w:rsid w:val="092217DD"/>
    <w:rsid w:val="093A7294"/>
    <w:rsid w:val="09412D13"/>
    <w:rsid w:val="09516414"/>
    <w:rsid w:val="09851830"/>
    <w:rsid w:val="09F213E5"/>
    <w:rsid w:val="09F743D3"/>
    <w:rsid w:val="0A2620F3"/>
    <w:rsid w:val="0A263993"/>
    <w:rsid w:val="0A2D3AC2"/>
    <w:rsid w:val="0A5371A2"/>
    <w:rsid w:val="0AA755DF"/>
    <w:rsid w:val="0AB36CCD"/>
    <w:rsid w:val="0AED74C5"/>
    <w:rsid w:val="0AF919D3"/>
    <w:rsid w:val="0B120D44"/>
    <w:rsid w:val="0B187BC7"/>
    <w:rsid w:val="0B24469B"/>
    <w:rsid w:val="0B332B30"/>
    <w:rsid w:val="0B461B5B"/>
    <w:rsid w:val="0B692A77"/>
    <w:rsid w:val="0BD13864"/>
    <w:rsid w:val="0BD27BF6"/>
    <w:rsid w:val="0BFC1173"/>
    <w:rsid w:val="0C2E7A57"/>
    <w:rsid w:val="0C397871"/>
    <w:rsid w:val="0C3B3C7D"/>
    <w:rsid w:val="0C41423F"/>
    <w:rsid w:val="0C430B50"/>
    <w:rsid w:val="0CA35A93"/>
    <w:rsid w:val="0CAB2EAE"/>
    <w:rsid w:val="0D340DE6"/>
    <w:rsid w:val="0D531267"/>
    <w:rsid w:val="0D621C7D"/>
    <w:rsid w:val="0D9409C6"/>
    <w:rsid w:val="0D961154"/>
    <w:rsid w:val="0D9F0C95"/>
    <w:rsid w:val="0DB05363"/>
    <w:rsid w:val="0E5A04A5"/>
    <w:rsid w:val="0E713040"/>
    <w:rsid w:val="0E73034D"/>
    <w:rsid w:val="0EB9311C"/>
    <w:rsid w:val="0ECC7674"/>
    <w:rsid w:val="0EEC5C3B"/>
    <w:rsid w:val="0F115334"/>
    <w:rsid w:val="0F13775A"/>
    <w:rsid w:val="0F3F3051"/>
    <w:rsid w:val="0F5F45FE"/>
    <w:rsid w:val="0F9A112B"/>
    <w:rsid w:val="0FCB23D6"/>
    <w:rsid w:val="0FD07480"/>
    <w:rsid w:val="0FF769FE"/>
    <w:rsid w:val="10093E5F"/>
    <w:rsid w:val="1009510B"/>
    <w:rsid w:val="102B33B7"/>
    <w:rsid w:val="10401F77"/>
    <w:rsid w:val="106D2F64"/>
    <w:rsid w:val="108A11CD"/>
    <w:rsid w:val="10B63710"/>
    <w:rsid w:val="10C304B2"/>
    <w:rsid w:val="10DA3734"/>
    <w:rsid w:val="10F10820"/>
    <w:rsid w:val="10FD7E68"/>
    <w:rsid w:val="111342D4"/>
    <w:rsid w:val="11150550"/>
    <w:rsid w:val="111C2F7A"/>
    <w:rsid w:val="11312B82"/>
    <w:rsid w:val="11665CA1"/>
    <w:rsid w:val="11CD2E6F"/>
    <w:rsid w:val="12521AED"/>
    <w:rsid w:val="12636E7A"/>
    <w:rsid w:val="126A32DB"/>
    <w:rsid w:val="12F47048"/>
    <w:rsid w:val="13003AFD"/>
    <w:rsid w:val="1345385B"/>
    <w:rsid w:val="136441CE"/>
    <w:rsid w:val="13687DAB"/>
    <w:rsid w:val="138A52B7"/>
    <w:rsid w:val="13951726"/>
    <w:rsid w:val="13AA48E9"/>
    <w:rsid w:val="13AC00B9"/>
    <w:rsid w:val="13EE5846"/>
    <w:rsid w:val="13EE5F81"/>
    <w:rsid w:val="140B6CF5"/>
    <w:rsid w:val="14396509"/>
    <w:rsid w:val="14553C80"/>
    <w:rsid w:val="147771C0"/>
    <w:rsid w:val="14BE09E0"/>
    <w:rsid w:val="14D05CA0"/>
    <w:rsid w:val="14DD2C3C"/>
    <w:rsid w:val="14FB2C15"/>
    <w:rsid w:val="14FC21E4"/>
    <w:rsid w:val="1554129F"/>
    <w:rsid w:val="155F7158"/>
    <w:rsid w:val="156274C0"/>
    <w:rsid w:val="157068F5"/>
    <w:rsid w:val="158717DE"/>
    <w:rsid w:val="15BD121D"/>
    <w:rsid w:val="16087E1D"/>
    <w:rsid w:val="160B1D82"/>
    <w:rsid w:val="166F2094"/>
    <w:rsid w:val="168B5A95"/>
    <w:rsid w:val="16BE1E47"/>
    <w:rsid w:val="16CC1D6E"/>
    <w:rsid w:val="16D82C79"/>
    <w:rsid w:val="16EF0253"/>
    <w:rsid w:val="16F23F8C"/>
    <w:rsid w:val="17140283"/>
    <w:rsid w:val="171F45B2"/>
    <w:rsid w:val="17274070"/>
    <w:rsid w:val="17701D14"/>
    <w:rsid w:val="17735226"/>
    <w:rsid w:val="178209FD"/>
    <w:rsid w:val="17D9003A"/>
    <w:rsid w:val="189F624C"/>
    <w:rsid w:val="18AD6F38"/>
    <w:rsid w:val="18BF3C55"/>
    <w:rsid w:val="18CA1D3F"/>
    <w:rsid w:val="19050FAA"/>
    <w:rsid w:val="195E2156"/>
    <w:rsid w:val="19C72D15"/>
    <w:rsid w:val="19CC6629"/>
    <w:rsid w:val="19E5629D"/>
    <w:rsid w:val="1A1C66C0"/>
    <w:rsid w:val="1A42393B"/>
    <w:rsid w:val="1A69426E"/>
    <w:rsid w:val="1AAD45DE"/>
    <w:rsid w:val="1B046F80"/>
    <w:rsid w:val="1B3267B5"/>
    <w:rsid w:val="1B40161D"/>
    <w:rsid w:val="1B441859"/>
    <w:rsid w:val="1B6606B1"/>
    <w:rsid w:val="1BCF5E5B"/>
    <w:rsid w:val="1BD160DD"/>
    <w:rsid w:val="1BFA6538"/>
    <w:rsid w:val="1C5E7925"/>
    <w:rsid w:val="1C6272F8"/>
    <w:rsid w:val="1C8006EA"/>
    <w:rsid w:val="1CFA70F5"/>
    <w:rsid w:val="1CFD070F"/>
    <w:rsid w:val="1D543877"/>
    <w:rsid w:val="1D5F6196"/>
    <w:rsid w:val="1D6132A5"/>
    <w:rsid w:val="1D8E56D5"/>
    <w:rsid w:val="1DCA7323"/>
    <w:rsid w:val="1DCD023F"/>
    <w:rsid w:val="1E087E4C"/>
    <w:rsid w:val="1E2C218B"/>
    <w:rsid w:val="1E7453DE"/>
    <w:rsid w:val="1E7A43DA"/>
    <w:rsid w:val="1E800D59"/>
    <w:rsid w:val="1E926B86"/>
    <w:rsid w:val="1ECB5B46"/>
    <w:rsid w:val="1F082A3A"/>
    <w:rsid w:val="1F1D32EB"/>
    <w:rsid w:val="1F8677F4"/>
    <w:rsid w:val="1FB7719A"/>
    <w:rsid w:val="1FE7539E"/>
    <w:rsid w:val="1FEC17EB"/>
    <w:rsid w:val="20671BE0"/>
    <w:rsid w:val="20907A96"/>
    <w:rsid w:val="2094187C"/>
    <w:rsid w:val="20963CB8"/>
    <w:rsid w:val="20A81A1B"/>
    <w:rsid w:val="20B07FB6"/>
    <w:rsid w:val="20B646FB"/>
    <w:rsid w:val="20C8024F"/>
    <w:rsid w:val="213B74B1"/>
    <w:rsid w:val="213F5933"/>
    <w:rsid w:val="215A2310"/>
    <w:rsid w:val="217C028D"/>
    <w:rsid w:val="218311C4"/>
    <w:rsid w:val="21D76F22"/>
    <w:rsid w:val="21DE318A"/>
    <w:rsid w:val="21E464DA"/>
    <w:rsid w:val="21EF5B80"/>
    <w:rsid w:val="221C2473"/>
    <w:rsid w:val="22576990"/>
    <w:rsid w:val="229F00AB"/>
    <w:rsid w:val="22A719E1"/>
    <w:rsid w:val="22B13EF7"/>
    <w:rsid w:val="22F47480"/>
    <w:rsid w:val="23726349"/>
    <w:rsid w:val="23906919"/>
    <w:rsid w:val="23D37D19"/>
    <w:rsid w:val="23D41A4F"/>
    <w:rsid w:val="23DE1C48"/>
    <w:rsid w:val="240210CD"/>
    <w:rsid w:val="24044C11"/>
    <w:rsid w:val="245272C7"/>
    <w:rsid w:val="245F673B"/>
    <w:rsid w:val="24BF09F7"/>
    <w:rsid w:val="24C51830"/>
    <w:rsid w:val="252D53FE"/>
    <w:rsid w:val="254B17EF"/>
    <w:rsid w:val="25BC57A4"/>
    <w:rsid w:val="25E01989"/>
    <w:rsid w:val="25EC2D81"/>
    <w:rsid w:val="260A5C5B"/>
    <w:rsid w:val="26243349"/>
    <w:rsid w:val="265C7310"/>
    <w:rsid w:val="266C2D19"/>
    <w:rsid w:val="267C13D7"/>
    <w:rsid w:val="26D66D39"/>
    <w:rsid w:val="26DF1AEE"/>
    <w:rsid w:val="277057A2"/>
    <w:rsid w:val="27762E38"/>
    <w:rsid w:val="27DD0FD4"/>
    <w:rsid w:val="285C44A5"/>
    <w:rsid w:val="28773C04"/>
    <w:rsid w:val="28AD7746"/>
    <w:rsid w:val="28B90628"/>
    <w:rsid w:val="28CD0E0B"/>
    <w:rsid w:val="28D61384"/>
    <w:rsid w:val="28DE56DA"/>
    <w:rsid w:val="29206EB8"/>
    <w:rsid w:val="292F002F"/>
    <w:rsid w:val="29595666"/>
    <w:rsid w:val="296B3D08"/>
    <w:rsid w:val="29874881"/>
    <w:rsid w:val="29887B6A"/>
    <w:rsid w:val="29B0756F"/>
    <w:rsid w:val="29C40B22"/>
    <w:rsid w:val="29E325E0"/>
    <w:rsid w:val="2A027E45"/>
    <w:rsid w:val="2A452503"/>
    <w:rsid w:val="2A5B62CC"/>
    <w:rsid w:val="2AFD65DE"/>
    <w:rsid w:val="2B1C4F36"/>
    <w:rsid w:val="2B1E480B"/>
    <w:rsid w:val="2BA936A8"/>
    <w:rsid w:val="2BD61589"/>
    <w:rsid w:val="2BDE20BE"/>
    <w:rsid w:val="2C315A5A"/>
    <w:rsid w:val="2C4B1C25"/>
    <w:rsid w:val="2C4F6930"/>
    <w:rsid w:val="2CC6109F"/>
    <w:rsid w:val="2CD721D8"/>
    <w:rsid w:val="2D5400A8"/>
    <w:rsid w:val="2D9E56F5"/>
    <w:rsid w:val="2DA00CFB"/>
    <w:rsid w:val="2DDA5C87"/>
    <w:rsid w:val="2DE53482"/>
    <w:rsid w:val="2DEE04A8"/>
    <w:rsid w:val="2DF92ED6"/>
    <w:rsid w:val="2E121DD7"/>
    <w:rsid w:val="2E394325"/>
    <w:rsid w:val="2E667F96"/>
    <w:rsid w:val="2E8226AB"/>
    <w:rsid w:val="2E9A064C"/>
    <w:rsid w:val="2EEF2549"/>
    <w:rsid w:val="2F034327"/>
    <w:rsid w:val="2F0D2E39"/>
    <w:rsid w:val="2F131F39"/>
    <w:rsid w:val="2F370591"/>
    <w:rsid w:val="2F5A3437"/>
    <w:rsid w:val="2FCB7966"/>
    <w:rsid w:val="2FD065E6"/>
    <w:rsid w:val="2FD36D94"/>
    <w:rsid w:val="2FD96870"/>
    <w:rsid w:val="2FDC3896"/>
    <w:rsid w:val="2FDF5B6F"/>
    <w:rsid w:val="2FF641C2"/>
    <w:rsid w:val="300643F3"/>
    <w:rsid w:val="30580BC9"/>
    <w:rsid w:val="307E4A6C"/>
    <w:rsid w:val="311E2ED7"/>
    <w:rsid w:val="315619EE"/>
    <w:rsid w:val="315A0567"/>
    <w:rsid w:val="315C449C"/>
    <w:rsid w:val="31B00888"/>
    <w:rsid w:val="31B82709"/>
    <w:rsid w:val="31CD0D39"/>
    <w:rsid w:val="31D05482"/>
    <w:rsid w:val="32250B75"/>
    <w:rsid w:val="32333292"/>
    <w:rsid w:val="32400B34"/>
    <w:rsid w:val="32762951"/>
    <w:rsid w:val="327970BC"/>
    <w:rsid w:val="329E6876"/>
    <w:rsid w:val="330469DC"/>
    <w:rsid w:val="333015F2"/>
    <w:rsid w:val="33406B67"/>
    <w:rsid w:val="334B6320"/>
    <w:rsid w:val="33570DF1"/>
    <w:rsid w:val="33593F72"/>
    <w:rsid w:val="33D934D4"/>
    <w:rsid w:val="33FE2F6A"/>
    <w:rsid w:val="3405332C"/>
    <w:rsid w:val="340E07E5"/>
    <w:rsid w:val="341744ED"/>
    <w:rsid w:val="34193E6E"/>
    <w:rsid w:val="341B3FDD"/>
    <w:rsid w:val="34235BF7"/>
    <w:rsid w:val="343B42FB"/>
    <w:rsid w:val="346007D2"/>
    <w:rsid w:val="34620568"/>
    <w:rsid w:val="34C6228E"/>
    <w:rsid w:val="34E21DCB"/>
    <w:rsid w:val="34EE34A0"/>
    <w:rsid w:val="34EF288D"/>
    <w:rsid w:val="34FD04AA"/>
    <w:rsid w:val="35803E6B"/>
    <w:rsid w:val="358C5FA8"/>
    <w:rsid w:val="35987236"/>
    <w:rsid w:val="35BC359E"/>
    <w:rsid w:val="35C15DF1"/>
    <w:rsid w:val="35FEFCD0"/>
    <w:rsid w:val="36074A7F"/>
    <w:rsid w:val="362C2AAD"/>
    <w:rsid w:val="36346DCA"/>
    <w:rsid w:val="36447758"/>
    <w:rsid w:val="364A16DD"/>
    <w:rsid w:val="36923549"/>
    <w:rsid w:val="36AC2B6F"/>
    <w:rsid w:val="36B75FBF"/>
    <w:rsid w:val="36BD0C45"/>
    <w:rsid w:val="37193A83"/>
    <w:rsid w:val="3776484C"/>
    <w:rsid w:val="378620B5"/>
    <w:rsid w:val="37A83DDA"/>
    <w:rsid w:val="37E00298"/>
    <w:rsid w:val="37F0624C"/>
    <w:rsid w:val="384B29B7"/>
    <w:rsid w:val="384F6BF6"/>
    <w:rsid w:val="387727AD"/>
    <w:rsid w:val="388E2D25"/>
    <w:rsid w:val="38B302F9"/>
    <w:rsid w:val="38D76F15"/>
    <w:rsid w:val="38F12CD3"/>
    <w:rsid w:val="38F94775"/>
    <w:rsid w:val="392971ED"/>
    <w:rsid w:val="39325651"/>
    <w:rsid w:val="39330608"/>
    <w:rsid w:val="393B50AD"/>
    <w:rsid w:val="39482DE5"/>
    <w:rsid w:val="3967477A"/>
    <w:rsid w:val="397F34D4"/>
    <w:rsid w:val="39DF5AAD"/>
    <w:rsid w:val="3A2B22D6"/>
    <w:rsid w:val="3A4A7A26"/>
    <w:rsid w:val="3A7461F5"/>
    <w:rsid w:val="3A872856"/>
    <w:rsid w:val="3A8F1281"/>
    <w:rsid w:val="3ABB5F67"/>
    <w:rsid w:val="3B2C298C"/>
    <w:rsid w:val="3B3763D1"/>
    <w:rsid w:val="3B3C3EF3"/>
    <w:rsid w:val="3B5F0C53"/>
    <w:rsid w:val="3B602967"/>
    <w:rsid w:val="3B6D271E"/>
    <w:rsid w:val="3B9E0693"/>
    <w:rsid w:val="3BBA232E"/>
    <w:rsid w:val="3BD268D6"/>
    <w:rsid w:val="3BED23D5"/>
    <w:rsid w:val="3C2F6E1E"/>
    <w:rsid w:val="3C410359"/>
    <w:rsid w:val="3C4F64BA"/>
    <w:rsid w:val="3C7921E9"/>
    <w:rsid w:val="3C8F2BC2"/>
    <w:rsid w:val="3CA93776"/>
    <w:rsid w:val="3CD967E3"/>
    <w:rsid w:val="3CDA245A"/>
    <w:rsid w:val="3D1A156D"/>
    <w:rsid w:val="3D1E06B7"/>
    <w:rsid w:val="3D4230D3"/>
    <w:rsid w:val="3D46468D"/>
    <w:rsid w:val="3D8202FB"/>
    <w:rsid w:val="3E0930F8"/>
    <w:rsid w:val="3E9A3E4E"/>
    <w:rsid w:val="3E9C3F6D"/>
    <w:rsid w:val="3EDA0523"/>
    <w:rsid w:val="3EF15734"/>
    <w:rsid w:val="3EFF1873"/>
    <w:rsid w:val="3F2469E4"/>
    <w:rsid w:val="3F4A1290"/>
    <w:rsid w:val="3F5F1E28"/>
    <w:rsid w:val="3F8B190D"/>
    <w:rsid w:val="3F9066E6"/>
    <w:rsid w:val="3F994BA6"/>
    <w:rsid w:val="3F9D1265"/>
    <w:rsid w:val="3FB70C43"/>
    <w:rsid w:val="3FBFA6E1"/>
    <w:rsid w:val="3FC42B6B"/>
    <w:rsid w:val="3FE44FF0"/>
    <w:rsid w:val="3FEF6B5E"/>
    <w:rsid w:val="40073668"/>
    <w:rsid w:val="400A6AF2"/>
    <w:rsid w:val="40376F2F"/>
    <w:rsid w:val="40643C1A"/>
    <w:rsid w:val="407A6407"/>
    <w:rsid w:val="40AF3E5B"/>
    <w:rsid w:val="40E1035D"/>
    <w:rsid w:val="41764F49"/>
    <w:rsid w:val="41B90B49"/>
    <w:rsid w:val="41D72A00"/>
    <w:rsid w:val="4200449D"/>
    <w:rsid w:val="423A3BCC"/>
    <w:rsid w:val="424137E6"/>
    <w:rsid w:val="42442951"/>
    <w:rsid w:val="424E57D2"/>
    <w:rsid w:val="425C2D51"/>
    <w:rsid w:val="42A17E7B"/>
    <w:rsid w:val="42A45048"/>
    <w:rsid w:val="42B26C49"/>
    <w:rsid w:val="433A6FE6"/>
    <w:rsid w:val="43480868"/>
    <w:rsid w:val="4350713C"/>
    <w:rsid w:val="436653E0"/>
    <w:rsid w:val="438F2A84"/>
    <w:rsid w:val="43BE0596"/>
    <w:rsid w:val="43C4431A"/>
    <w:rsid w:val="43D75777"/>
    <w:rsid w:val="43E97AFD"/>
    <w:rsid w:val="44160A31"/>
    <w:rsid w:val="442E5667"/>
    <w:rsid w:val="4476179F"/>
    <w:rsid w:val="447D0E04"/>
    <w:rsid w:val="44AC1AE5"/>
    <w:rsid w:val="44B951CC"/>
    <w:rsid w:val="44CD14E0"/>
    <w:rsid w:val="44F20B0B"/>
    <w:rsid w:val="452E5F4C"/>
    <w:rsid w:val="453A3B62"/>
    <w:rsid w:val="454315E6"/>
    <w:rsid w:val="45612018"/>
    <w:rsid w:val="458946E9"/>
    <w:rsid w:val="45901905"/>
    <w:rsid w:val="45996EA1"/>
    <w:rsid w:val="45A47C0E"/>
    <w:rsid w:val="45E76415"/>
    <w:rsid w:val="45F4024A"/>
    <w:rsid w:val="46577FD6"/>
    <w:rsid w:val="46D5626E"/>
    <w:rsid w:val="46D955A7"/>
    <w:rsid w:val="46DA3884"/>
    <w:rsid w:val="47133957"/>
    <w:rsid w:val="47372A84"/>
    <w:rsid w:val="47A07E0C"/>
    <w:rsid w:val="47BB41CF"/>
    <w:rsid w:val="4870272E"/>
    <w:rsid w:val="48BF68FD"/>
    <w:rsid w:val="490009FF"/>
    <w:rsid w:val="49070A20"/>
    <w:rsid w:val="49230256"/>
    <w:rsid w:val="49304745"/>
    <w:rsid w:val="494E2566"/>
    <w:rsid w:val="49792C46"/>
    <w:rsid w:val="49CE5703"/>
    <w:rsid w:val="49DC7715"/>
    <w:rsid w:val="49E23D24"/>
    <w:rsid w:val="4A023139"/>
    <w:rsid w:val="4A116313"/>
    <w:rsid w:val="4A7B576F"/>
    <w:rsid w:val="4AA246B9"/>
    <w:rsid w:val="4AEC7C0E"/>
    <w:rsid w:val="4AF561A9"/>
    <w:rsid w:val="4AFD61D0"/>
    <w:rsid w:val="4B0F7F46"/>
    <w:rsid w:val="4B2B6C4F"/>
    <w:rsid w:val="4B6F4461"/>
    <w:rsid w:val="4B977F95"/>
    <w:rsid w:val="4BEB02E1"/>
    <w:rsid w:val="4BF74ED8"/>
    <w:rsid w:val="4C4A0649"/>
    <w:rsid w:val="4C4A0652"/>
    <w:rsid w:val="4C7E5ECA"/>
    <w:rsid w:val="4C876AA5"/>
    <w:rsid w:val="4CC572BF"/>
    <w:rsid w:val="4CF3569F"/>
    <w:rsid w:val="4D0E00FB"/>
    <w:rsid w:val="4D176606"/>
    <w:rsid w:val="4D3F68BA"/>
    <w:rsid w:val="4D915F00"/>
    <w:rsid w:val="4DBB5BB5"/>
    <w:rsid w:val="4DEA6D02"/>
    <w:rsid w:val="4DEC4FB0"/>
    <w:rsid w:val="4DEE2634"/>
    <w:rsid w:val="4DF55447"/>
    <w:rsid w:val="4E075D8A"/>
    <w:rsid w:val="4E516B22"/>
    <w:rsid w:val="4E5B58F2"/>
    <w:rsid w:val="4EC00FAD"/>
    <w:rsid w:val="4EE12B52"/>
    <w:rsid w:val="4EE46A87"/>
    <w:rsid w:val="4F025939"/>
    <w:rsid w:val="4F9843DC"/>
    <w:rsid w:val="4F9D66D8"/>
    <w:rsid w:val="4FC62A8C"/>
    <w:rsid w:val="4FC67AA5"/>
    <w:rsid w:val="4FCE41A2"/>
    <w:rsid w:val="4FE20F0D"/>
    <w:rsid w:val="4FE51552"/>
    <w:rsid w:val="4FF43C08"/>
    <w:rsid w:val="50083DAB"/>
    <w:rsid w:val="50504C4B"/>
    <w:rsid w:val="505428F9"/>
    <w:rsid w:val="508D296A"/>
    <w:rsid w:val="50950F4F"/>
    <w:rsid w:val="509C6E7C"/>
    <w:rsid w:val="50CA608F"/>
    <w:rsid w:val="50E84DEF"/>
    <w:rsid w:val="50F33D56"/>
    <w:rsid w:val="51494480"/>
    <w:rsid w:val="514D2EB9"/>
    <w:rsid w:val="51537DA7"/>
    <w:rsid w:val="5162104E"/>
    <w:rsid w:val="51CF3CFB"/>
    <w:rsid w:val="52AA3D7B"/>
    <w:rsid w:val="52FF4CD1"/>
    <w:rsid w:val="536D4823"/>
    <w:rsid w:val="538E6122"/>
    <w:rsid w:val="539D7290"/>
    <w:rsid w:val="53A039CC"/>
    <w:rsid w:val="53A1505A"/>
    <w:rsid w:val="53A771E4"/>
    <w:rsid w:val="53BF6301"/>
    <w:rsid w:val="54063E08"/>
    <w:rsid w:val="54090517"/>
    <w:rsid w:val="543437E8"/>
    <w:rsid w:val="544D1B39"/>
    <w:rsid w:val="548C3B29"/>
    <w:rsid w:val="54F73313"/>
    <w:rsid w:val="54F80955"/>
    <w:rsid w:val="553E67BA"/>
    <w:rsid w:val="555170A7"/>
    <w:rsid w:val="55640DDD"/>
    <w:rsid w:val="5587536D"/>
    <w:rsid w:val="559B174B"/>
    <w:rsid w:val="55A85C0D"/>
    <w:rsid w:val="55CE0CF4"/>
    <w:rsid w:val="560123C4"/>
    <w:rsid w:val="560F768F"/>
    <w:rsid w:val="565A22EB"/>
    <w:rsid w:val="56B22A9C"/>
    <w:rsid w:val="56CA7069"/>
    <w:rsid w:val="57012BE4"/>
    <w:rsid w:val="57254C9B"/>
    <w:rsid w:val="575601F1"/>
    <w:rsid w:val="57832647"/>
    <w:rsid w:val="578C0494"/>
    <w:rsid w:val="57AA22A2"/>
    <w:rsid w:val="57B72A76"/>
    <w:rsid w:val="57C3426C"/>
    <w:rsid w:val="57CE1F93"/>
    <w:rsid w:val="588743D1"/>
    <w:rsid w:val="5887701A"/>
    <w:rsid w:val="590C1EA3"/>
    <w:rsid w:val="592D3F6E"/>
    <w:rsid w:val="59457283"/>
    <w:rsid w:val="5965144E"/>
    <w:rsid w:val="59A23640"/>
    <w:rsid w:val="59C0439F"/>
    <w:rsid w:val="59E96125"/>
    <w:rsid w:val="5ABE2233"/>
    <w:rsid w:val="5AE21DD9"/>
    <w:rsid w:val="5B8D6EDB"/>
    <w:rsid w:val="5BB35F57"/>
    <w:rsid w:val="5BDF5D95"/>
    <w:rsid w:val="5BFE7528"/>
    <w:rsid w:val="5C4F667B"/>
    <w:rsid w:val="5C666806"/>
    <w:rsid w:val="5C837DF9"/>
    <w:rsid w:val="5CA26552"/>
    <w:rsid w:val="5CC42BF6"/>
    <w:rsid w:val="5CC610B4"/>
    <w:rsid w:val="5D015BB7"/>
    <w:rsid w:val="5D2D68FA"/>
    <w:rsid w:val="5D2F0E89"/>
    <w:rsid w:val="5D390962"/>
    <w:rsid w:val="5D4B33F2"/>
    <w:rsid w:val="5D685071"/>
    <w:rsid w:val="5D7C348F"/>
    <w:rsid w:val="5D952139"/>
    <w:rsid w:val="5D956539"/>
    <w:rsid w:val="5DAC6418"/>
    <w:rsid w:val="5DB42C29"/>
    <w:rsid w:val="5DEE5885"/>
    <w:rsid w:val="5E0172E3"/>
    <w:rsid w:val="5E1D3A1D"/>
    <w:rsid w:val="5E235EFB"/>
    <w:rsid w:val="5E2467F1"/>
    <w:rsid w:val="5E7D0088"/>
    <w:rsid w:val="5EAA0CEC"/>
    <w:rsid w:val="5EC16C7E"/>
    <w:rsid w:val="5EDE25A1"/>
    <w:rsid w:val="5F1A2B43"/>
    <w:rsid w:val="5FB822DB"/>
    <w:rsid w:val="5FB837BB"/>
    <w:rsid w:val="5FFC2665"/>
    <w:rsid w:val="60161B4E"/>
    <w:rsid w:val="60545FFD"/>
    <w:rsid w:val="60625649"/>
    <w:rsid w:val="60663D17"/>
    <w:rsid w:val="60A74624"/>
    <w:rsid w:val="60BB3966"/>
    <w:rsid w:val="60CC405A"/>
    <w:rsid w:val="60DE7E10"/>
    <w:rsid w:val="60E3589F"/>
    <w:rsid w:val="60E463D1"/>
    <w:rsid w:val="61045C75"/>
    <w:rsid w:val="613B5B88"/>
    <w:rsid w:val="614B056B"/>
    <w:rsid w:val="61502EE6"/>
    <w:rsid w:val="61714243"/>
    <w:rsid w:val="618005F9"/>
    <w:rsid w:val="618B4235"/>
    <w:rsid w:val="61D20202"/>
    <w:rsid w:val="61D218D0"/>
    <w:rsid w:val="61E215D8"/>
    <w:rsid w:val="61E75506"/>
    <w:rsid w:val="621B3775"/>
    <w:rsid w:val="622C5484"/>
    <w:rsid w:val="62364782"/>
    <w:rsid w:val="626300B1"/>
    <w:rsid w:val="62774F95"/>
    <w:rsid w:val="62787B34"/>
    <w:rsid w:val="62AA63A9"/>
    <w:rsid w:val="62C059D6"/>
    <w:rsid w:val="62D05A70"/>
    <w:rsid w:val="632C692A"/>
    <w:rsid w:val="633B5253"/>
    <w:rsid w:val="636A4873"/>
    <w:rsid w:val="6374715E"/>
    <w:rsid w:val="638C576F"/>
    <w:rsid w:val="6394356A"/>
    <w:rsid w:val="63980F21"/>
    <w:rsid w:val="63A02DA8"/>
    <w:rsid w:val="63BC45E5"/>
    <w:rsid w:val="63C61B2C"/>
    <w:rsid w:val="63D22EB6"/>
    <w:rsid w:val="63D40BE9"/>
    <w:rsid w:val="63D519DF"/>
    <w:rsid w:val="63EA73A4"/>
    <w:rsid w:val="64102431"/>
    <w:rsid w:val="643C5869"/>
    <w:rsid w:val="64A5243A"/>
    <w:rsid w:val="64A537E1"/>
    <w:rsid w:val="64B821B7"/>
    <w:rsid w:val="64BA0926"/>
    <w:rsid w:val="64EE6A20"/>
    <w:rsid w:val="64F531DE"/>
    <w:rsid w:val="65071095"/>
    <w:rsid w:val="65313AD1"/>
    <w:rsid w:val="65373578"/>
    <w:rsid w:val="657828CE"/>
    <w:rsid w:val="657F24AE"/>
    <w:rsid w:val="65A73DA3"/>
    <w:rsid w:val="65B7731C"/>
    <w:rsid w:val="65F00576"/>
    <w:rsid w:val="660F3588"/>
    <w:rsid w:val="66106E4C"/>
    <w:rsid w:val="66123211"/>
    <w:rsid w:val="663C74B6"/>
    <w:rsid w:val="669D7AB9"/>
    <w:rsid w:val="66D02156"/>
    <w:rsid w:val="67194D68"/>
    <w:rsid w:val="671F124A"/>
    <w:rsid w:val="67515045"/>
    <w:rsid w:val="677A33C6"/>
    <w:rsid w:val="67B2026E"/>
    <w:rsid w:val="67BD26DA"/>
    <w:rsid w:val="67E1523B"/>
    <w:rsid w:val="67E92CB3"/>
    <w:rsid w:val="67EE31DB"/>
    <w:rsid w:val="681F6961"/>
    <w:rsid w:val="68345972"/>
    <w:rsid w:val="68410DF6"/>
    <w:rsid w:val="685B7D28"/>
    <w:rsid w:val="685D5499"/>
    <w:rsid w:val="68610A2F"/>
    <w:rsid w:val="68712258"/>
    <w:rsid w:val="68763A7A"/>
    <w:rsid w:val="68805514"/>
    <w:rsid w:val="68892CE5"/>
    <w:rsid w:val="688F47AC"/>
    <w:rsid w:val="68C37A3C"/>
    <w:rsid w:val="69051C48"/>
    <w:rsid w:val="690620E5"/>
    <w:rsid w:val="692F585A"/>
    <w:rsid w:val="69316E2F"/>
    <w:rsid w:val="694E2071"/>
    <w:rsid w:val="696A4E74"/>
    <w:rsid w:val="69766163"/>
    <w:rsid w:val="697A3B33"/>
    <w:rsid w:val="697F058F"/>
    <w:rsid w:val="69D44760"/>
    <w:rsid w:val="6A3658CC"/>
    <w:rsid w:val="6A520EC7"/>
    <w:rsid w:val="6A54092B"/>
    <w:rsid w:val="6A94006A"/>
    <w:rsid w:val="6A9764E8"/>
    <w:rsid w:val="6AA45DD3"/>
    <w:rsid w:val="6AF87E20"/>
    <w:rsid w:val="6B322639"/>
    <w:rsid w:val="6B7E32AA"/>
    <w:rsid w:val="6B9419A4"/>
    <w:rsid w:val="6BB94D8C"/>
    <w:rsid w:val="6BFE7029"/>
    <w:rsid w:val="6C000E9C"/>
    <w:rsid w:val="6C054650"/>
    <w:rsid w:val="6C472EBA"/>
    <w:rsid w:val="6C636C38"/>
    <w:rsid w:val="6D6459D6"/>
    <w:rsid w:val="6DB34098"/>
    <w:rsid w:val="6DB545B6"/>
    <w:rsid w:val="6DB9571B"/>
    <w:rsid w:val="6DE02FB4"/>
    <w:rsid w:val="6E2D78F2"/>
    <w:rsid w:val="6E514CED"/>
    <w:rsid w:val="6E947F9F"/>
    <w:rsid w:val="6E957F0D"/>
    <w:rsid w:val="6EB563D5"/>
    <w:rsid w:val="6EC425A0"/>
    <w:rsid w:val="6ED92677"/>
    <w:rsid w:val="6F225983"/>
    <w:rsid w:val="6FBE6451"/>
    <w:rsid w:val="6FFC5590"/>
    <w:rsid w:val="702F4391"/>
    <w:rsid w:val="704C6CF1"/>
    <w:rsid w:val="705636CC"/>
    <w:rsid w:val="70644D13"/>
    <w:rsid w:val="706A55E4"/>
    <w:rsid w:val="706C570A"/>
    <w:rsid w:val="706D1DD0"/>
    <w:rsid w:val="70711C78"/>
    <w:rsid w:val="70856B87"/>
    <w:rsid w:val="70D527EE"/>
    <w:rsid w:val="70D83F90"/>
    <w:rsid w:val="712C2101"/>
    <w:rsid w:val="713E7363"/>
    <w:rsid w:val="715B5300"/>
    <w:rsid w:val="71707E34"/>
    <w:rsid w:val="71823089"/>
    <w:rsid w:val="71A74503"/>
    <w:rsid w:val="71BE59CD"/>
    <w:rsid w:val="71D27F8A"/>
    <w:rsid w:val="71FB43B2"/>
    <w:rsid w:val="721C327A"/>
    <w:rsid w:val="72553024"/>
    <w:rsid w:val="72943779"/>
    <w:rsid w:val="72D57472"/>
    <w:rsid w:val="73122968"/>
    <w:rsid w:val="731F5D5E"/>
    <w:rsid w:val="73355ACF"/>
    <w:rsid w:val="7366631C"/>
    <w:rsid w:val="737C5653"/>
    <w:rsid w:val="73924180"/>
    <w:rsid w:val="73C51AD5"/>
    <w:rsid w:val="73C82D12"/>
    <w:rsid w:val="741E793C"/>
    <w:rsid w:val="74442F0F"/>
    <w:rsid w:val="745E3944"/>
    <w:rsid w:val="746A64B4"/>
    <w:rsid w:val="746D7236"/>
    <w:rsid w:val="74C31F33"/>
    <w:rsid w:val="75154854"/>
    <w:rsid w:val="75316C5C"/>
    <w:rsid w:val="753366D1"/>
    <w:rsid w:val="75561564"/>
    <w:rsid w:val="75893FF5"/>
    <w:rsid w:val="758D0A81"/>
    <w:rsid w:val="75BB5FF5"/>
    <w:rsid w:val="75F54AEB"/>
    <w:rsid w:val="7635099D"/>
    <w:rsid w:val="76C23E44"/>
    <w:rsid w:val="76DB0427"/>
    <w:rsid w:val="771D4F43"/>
    <w:rsid w:val="77206F6E"/>
    <w:rsid w:val="772667F8"/>
    <w:rsid w:val="774FCA77"/>
    <w:rsid w:val="77521816"/>
    <w:rsid w:val="77674410"/>
    <w:rsid w:val="777235F5"/>
    <w:rsid w:val="77762421"/>
    <w:rsid w:val="777724FA"/>
    <w:rsid w:val="77B56B1F"/>
    <w:rsid w:val="77C16248"/>
    <w:rsid w:val="77D20625"/>
    <w:rsid w:val="77E31CE9"/>
    <w:rsid w:val="780F09F4"/>
    <w:rsid w:val="78177BE5"/>
    <w:rsid w:val="7818739A"/>
    <w:rsid w:val="782B00BB"/>
    <w:rsid w:val="78370287"/>
    <w:rsid w:val="78452CC9"/>
    <w:rsid w:val="786135C7"/>
    <w:rsid w:val="78851F41"/>
    <w:rsid w:val="78A41DE7"/>
    <w:rsid w:val="78A90480"/>
    <w:rsid w:val="78D827F5"/>
    <w:rsid w:val="791436BF"/>
    <w:rsid w:val="79350865"/>
    <w:rsid w:val="793842B6"/>
    <w:rsid w:val="7963381F"/>
    <w:rsid w:val="79703A50"/>
    <w:rsid w:val="79982C4E"/>
    <w:rsid w:val="79CD606D"/>
    <w:rsid w:val="79D86780"/>
    <w:rsid w:val="79E269FA"/>
    <w:rsid w:val="79F9310E"/>
    <w:rsid w:val="7A0128FA"/>
    <w:rsid w:val="7A364017"/>
    <w:rsid w:val="7A601B34"/>
    <w:rsid w:val="7A8265E1"/>
    <w:rsid w:val="7B30793B"/>
    <w:rsid w:val="7B3665D4"/>
    <w:rsid w:val="7B515627"/>
    <w:rsid w:val="7B686D42"/>
    <w:rsid w:val="7B6B586D"/>
    <w:rsid w:val="7B8139C0"/>
    <w:rsid w:val="7B841746"/>
    <w:rsid w:val="7B8F09A0"/>
    <w:rsid w:val="7BDA78A7"/>
    <w:rsid w:val="7C0936DF"/>
    <w:rsid w:val="7C6C5AC7"/>
    <w:rsid w:val="7CC6544B"/>
    <w:rsid w:val="7CC82C08"/>
    <w:rsid w:val="7D0239FF"/>
    <w:rsid w:val="7D276B1C"/>
    <w:rsid w:val="7D5E40CD"/>
    <w:rsid w:val="7DA656CC"/>
    <w:rsid w:val="7DCD56F2"/>
    <w:rsid w:val="7E521976"/>
    <w:rsid w:val="7EB4618D"/>
    <w:rsid w:val="7EC75AA3"/>
    <w:rsid w:val="7EF700DD"/>
    <w:rsid w:val="7F001CE7"/>
    <w:rsid w:val="7F007624"/>
    <w:rsid w:val="7F0C040B"/>
    <w:rsid w:val="7F2C6EFF"/>
    <w:rsid w:val="7F382FB7"/>
    <w:rsid w:val="7FA07225"/>
    <w:rsid w:val="7FC9774D"/>
    <w:rsid w:val="7FCC5758"/>
    <w:rsid w:val="7FE47E50"/>
    <w:rsid w:val="BDFE11F0"/>
    <w:rsid w:val="DB9D8FF6"/>
    <w:rsid w:val="DFFED3C8"/>
    <w:rsid w:val="DFFEF6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qFormat="1"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nhideWhenUsed="0" w:uiPriority="0" w:semiHidden="0" w:name="caption" w:locked="1"/>
    <w:lsdException w:qFormat="1" w:unhideWhenUsed="0" w:uiPriority="0" w:semiHidden="0" w:name="table of figures" w:locked="1"/>
    <w:lsdException w:unhideWhenUsed="0" w:uiPriority="0" w:semiHidden="0" w:name="envelope address" w:locked="1"/>
    <w:lsdException w:qFormat="1" w:uiPriority="99" w:semiHidden="0" w:name="envelope return" w:locked="1"/>
    <w:lsdException w:unhideWhenUsed="0" w:uiPriority="0" w:semiHidden="0" w:name="footnote reference" w:locked="1"/>
    <w:lsdException w:qFormat="1" w:unhideWhenUsed="0" w:uiPriority="0" w:semiHidden="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qFormat="1" w:unhideWhenUsed="0" w:uiPriority="0" w:semiHidden="0" w:name="Salutation" w:locked="1"/>
    <w:lsdException w:qFormat="1" w:unhideWhenUsed="0" w:uiPriority="0" w:semiHidden="0" w:name="Date"/>
    <w:lsdException w:qFormat="1"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qFormat="1" w:unhideWhenUsed="0" w:uiPriority="0" w:semiHidden="0" w:name="Body Text 2" w:locked="1"/>
    <w:lsdException w:unhideWhenUsed="0" w:uiPriority="0" w:semiHidden="0" w:name="Body Text 3" w:locked="1"/>
    <w:lsdException w:qFormat="1" w:unhideWhenUsed="0" w:uiPriority="0" w:semiHidden="0" w:name="Body Text Indent 2" w:locked="1"/>
    <w:lsdException w:qFormat="1" w:unhideWhenUsed="0" w:uiPriority="0" w:semiHidden="0" w:name="Body Text Indent 3" w:locked="1"/>
    <w:lsdException w:unhideWhenUsed="0" w:uiPriority="0" w:semiHidden="0" w:name="Block Text" w:locked="1"/>
    <w:lsdException w:qFormat="1" w:uiPriority="99"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99"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locked/>
    <w:uiPriority w:val="0"/>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link w:val="43"/>
    <w:qFormat/>
    <w:locked/>
    <w:uiPriority w:val="0"/>
    <w:pPr>
      <w:keepNext/>
      <w:keepLines/>
      <w:spacing w:before="120" w:after="120" w:line="360" w:lineRule="auto"/>
      <w:ind w:left="425" w:hanging="425"/>
      <w:outlineLvl w:val="1"/>
    </w:pPr>
    <w:rPr>
      <w:rFonts w:ascii="宋体" w:hAnsi="Arial"/>
      <w:b/>
      <w:kern w:val="0"/>
      <w:sz w:val="24"/>
      <w:szCs w:val="20"/>
    </w:rPr>
  </w:style>
  <w:style w:type="paragraph" w:styleId="5">
    <w:name w:val="heading 3"/>
    <w:basedOn w:val="1"/>
    <w:next w:val="1"/>
    <w:link w:val="44"/>
    <w:qFormat/>
    <w:locked/>
    <w:uiPriority w:val="0"/>
    <w:pPr>
      <w:keepNext/>
      <w:spacing w:before="120" w:after="120" w:line="360" w:lineRule="auto"/>
      <w:outlineLvl w:val="2"/>
    </w:pPr>
    <w:rPr>
      <w:rFonts w:ascii="楷体_GB2312" w:hAnsi="Calibri" w:eastAsia="楷体_GB2312"/>
      <w:b/>
      <w:sz w:val="28"/>
      <w:szCs w:val="20"/>
    </w:rPr>
  </w:style>
  <w:style w:type="paragraph" w:styleId="2">
    <w:name w:val="heading 4"/>
    <w:basedOn w:val="1"/>
    <w:next w:val="1"/>
    <w:link w:val="45"/>
    <w:qFormat/>
    <w:locked/>
    <w:uiPriority w:val="0"/>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link w:val="46"/>
    <w:qFormat/>
    <w:locked/>
    <w:uiPriority w:val="0"/>
    <w:pPr>
      <w:keepNext/>
      <w:keepLines/>
      <w:spacing w:before="120" w:after="120" w:line="360" w:lineRule="auto"/>
      <w:outlineLvl w:val="4"/>
    </w:pPr>
    <w:rPr>
      <w:rFonts w:ascii="Calibri" w:hAnsi="Calibri"/>
      <w:b/>
      <w:kern w:val="0"/>
      <w:sz w:val="24"/>
      <w:szCs w:val="20"/>
    </w:rPr>
  </w:style>
  <w:style w:type="paragraph" w:styleId="7">
    <w:name w:val="heading 6"/>
    <w:basedOn w:val="1"/>
    <w:next w:val="1"/>
    <w:link w:val="47"/>
    <w:qFormat/>
    <w:locked/>
    <w:uiPriority w:val="0"/>
    <w:pPr>
      <w:keepNext/>
      <w:keepLines/>
      <w:tabs>
        <w:tab w:val="left" w:pos="0"/>
      </w:tabs>
      <w:spacing w:before="240" w:after="64" w:line="320" w:lineRule="auto"/>
      <w:outlineLvl w:val="5"/>
    </w:pPr>
    <w:rPr>
      <w:rFonts w:ascii="Arial" w:hAnsi="Arial" w:eastAsia="黑体"/>
      <w:b/>
      <w:kern w:val="0"/>
      <w:sz w:val="24"/>
      <w:szCs w:val="20"/>
    </w:rPr>
  </w:style>
  <w:style w:type="paragraph" w:styleId="8">
    <w:name w:val="heading 7"/>
    <w:basedOn w:val="1"/>
    <w:next w:val="1"/>
    <w:link w:val="48"/>
    <w:qFormat/>
    <w:locked/>
    <w:uiPriority w:val="0"/>
    <w:pPr>
      <w:keepNext/>
      <w:keepLines/>
      <w:spacing w:before="240" w:after="64" w:line="320" w:lineRule="auto"/>
      <w:outlineLvl w:val="6"/>
    </w:pPr>
    <w:rPr>
      <w:b/>
      <w:bCs/>
      <w:sz w:val="24"/>
    </w:rPr>
  </w:style>
  <w:style w:type="paragraph" w:styleId="9">
    <w:name w:val="heading 8"/>
    <w:basedOn w:val="1"/>
    <w:next w:val="1"/>
    <w:link w:val="49"/>
    <w:qFormat/>
    <w:locked/>
    <w:uiPriority w:val="0"/>
    <w:pPr>
      <w:keepNext/>
      <w:keepLines/>
      <w:tabs>
        <w:tab w:val="left" w:pos="0"/>
      </w:tabs>
      <w:spacing w:before="240" w:after="64" w:line="320" w:lineRule="auto"/>
      <w:outlineLvl w:val="7"/>
    </w:pPr>
    <w:rPr>
      <w:rFonts w:ascii="Arial" w:hAnsi="Arial" w:eastAsia="黑体"/>
      <w:kern w:val="0"/>
      <w:sz w:val="24"/>
      <w:szCs w:val="20"/>
    </w:rPr>
  </w:style>
  <w:style w:type="paragraph" w:styleId="10">
    <w:name w:val="heading 9"/>
    <w:basedOn w:val="1"/>
    <w:next w:val="1"/>
    <w:link w:val="50"/>
    <w:qFormat/>
    <w:locked/>
    <w:uiPriority w:val="0"/>
    <w:pPr>
      <w:keepNext/>
      <w:keepLines/>
      <w:tabs>
        <w:tab w:val="left" w:pos="0"/>
      </w:tabs>
      <w:spacing w:before="240" w:after="64" w:line="320" w:lineRule="auto"/>
      <w:outlineLvl w:val="8"/>
    </w:pPr>
    <w:rPr>
      <w:rFonts w:ascii="Arial" w:hAnsi="Arial" w:eastAsia="黑体"/>
      <w:kern w:val="0"/>
      <w:sz w:val="24"/>
      <w:szCs w:val="20"/>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Normal Indent"/>
    <w:basedOn w:val="1"/>
    <w:next w:val="1"/>
    <w:link w:val="51"/>
    <w:qFormat/>
    <w:locked/>
    <w:uiPriority w:val="0"/>
    <w:pPr>
      <w:widowControl/>
      <w:adjustRightInd w:val="0"/>
      <w:snapToGrid w:val="0"/>
      <w:spacing w:line="360" w:lineRule="auto"/>
      <w:ind w:firstLine="420"/>
    </w:pPr>
    <w:rPr>
      <w:rFonts w:cs="黑体"/>
      <w:kern w:val="0"/>
      <w:sz w:val="24"/>
    </w:rPr>
  </w:style>
  <w:style w:type="paragraph" w:styleId="12">
    <w:name w:val="caption"/>
    <w:basedOn w:val="1"/>
    <w:next w:val="1"/>
    <w:link w:val="52"/>
    <w:qFormat/>
    <w:locked/>
    <w:uiPriority w:val="0"/>
    <w:pPr>
      <w:spacing w:before="152" w:after="160"/>
    </w:pPr>
    <w:rPr>
      <w:rFonts w:ascii="Arial" w:hAnsi="Arial" w:eastAsia="黑体"/>
      <w:kern w:val="0"/>
      <w:sz w:val="22"/>
      <w:szCs w:val="22"/>
      <w:lang w:eastAsia="en-US"/>
    </w:rPr>
  </w:style>
  <w:style w:type="paragraph" w:styleId="13">
    <w:name w:val="annotation text"/>
    <w:basedOn w:val="1"/>
    <w:link w:val="53"/>
    <w:qFormat/>
    <w:uiPriority w:val="99"/>
    <w:pPr>
      <w:jc w:val="left"/>
    </w:pPr>
    <w:rPr>
      <w:kern w:val="0"/>
      <w:sz w:val="24"/>
      <w:szCs w:val="20"/>
    </w:rPr>
  </w:style>
  <w:style w:type="paragraph" w:styleId="14">
    <w:name w:val="Salutation"/>
    <w:basedOn w:val="1"/>
    <w:next w:val="1"/>
    <w:link w:val="54"/>
    <w:qFormat/>
    <w:locked/>
    <w:uiPriority w:val="0"/>
    <w:pPr>
      <w:widowControl/>
      <w:autoSpaceDE w:val="0"/>
      <w:autoSpaceDN w:val="0"/>
      <w:adjustRightInd w:val="0"/>
      <w:snapToGrid w:val="0"/>
      <w:spacing w:line="288" w:lineRule="auto"/>
      <w:ind w:firstLine="567"/>
      <w:jc w:val="left"/>
      <w:textAlignment w:val="baseline"/>
    </w:pPr>
    <w:rPr>
      <w:kern w:val="0"/>
      <w:sz w:val="24"/>
      <w:szCs w:val="20"/>
    </w:rPr>
  </w:style>
  <w:style w:type="paragraph" w:styleId="15">
    <w:name w:val="Body Text"/>
    <w:basedOn w:val="1"/>
    <w:link w:val="55"/>
    <w:qFormat/>
    <w:uiPriority w:val="0"/>
    <w:pPr>
      <w:widowControl/>
      <w:snapToGrid w:val="0"/>
      <w:spacing w:before="60" w:after="160" w:line="259" w:lineRule="auto"/>
      <w:ind w:right="113"/>
    </w:pPr>
    <w:rPr>
      <w:kern w:val="0"/>
      <w:sz w:val="18"/>
      <w:szCs w:val="20"/>
    </w:rPr>
  </w:style>
  <w:style w:type="paragraph" w:styleId="16">
    <w:name w:val="Body Text Indent"/>
    <w:basedOn w:val="1"/>
    <w:next w:val="17"/>
    <w:link w:val="56"/>
    <w:qFormat/>
    <w:uiPriority w:val="0"/>
    <w:pPr>
      <w:spacing w:after="120"/>
      <w:ind w:left="420" w:leftChars="200"/>
    </w:pPr>
    <w:rPr>
      <w:kern w:val="0"/>
      <w:sz w:val="24"/>
      <w:szCs w:val="20"/>
    </w:rPr>
  </w:style>
  <w:style w:type="paragraph" w:customStyle="1" w:styleId="17">
    <w:name w:val="样式 正文文本缩进 + 行距: 1.5 倍行距"/>
    <w:basedOn w:val="1"/>
    <w:qFormat/>
    <w:uiPriority w:val="0"/>
    <w:pPr>
      <w:spacing w:after="120" w:line="360" w:lineRule="auto"/>
      <w:ind w:left="90" w:leftChars="32" w:firstLine="560" w:firstLineChars="200"/>
    </w:pPr>
    <w:rPr>
      <w:rFonts w:cs="宋体"/>
    </w:rPr>
  </w:style>
  <w:style w:type="paragraph" w:styleId="18">
    <w:name w:val="Plain Text"/>
    <w:basedOn w:val="1"/>
    <w:qFormat/>
    <w:locked/>
    <w:uiPriority w:val="0"/>
    <w:rPr>
      <w:rFonts w:ascii="宋体" w:hAnsi="Courier New" w:cs="Courier New"/>
      <w:szCs w:val="21"/>
    </w:rPr>
  </w:style>
  <w:style w:type="paragraph" w:styleId="19">
    <w:name w:val="Date"/>
    <w:basedOn w:val="1"/>
    <w:next w:val="1"/>
    <w:link w:val="57"/>
    <w:qFormat/>
    <w:uiPriority w:val="0"/>
    <w:pPr>
      <w:ind w:left="100" w:leftChars="2500"/>
    </w:pPr>
    <w:rPr>
      <w:kern w:val="0"/>
      <w:sz w:val="24"/>
      <w:szCs w:val="20"/>
    </w:rPr>
  </w:style>
  <w:style w:type="paragraph" w:styleId="20">
    <w:name w:val="Body Text Indent 2"/>
    <w:basedOn w:val="1"/>
    <w:next w:val="1"/>
    <w:link w:val="58"/>
    <w:qFormat/>
    <w:locked/>
    <w:uiPriority w:val="0"/>
    <w:pPr>
      <w:spacing w:after="120" w:line="480" w:lineRule="auto"/>
      <w:ind w:left="420" w:leftChars="200"/>
    </w:pPr>
  </w:style>
  <w:style w:type="paragraph" w:styleId="21">
    <w:name w:val="Balloon Text"/>
    <w:basedOn w:val="1"/>
    <w:link w:val="59"/>
    <w:semiHidden/>
    <w:qFormat/>
    <w:uiPriority w:val="0"/>
    <w:rPr>
      <w:kern w:val="0"/>
      <w:sz w:val="18"/>
      <w:szCs w:val="20"/>
    </w:rPr>
  </w:style>
  <w:style w:type="paragraph" w:styleId="22">
    <w:name w:val="footer"/>
    <w:basedOn w:val="1"/>
    <w:next w:val="1"/>
    <w:link w:val="60"/>
    <w:qFormat/>
    <w:uiPriority w:val="99"/>
    <w:pPr>
      <w:tabs>
        <w:tab w:val="center" w:pos="4153"/>
        <w:tab w:val="right" w:pos="8306"/>
      </w:tabs>
      <w:snapToGrid w:val="0"/>
      <w:jc w:val="left"/>
    </w:pPr>
    <w:rPr>
      <w:kern w:val="0"/>
      <w:sz w:val="18"/>
      <w:szCs w:val="20"/>
    </w:rPr>
  </w:style>
  <w:style w:type="paragraph" w:styleId="23">
    <w:name w:val="envelope return"/>
    <w:basedOn w:val="1"/>
    <w:unhideWhenUsed/>
    <w:qFormat/>
    <w:locked/>
    <w:uiPriority w:val="99"/>
    <w:pPr>
      <w:snapToGrid w:val="0"/>
    </w:pPr>
    <w:rPr>
      <w:rFonts w:ascii="Arial" w:hAnsi="Arial"/>
    </w:rPr>
  </w:style>
  <w:style w:type="paragraph" w:styleId="24">
    <w:name w:val="header"/>
    <w:basedOn w:val="1"/>
    <w:link w:val="61"/>
    <w:qFormat/>
    <w:uiPriority w:val="0"/>
    <w:pPr>
      <w:pBdr>
        <w:bottom w:val="single" w:color="auto" w:sz="6" w:space="1"/>
      </w:pBdr>
      <w:tabs>
        <w:tab w:val="center" w:pos="4153"/>
        <w:tab w:val="right" w:pos="8306"/>
      </w:tabs>
      <w:snapToGrid w:val="0"/>
      <w:jc w:val="center"/>
    </w:pPr>
    <w:rPr>
      <w:kern w:val="0"/>
      <w:sz w:val="18"/>
      <w:szCs w:val="20"/>
    </w:rPr>
  </w:style>
  <w:style w:type="paragraph" w:styleId="25">
    <w:name w:val="toc 1"/>
    <w:basedOn w:val="1"/>
    <w:next w:val="1"/>
    <w:semiHidden/>
    <w:qFormat/>
    <w:locked/>
    <w:uiPriority w:val="0"/>
  </w:style>
  <w:style w:type="paragraph" w:styleId="26">
    <w:name w:val="Subtitle"/>
    <w:basedOn w:val="1"/>
    <w:qFormat/>
    <w:locked/>
    <w:uiPriority w:val="0"/>
    <w:pPr>
      <w:widowControl/>
      <w:ind w:left="1080" w:hanging="1080"/>
    </w:pPr>
    <w:rPr>
      <w:rFonts w:ascii="宋体" w:hAnsi="Courier New" w:cs="Times New Roman"/>
      <w:szCs w:val="21"/>
    </w:rPr>
  </w:style>
  <w:style w:type="paragraph" w:styleId="27">
    <w:name w:val="List"/>
    <w:basedOn w:val="1"/>
    <w:qFormat/>
    <w:locked/>
    <w:uiPriority w:val="0"/>
    <w:pPr>
      <w:spacing w:line="360" w:lineRule="exact"/>
      <w:jc w:val="center"/>
    </w:pPr>
    <w:rPr>
      <w:rFonts w:ascii="仿宋_GB2312" w:eastAsia="仿宋_GB2312"/>
      <w:sz w:val="24"/>
      <w:szCs w:val="20"/>
    </w:rPr>
  </w:style>
  <w:style w:type="paragraph" w:styleId="28">
    <w:name w:val="Body Text Indent 3"/>
    <w:basedOn w:val="1"/>
    <w:link w:val="62"/>
    <w:qFormat/>
    <w:locked/>
    <w:uiPriority w:val="0"/>
    <w:pPr>
      <w:spacing w:after="120"/>
      <w:ind w:left="420" w:leftChars="200"/>
    </w:pPr>
    <w:rPr>
      <w:sz w:val="16"/>
      <w:szCs w:val="16"/>
    </w:rPr>
  </w:style>
  <w:style w:type="paragraph" w:styleId="29">
    <w:name w:val="toc 9"/>
    <w:basedOn w:val="1"/>
    <w:next w:val="1"/>
    <w:qFormat/>
    <w:locked/>
    <w:uiPriority w:val="0"/>
    <w:pPr>
      <w:widowControl/>
      <w:wordWrap w:val="0"/>
      <w:ind w:left="2975"/>
    </w:pPr>
    <w:rPr>
      <w:szCs w:val="22"/>
    </w:rPr>
  </w:style>
  <w:style w:type="paragraph" w:styleId="30">
    <w:name w:val="Body Text 2"/>
    <w:basedOn w:val="1"/>
    <w:qFormat/>
    <w:locked/>
    <w:uiPriority w:val="0"/>
    <w:rPr>
      <w:sz w:val="24"/>
    </w:rPr>
  </w:style>
  <w:style w:type="paragraph" w:styleId="31">
    <w:name w:val="Normal (Web)"/>
    <w:basedOn w:val="1"/>
    <w:link w:val="63"/>
    <w:qFormat/>
    <w:uiPriority w:val="99"/>
    <w:pPr>
      <w:widowControl/>
      <w:spacing w:before="100" w:beforeAutospacing="1" w:after="100" w:afterAutospacing="1"/>
      <w:jc w:val="left"/>
    </w:pPr>
    <w:rPr>
      <w:rFonts w:ascii="宋体" w:hAnsi="宋体"/>
      <w:kern w:val="0"/>
      <w:sz w:val="24"/>
      <w:szCs w:val="20"/>
    </w:rPr>
  </w:style>
  <w:style w:type="paragraph" w:styleId="32">
    <w:name w:val="Title"/>
    <w:basedOn w:val="1"/>
    <w:next w:val="1"/>
    <w:qFormat/>
    <w:locked/>
    <w:uiPriority w:val="0"/>
    <w:pPr>
      <w:spacing w:before="240" w:after="60"/>
      <w:jc w:val="center"/>
      <w:outlineLvl w:val="0"/>
    </w:pPr>
    <w:rPr>
      <w:rFonts w:ascii="Cambria" w:hAnsi="Cambria" w:eastAsia="Times New Roman"/>
      <w:b/>
      <w:bCs/>
      <w:sz w:val="32"/>
      <w:szCs w:val="32"/>
    </w:rPr>
  </w:style>
  <w:style w:type="paragraph" w:styleId="33">
    <w:name w:val="annotation subject"/>
    <w:basedOn w:val="13"/>
    <w:next w:val="13"/>
    <w:link w:val="64"/>
    <w:semiHidden/>
    <w:qFormat/>
    <w:uiPriority w:val="0"/>
    <w:rPr>
      <w:b/>
      <w:sz w:val="24"/>
      <w:szCs w:val="20"/>
    </w:rPr>
  </w:style>
  <w:style w:type="paragraph" w:styleId="34">
    <w:name w:val="Body Text First Indent"/>
    <w:basedOn w:val="15"/>
    <w:qFormat/>
    <w:locked/>
    <w:uiPriority w:val="0"/>
    <w:pPr>
      <w:spacing w:line="360" w:lineRule="auto"/>
      <w:ind w:firstLine="200" w:firstLineChars="200"/>
      <w:jc w:val="both"/>
    </w:pPr>
    <w:rPr>
      <w:rFonts w:ascii="Times New Roman" w:hAnsi="Times New Roman" w:eastAsia="宋体"/>
      <w:lang w:eastAsia="en-US"/>
    </w:rPr>
  </w:style>
  <w:style w:type="paragraph" w:styleId="35">
    <w:name w:val="Body Text First Indent 2"/>
    <w:basedOn w:val="1"/>
    <w:next w:val="1"/>
    <w:qFormat/>
    <w:locked/>
    <w:uiPriority w:val="0"/>
    <w:pPr>
      <w:ind w:firstLine="420" w:firstLineChars="200"/>
    </w:pPr>
  </w:style>
  <w:style w:type="table" w:styleId="37">
    <w:name w:val="Table Grid"/>
    <w:basedOn w:val="36"/>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qFormat/>
    <w:locked/>
    <w:uiPriority w:val="0"/>
    <w:rPr>
      <w:b/>
    </w:rPr>
  </w:style>
  <w:style w:type="character" w:styleId="40">
    <w:name w:val="page number"/>
    <w:basedOn w:val="38"/>
    <w:qFormat/>
    <w:locked/>
    <w:uiPriority w:val="0"/>
  </w:style>
  <w:style w:type="character" w:styleId="41">
    <w:name w:val="Hyperlink"/>
    <w:unhideWhenUsed/>
    <w:qFormat/>
    <w:locked/>
    <w:uiPriority w:val="99"/>
    <w:rPr>
      <w:color w:val="0000FF"/>
      <w:u w:val="single"/>
    </w:rPr>
  </w:style>
  <w:style w:type="character" w:styleId="42">
    <w:name w:val="annotation reference"/>
    <w:qFormat/>
    <w:uiPriority w:val="0"/>
    <w:rPr>
      <w:sz w:val="21"/>
    </w:rPr>
  </w:style>
  <w:style w:type="character" w:customStyle="1" w:styleId="43">
    <w:name w:val="标题 2 Char"/>
    <w:link w:val="4"/>
    <w:qFormat/>
    <w:uiPriority w:val="0"/>
    <w:rPr>
      <w:rFonts w:ascii="宋体" w:hAnsi="Arial"/>
      <w:b/>
      <w:sz w:val="24"/>
    </w:rPr>
  </w:style>
  <w:style w:type="character" w:customStyle="1" w:styleId="44">
    <w:name w:val="标题 3 Char"/>
    <w:link w:val="5"/>
    <w:qFormat/>
    <w:uiPriority w:val="0"/>
    <w:rPr>
      <w:rFonts w:ascii="楷体_GB2312" w:hAnsi="Calibri" w:eastAsia="楷体_GB2312"/>
      <w:b/>
      <w:kern w:val="2"/>
      <w:sz w:val="28"/>
    </w:rPr>
  </w:style>
  <w:style w:type="character" w:customStyle="1" w:styleId="45">
    <w:name w:val="标题 4 Char"/>
    <w:link w:val="2"/>
    <w:semiHidden/>
    <w:qFormat/>
    <w:uiPriority w:val="0"/>
    <w:rPr>
      <w:rFonts w:ascii="Cambria" w:hAnsi="Cambria" w:eastAsia="宋体" w:cs="Times New Roman"/>
      <w:b/>
      <w:bCs/>
      <w:kern w:val="2"/>
      <w:sz w:val="28"/>
      <w:szCs w:val="28"/>
    </w:rPr>
  </w:style>
  <w:style w:type="character" w:customStyle="1" w:styleId="46">
    <w:name w:val="标题 5 Char"/>
    <w:link w:val="6"/>
    <w:qFormat/>
    <w:uiPriority w:val="0"/>
    <w:rPr>
      <w:rFonts w:ascii="Calibri" w:hAnsi="Calibri"/>
      <w:b/>
      <w:sz w:val="24"/>
    </w:rPr>
  </w:style>
  <w:style w:type="character" w:customStyle="1" w:styleId="47">
    <w:name w:val="标题 6 Char"/>
    <w:link w:val="7"/>
    <w:qFormat/>
    <w:uiPriority w:val="0"/>
    <w:rPr>
      <w:rFonts w:ascii="Arial" w:hAnsi="Arial" w:eastAsia="黑体"/>
      <w:b/>
      <w:sz w:val="24"/>
    </w:rPr>
  </w:style>
  <w:style w:type="character" w:customStyle="1" w:styleId="48">
    <w:name w:val="标题 7 Char"/>
    <w:link w:val="8"/>
    <w:semiHidden/>
    <w:qFormat/>
    <w:uiPriority w:val="0"/>
    <w:rPr>
      <w:b/>
      <w:bCs/>
      <w:kern w:val="2"/>
      <w:sz w:val="24"/>
      <w:szCs w:val="24"/>
    </w:rPr>
  </w:style>
  <w:style w:type="character" w:customStyle="1" w:styleId="49">
    <w:name w:val="标题 8 Char"/>
    <w:link w:val="9"/>
    <w:qFormat/>
    <w:uiPriority w:val="0"/>
    <w:rPr>
      <w:rFonts w:ascii="Arial" w:hAnsi="Arial" w:eastAsia="黑体"/>
      <w:sz w:val="24"/>
    </w:rPr>
  </w:style>
  <w:style w:type="character" w:customStyle="1" w:styleId="50">
    <w:name w:val="标题 9 Char"/>
    <w:link w:val="10"/>
    <w:qFormat/>
    <w:uiPriority w:val="0"/>
    <w:rPr>
      <w:rFonts w:ascii="Arial" w:hAnsi="Arial" w:eastAsia="黑体"/>
      <w:sz w:val="24"/>
    </w:rPr>
  </w:style>
  <w:style w:type="character" w:customStyle="1" w:styleId="51">
    <w:name w:val="正文缩进 Char"/>
    <w:link w:val="11"/>
    <w:qFormat/>
    <w:uiPriority w:val="0"/>
    <w:rPr>
      <w:rFonts w:cs="黑体"/>
      <w:sz w:val="24"/>
      <w:szCs w:val="24"/>
    </w:rPr>
  </w:style>
  <w:style w:type="character" w:customStyle="1" w:styleId="52">
    <w:name w:val="题注 Char"/>
    <w:link w:val="12"/>
    <w:qFormat/>
    <w:uiPriority w:val="0"/>
    <w:rPr>
      <w:rFonts w:ascii="Arial" w:hAnsi="Arial" w:eastAsia="黑体"/>
      <w:sz w:val="22"/>
      <w:szCs w:val="22"/>
      <w:lang w:eastAsia="en-US"/>
    </w:rPr>
  </w:style>
  <w:style w:type="character" w:customStyle="1" w:styleId="53">
    <w:name w:val="批注文字 Char"/>
    <w:link w:val="13"/>
    <w:qFormat/>
    <w:locked/>
    <w:uiPriority w:val="99"/>
    <w:rPr>
      <w:rFonts w:ascii="Times New Roman" w:hAnsi="Times New Roman" w:eastAsia="宋体"/>
      <w:sz w:val="24"/>
    </w:rPr>
  </w:style>
  <w:style w:type="character" w:customStyle="1" w:styleId="54">
    <w:name w:val="称呼 Char"/>
    <w:link w:val="14"/>
    <w:qFormat/>
    <w:uiPriority w:val="0"/>
    <w:rPr>
      <w:sz w:val="24"/>
    </w:rPr>
  </w:style>
  <w:style w:type="character" w:customStyle="1" w:styleId="55">
    <w:name w:val="正文文本 Char"/>
    <w:link w:val="15"/>
    <w:qFormat/>
    <w:locked/>
    <w:uiPriority w:val="0"/>
    <w:rPr>
      <w:sz w:val="18"/>
    </w:rPr>
  </w:style>
  <w:style w:type="character" w:customStyle="1" w:styleId="56">
    <w:name w:val="正文文本缩进 Char"/>
    <w:link w:val="16"/>
    <w:semiHidden/>
    <w:qFormat/>
    <w:locked/>
    <w:uiPriority w:val="0"/>
    <w:rPr>
      <w:rFonts w:ascii="Times New Roman" w:hAnsi="Times New Roman" w:eastAsia="宋体"/>
      <w:sz w:val="24"/>
    </w:rPr>
  </w:style>
  <w:style w:type="character" w:customStyle="1" w:styleId="57">
    <w:name w:val="日期 Char"/>
    <w:link w:val="19"/>
    <w:qFormat/>
    <w:locked/>
    <w:uiPriority w:val="0"/>
    <w:rPr>
      <w:rFonts w:ascii="Times New Roman" w:hAnsi="Times New Roman" w:eastAsia="宋体"/>
      <w:sz w:val="24"/>
    </w:rPr>
  </w:style>
  <w:style w:type="character" w:customStyle="1" w:styleId="58">
    <w:name w:val="正文文本缩进 2 Char"/>
    <w:link w:val="20"/>
    <w:qFormat/>
    <w:uiPriority w:val="0"/>
    <w:rPr>
      <w:kern w:val="2"/>
      <w:sz w:val="21"/>
      <w:szCs w:val="24"/>
    </w:rPr>
  </w:style>
  <w:style w:type="character" w:customStyle="1" w:styleId="59">
    <w:name w:val="批注框文本 Char"/>
    <w:link w:val="21"/>
    <w:semiHidden/>
    <w:qFormat/>
    <w:locked/>
    <w:uiPriority w:val="0"/>
    <w:rPr>
      <w:rFonts w:ascii="Times New Roman" w:hAnsi="Times New Roman" w:eastAsia="宋体"/>
      <w:sz w:val="18"/>
    </w:rPr>
  </w:style>
  <w:style w:type="character" w:customStyle="1" w:styleId="60">
    <w:name w:val="页脚 Char"/>
    <w:link w:val="22"/>
    <w:qFormat/>
    <w:locked/>
    <w:uiPriority w:val="99"/>
    <w:rPr>
      <w:sz w:val="18"/>
    </w:rPr>
  </w:style>
  <w:style w:type="character" w:customStyle="1" w:styleId="61">
    <w:name w:val="页眉 Char"/>
    <w:link w:val="24"/>
    <w:qFormat/>
    <w:locked/>
    <w:uiPriority w:val="0"/>
    <w:rPr>
      <w:sz w:val="18"/>
    </w:rPr>
  </w:style>
  <w:style w:type="character" w:customStyle="1" w:styleId="62">
    <w:name w:val="正文文本缩进 3 Char"/>
    <w:link w:val="28"/>
    <w:qFormat/>
    <w:uiPriority w:val="0"/>
    <w:rPr>
      <w:kern w:val="2"/>
      <w:sz w:val="16"/>
      <w:szCs w:val="16"/>
    </w:rPr>
  </w:style>
  <w:style w:type="character" w:customStyle="1" w:styleId="63">
    <w:name w:val="普通(网站) Char"/>
    <w:link w:val="31"/>
    <w:qFormat/>
    <w:locked/>
    <w:uiPriority w:val="0"/>
    <w:rPr>
      <w:rFonts w:ascii="宋体" w:hAnsi="宋体" w:eastAsia="宋体"/>
      <w:sz w:val="24"/>
    </w:rPr>
  </w:style>
  <w:style w:type="character" w:customStyle="1" w:styleId="64">
    <w:name w:val="批注主题 Char"/>
    <w:link w:val="33"/>
    <w:semiHidden/>
    <w:qFormat/>
    <w:locked/>
    <w:uiPriority w:val="0"/>
    <w:rPr>
      <w:rFonts w:ascii="Times New Roman" w:hAnsi="Times New Roman" w:eastAsia="宋体"/>
      <w:b/>
      <w:kern w:val="2"/>
      <w:sz w:val="24"/>
    </w:rPr>
  </w:style>
  <w:style w:type="paragraph" w:customStyle="1" w:styleId="65">
    <w:name w:val="Default"/>
    <w:basedOn w:val="66"/>
    <w:link w:val="67"/>
    <w:qFormat/>
    <w:uiPriority w:val="0"/>
    <w:pPr>
      <w:widowControl w:val="0"/>
      <w:autoSpaceDE w:val="0"/>
      <w:autoSpaceDN w:val="0"/>
      <w:adjustRightInd w:val="0"/>
    </w:pPr>
    <w:rPr>
      <w:rFonts w:ascii="宋体" w:cs="宋体"/>
      <w:color w:val="000000"/>
      <w:sz w:val="24"/>
      <w:szCs w:val="24"/>
      <w:lang w:val="en-US" w:eastAsia="zh-CN" w:bidi="ar-SA"/>
    </w:rPr>
  </w:style>
  <w:style w:type="paragraph" w:customStyle="1" w:styleId="66">
    <w:name w:val="文本"/>
    <w:basedOn w:val="11"/>
    <w:next w:val="1"/>
    <w:qFormat/>
    <w:uiPriority w:val="0"/>
    <w:pPr>
      <w:adjustRightInd/>
      <w:spacing w:line="360" w:lineRule="auto"/>
      <w:jc w:val="both"/>
      <w:textAlignment w:val="auto"/>
    </w:pPr>
  </w:style>
  <w:style w:type="character" w:customStyle="1" w:styleId="67">
    <w:name w:val="Default Char Char"/>
    <w:link w:val="65"/>
    <w:qFormat/>
    <w:uiPriority w:val="0"/>
    <w:rPr>
      <w:rFonts w:ascii="宋体" w:cs="宋体"/>
      <w:color w:val="000000"/>
      <w:sz w:val="24"/>
      <w:szCs w:val="24"/>
    </w:rPr>
  </w:style>
  <w:style w:type="paragraph" w:customStyle="1" w:styleId="68">
    <w:name w:val="表格"/>
    <w:basedOn w:val="69"/>
    <w:next w:val="1"/>
    <w:link w:val="70"/>
    <w:qFormat/>
    <w:uiPriority w:val="0"/>
    <w:pPr>
      <w:adjustRightInd w:val="0"/>
      <w:snapToGrid w:val="0"/>
      <w:spacing w:beforeLines="10" w:afterLines="10" w:line="259" w:lineRule="auto"/>
      <w:jc w:val="center"/>
    </w:pPr>
    <w:rPr>
      <w:rFonts w:ascii="宋体"/>
      <w:kern w:val="0"/>
      <w:szCs w:val="20"/>
    </w:rPr>
  </w:style>
  <w:style w:type="paragraph" w:customStyle="1" w:styleId="69">
    <w:name w:val="表头"/>
    <w:basedOn w:val="66"/>
    <w:next w:val="1"/>
    <w:qFormat/>
    <w:uiPriority w:val="0"/>
    <w:pPr>
      <w:spacing w:before="120" w:beforeLines="50" w:after="120" w:afterLines="50"/>
      <w:jc w:val="center"/>
    </w:pPr>
    <w:rPr>
      <w:rFonts w:eastAsia="黑体"/>
    </w:rPr>
  </w:style>
  <w:style w:type="character" w:customStyle="1" w:styleId="70">
    <w:name w:val="表格 Char"/>
    <w:link w:val="68"/>
    <w:qFormat/>
    <w:locked/>
    <w:uiPriority w:val="0"/>
    <w:rPr>
      <w:rFonts w:ascii="宋体"/>
      <w:sz w:val="21"/>
    </w:rPr>
  </w:style>
  <w:style w:type="paragraph" w:styleId="71">
    <w:name w:val="List Paragraph"/>
    <w:basedOn w:val="1"/>
    <w:qFormat/>
    <w:uiPriority w:val="34"/>
    <w:pPr>
      <w:ind w:firstLine="420" w:firstLineChars="200"/>
    </w:pPr>
    <w:rPr>
      <w:rFonts w:ascii="Calibri" w:hAnsi="Calibri"/>
      <w:szCs w:val="22"/>
    </w:rPr>
  </w:style>
  <w:style w:type="paragraph" w:customStyle="1" w:styleId="72">
    <w:name w:val="标题2"/>
    <w:basedOn w:val="4"/>
    <w:next w:val="1"/>
    <w:qFormat/>
    <w:uiPriority w:val="0"/>
    <w:pPr>
      <w:numPr>
        <w:ilvl w:val="1"/>
        <w:numId w:val="1"/>
      </w:numPr>
      <w:spacing w:before="0" w:after="0" w:line="440" w:lineRule="exact"/>
    </w:pPr>
    <w:rPr>
      <w:kern w:val="0"/>
      <w:sz w:val="28"/>
    </w:rPr>
  </w:style>
  <w:style w:type="character" w:customStyle="1" w:styleId="73">
    <w:name w:val="表 内容 Char"/>
    <w:link w:val="74"/>
    <w:qFormat/>
    <w:uiPriority w:val="0"/>
    <w:rPr>
      <w:kern w:val="2"/>
      <w:sz w:val="21"/>
      <w:szCs w:val="21"/>
    </w:rPr>
  </w:style>
  <w:style w:type="paragraph" w:customStyle="1" w:styleId="74">
    <w:name w:val="表 内容"/>
    <w:basedOn w:val="1"/>
    <w:link w:val="73"/>
    <w:qFormat/>
    <w:uiPriority w:val="0"/>
    <w:pPr>
      <w:adjustRightInd w:val="0"/>
      <w:snapToGrid w:val="0"/>
      <w:spacing w:beforeLines="10" w:afterLines="10"/>
      <w:jc w:val="center"/>
    </w:pPr>
    <w:rPr>
      <w:szCs w:val="21"/>
    </w:rPr>
  </w:style>
  <w:style w:type="character" w:customStyle="1" w:styleId="75">
    <w:name w:val="正文文本 字符1"/>
    <w:semiHidden/>
    <w:qFormat/>
    <w:uiPriority w:val="0"/>
    <w:rPr>
      <w:rFonts w:ascii="Times New Roman" w:hAnsi="Times New Roman" w:eastAsia="宋体"/>
      <w:sz w:val="24"/>
    </w:rPr>
  </w:style>
  <w:style w:type="character" w:customStyle="1" w:styleId="76">
    <w:name w:val="页脚 字符"/>
    <w:basedOn w:val="38"/>
    <w:qFormat/>
    <w:uiPriority w:val="99"/>
  </w:style>
  <w:style w:type="character" w:customStyle="1" w:styleId="77">
    <w:name w:val="Default Char"/>
    <w:qFormat/>
    <w:locked/>
    <w:uiPriority w:val="0"/>
    <w:rPr>
      <w:rFonts w:ascii="宋体" w:cs="宋体"/>
      <w:color w:val="000000"/>
      <w:sz w:val="24"/>
      <w:szCs w:val="24"/>
    </w:rPr>
  </w:style>
  <w:style w:type="character" w:customStyle="1" w:styleId="78">
    <w:name w:val="批注文字 字符1"/>
    <w:semiHidden/>
    <w:qFormat/>
    <w:uiPriority w:val="0"/>
    <w:rPr>
      <w:rFonts w:ascii="Times New Roman" w:hAnsi="Times New Roman" w:eastAsia="宋体"/>
      <w:sz w:val="24"/>
    </w:rPr>
  </w:style>
  <w:style w:type="character" w:customStyle="1" w:styleId="79">
    <w:name w:val="h3"/>
    <w:qFormat/>
    <w:uiPriority w:val="0"/>
  </w:style>
  <w:style w:type="character" w:customStyle="1" w:styleId="80">
    <w:name w:val="1正文 Char"/>
    <w:link w:val="81"/>
    <w:qFormat/>
    <w:uiPriority w:val="0"/>
    <w:rPr>
      <w:sz w:val="24"/>
      <w:szCs w:val="24"/>
    </w:rPr>
  </w:style>
  <w:style w:type="paragraph" w:customStyle="1" w:styleId="81">
    <w:name w:val="1正文"/>
    <w:basedOn w:val="1"/>
    <w:link w:val="80"/>
    <w:qFormat/>
    <w:uiPriority w:val="0"/>
    <w:pPr>
      <w:spacing w:line="360" w:lineRule="auto"/>
      <w:ind w:firstLine="480" w:firstLineChars="200"/>
    </w:pPr>
    <w:rPr>
      <w:kern w:val="0"/>
      <w:sz w:val="24"/>
    </w:rPr>
  </w:style>
  <w:style w:type="character" w:customStyle="1" w:styleId="82">
    <w:name w:val="表名 Char1"/>
    <w:link w:val="83"/>
    <w:qFormat/>
    <w:locked/>
    <w:uiPriority w:val="0"/>
    <w:rPr>
      <w:b/>
      <w:bCs/>
      <w:sz w:val="24"/>
    </w:rPr>
  </w:style>
  <w:style w:type="paragraph" w:customStyle="1" w:styleId="83">
    <w:name w:val="表名"/>
    <w:basedOn w:val="1"/>
    <w:link w:val="82"/>
    <w:qFormat/>
    <w:uiPriority w:val="0"/>
    <w:pPr>
      <w:adjustRightInd w:val="0"/>
      <w:spacing w:before="120" w:after="120" w:line="400" w:lineRule="atLeast"/>
      <w:jc w:val="center"/>
      <w:textAlignment w:val="baseline"/>
    </w:pPr>
    <w:rPr>
      <w:b/>
      <w:bCs/>
      <w:kern w:val="0"/>
      <w:sz w:val="24"/>
      <w:szCs w:val="20"/>
    </w:rPr>
  </w:style>
  <w:style w:type="character" w:customStyle="1" w:styleId="84">
    <w:name w:val="宗兴正文 Char"/>
    <w:link w:val="85"/>
    <w:qFormat/>
    <w:uiPriority w:val="0"/>
    <w:rPr>
      <w:sz w:val="24"/>
      <w:szCs w:val="24"/>
    </w:rPr>
  </w:style>
  <w:style w:type="paragraph" w:customStyle="1" w:styleId="85">
    <w:name w:val="宗兴正文"/>
    <w:link w:val="84"/>
    <w:qFormat/>
    <w:uiPriority w:val="0"/>
    <w:pPr>
      <w:spacing w:line="360" w:lineRule="auto"/>
      <w:ind w:firstLine="200" w:firstLineChars="200"/>
      <w:jc w:val="both"/>
    </w:pPr>
    <w:rPr>
      <w:rFonts w:ascii="Times New Roman" w:hAnsi="Times New Roman" w:eastAsia="宋体" w:cs="Times New Roman"/>
      <w:sz w:val="24"/>
      <w:szCs w:val="24"/>
      <w:lang w:val="en-US" w:eastAsia="zh-CN" w:bidi="ar-SA"/>
    </w:rPr>
  </w:style>
  <w:style w:type="character" w:customStyle="1" w:styleId="86">
    <w:name w:val="Normal Char"/>
    <w:link w:val="87"/>
    <w:qFormat/>
    <w:locked/>
    <w:uiPriority w:val="0"/>
    <w:rPr>
      <w:sz w:val="24"/>
    </w:rPr>
  </w:style>
  <w:style w:type="paragraph" w:customStyle="1" w:styleId="87">
    <w:name w:val="正文2"/>
    <w:basedOn w:val="1"/>
    <w:link w:val="86"/>
    <w:qFormat/>
    <w:uiPriority w:val="0"/>
    <w:pPr>
      <w:spacing w:line="360" w:lineRule="auto"/>
      <w:ind w:firstLine="480" w:firstLineChars="200"/>
      <w:jc w:val="left"/>
    </w:pPr>
    <w:rPr>
      <w:kern w:val="0"/>
      <w:sz w:val="24"/>
      <w:szCs w:val="20"/>
    </w:rPr>
  </w:style>
  <w:style w:type="character" w:customStyle="1" w:styleId="88">
    <w:name w:val="表格 32 Char"/>
    <w:link w:val="89"/>
    <w:qFormat/>
    <w:uiPriority w:val="0"/>
    <w:rPr>
      <w:rFonts w:eastAsia="楷体_GB2312" w:cs="黑体"/>
      <w:sz w:val="24"/>
      <w:szCs w:val="24"/>
    </w:rPr>
  </w:style>
  <w:style w:type="paragraph" w:customStyle="1" w:styleId="89">
    <w:name w:val="表格 32"/>
    <w:basedOn w:val="1"/>
    <w:link w:val="88"/>
    <w:qFormat/>
    <w:uiPriority w:val="0"/>
    <w:pPr>
      <w:widowControl/>
      <w:autoSpaceDE w:val="0"/>
      <w:autoSpaceDN w:val="0"/>
      <w:adjustRightInd w:val="0"/>
      <w:snapToGrid w:val="0"/>
      <w:spacing w:line="360" w:lineRule="auto"/>
      <w:jc w:val="center"/>
      <w:textAlignment w:val="baseline"/>
    </w:pPr>
    <w:rPr>
      <w:rFonts w:eastAsia="楷体_GB2312" w:cs="黑体"/>
      <w:kern w:val="0"/>
      <w:sz w:val="24"/>
    </w:rPr>
  </w:style>
  <w:style w:type="character" w:customStyle="1" w:styleId="90">
    <w:name w:val="日期 字符"/>
    <w:semiHidden/>
    <w:qFormat/>
    <w:uiPriority w:val="0"/>
    <w:rPr>
      <w:rFonts w:ascii="Times New Roman" w:hAnsi="Times New Roman" w:eastAsia="宋体"/>
      <w:sz w:val="24"/>
    </w:rPr>
  </w:style>
  <w:style w:type="paragraph" w:customStyle="1" w:styleId="91">
    <w:name w:val="Char Char Char1 Char Char Char Char Char Char Char Char Char Char Char Char Char Char Char Char Char Char Char"/>
    <w:basedOn w:val="1"/>
    <w:qFormat/>
    <w:uiPriority w:val="0"/>
    <w:pPr>
      <w:spacing w:line="360" w:lineRule="auto"/>
      <w:ind w:firstLine="200" w:firstLineChars="200"/>
    </w:pPr>
    <w:rPr>
      <w:szCs w:val="20"/>
    </w:rPr>
  </w:style>
  <w:style w:type="paragraph" w:customStyle="1" w:styleId="92">
    <w:name w:val="！正文"/>
    <w:qFormat/>
    <w:uiPriority w:val="0"/>
    <w:pPr>
      <w:ind w:firstLine="480"/>
    </w:pPr>
    <w:rPr>
      <w:rFonts w:ascii="Times New Roman" w:hAnsi="Times New Roman" w:eastAsia="宋体" w:cs="宋体"/>
      <w:sz w:val="21"/>
      <w:szCs w:val="22"/>
      <w:lang w:val="en-US" w:eastAsia="zh-CN" w:bidi="ar-SA"/>
    </w:rPr>
  </w:style>
  <w:style w:type="paragraph" w:customStyle="1" w:styleId="93">
    <w:name w:val="缩进"/>
    <w:basedOn w:val="1"/>
    <w:qFormat/>
    <w:uiPriority w:val="0"/>
    <w:pPr>
      <w:autoSpaceDE w:val="0"/>
      <w:autoSpaceDN w:val="0"/>
      <w:adjustRightInd w:val="0"/>
      <w:spacing w:line="400" w:lineRule="atLeast"/>
      <w:ind w:firstLine="425"/>
      <w:textAlignment w:val="baseline"/>
    </w:pPr>
    <w:rPr>
      <w:rFonts w:ascii="Calibri" w:hAnsi="Calibri"/>
      <w:kern w:val="0"/>
      <w:sz w:val="24"/>
      <w:szCs w:val="20"/>
    </w:rPr>
  </w:style>
  <w:style w:type="paragraph" w:customStyle="1" w:styleId="94">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5">
    <w:name w:val="Body Text First Indent 21"/>
    <w:basedOn w:val="96"/>
    <w:qFormat/>
    <w:uiPriority w:val="0"/>
    <w:pPr>
      <w:spacing w:after="120" w:afterLines="0" w:line="240" w:lineRule="auto"/>
      <w:ind w:left="420" w:leftChars="200" w:firstLine="420"/>
    </w:pPr>
    <w:rPr>
      <w:rFonts w:ascii="宋体" w:hAnsi="宋体" w:cs="宋体"/>
    </w:rPr>
  </w:style>
  <w:style w:type="paragraph" w:customStyle="1" w:styleId="96">
    <w:name w:val="Body Text Indent1"/>
    <w:basedOn w:val="1"/>
    <w:qFormat/>
    <w:uiPriority w:val="0"/>
    <w:pPr>
      <w:spacing w:after="120"/>
      <w:ind w:left="420" w:leftChars="200"/>
    </w:pPr>
    <w:rPr>
      <w:kern w:val="2"/>
    </w:rPr>
  </w:style>
  <w:style w:type="paragraph" w:customStyle="1" w:styleId="97">
    <w:name w:val="Body Text Indent"/>
    <w:basedOn w:val="1"/>
    <w:qFormat/>
    <w:uiPriority w:val="0"/>
    <w:pPr>
      <w:spacing w:after="120"/>
      <w:ind w:left="420" w:leftChars="200"/>
    </w:pPr>
    <w:rPr>
      <w:kern w:val="2"/>
    </w:rPr>
  </w:style>
  <w:style w:type="paragraph" w:customStyle="1" w:styleId="98">
    <w:name w:val="_Style 13"/>
    <w:qFormat/>
    <w:uiPriority w:val="0"/>
    <w:rPr>
      <w:rFonts w:ascii="宋体" w:hAnsi="宋体" w:eastAsia="宋体" w:cs="宋体"/>
      <w:sz w:val="24"/>
      <w:szCs w:val="24"/>
      <w:lang w:val="en-US" w:eastAsia="zh-CN" w:bidi="ar-SA"/>
    </w:rPr>
  </w:style>
  <w:style w:type="paragraph" w:customStyle="1" w:styleId="99">
    <w:name w:val="正文文本，表格"/>
    <w:basedOn w:val="1"/>
    <w:qFormat/>
    <w:uiPriority w:val="0"/>
    <w:pPr>
      <w:jc w:val="center"/>
    </w:pPr>
    <w:rPr>
      <w:rFonts w:ascii="Times New Roman" w:hAnsi="Times New Roman" w:cs="宋体"/>
      <w:szCs w:val="21"/>
    </w:rPr>
  </w:style>
  <w:style w:type="paragraph" w:customStyle="1" w:styleId="100">
    <w:name w:val="xl22"/>
    <w:basedOn w:val="1"/>
    <w:qFormat/>
    <w:uiPriority w:val="0"/>
    <w:pPr>
      <w:widowControl/>
      <w:spacing w:before="100" w:after="100"/>
      <w:jc w:val="center"/>
    </w:pPr>
    <w:rPr>
      <w:kern w:val="0"/>
      <w:sz w:val="24"/>
    </w:rPr>
  </w:style>
  <w:style w:type="paragraph" w:customStyle="1" w:styleId="101">
    <w:name w:val="表格内容"/>
    <w:basedOn w:val="1"/>
    <w:qFormat/>
    <w:uiPriority w:val="0"/>
    <w:pPr>
      <w:adjustRightInd w:val="0"/>
      <w:jc w:val="center"/>
      <w:textAlignment w:val="baseline"/>
    </w:pPr>
    <w:rPr>
      <w:szCs w:val="21"/>
    </w:rPr>
  </w:style>
  <w:style w:type="paragraph" w:customStyle="1" w:styleId="102">
    <w:name w:val="Table Paragraph"/>
    <w:basedOn w:val="1"/>
    <w:qFormat/>
    <w:uiPriority w:val="1"/>
    <w:pPr>
      <w:autoSpaceDE w:val="0"/>
      <w:autoSpaceDN w:val="0"/>
      <w:adjustRightInd w:val="0"/>
      <w:snapToGrid w:val="0"/>
      <w:spacing w:line="360" w:lineRule="auto"/>
      <w:jc w:val="left"/>
    </w:pPr>
    <w:rPr>
      <w:rFonts w:eastAsia="等线" w:cs="Times New Roman"/>
      <w:kern w:val="0"/>
      <w:sz w:val="24"/>
    </w:rPr>
  </w:style>
  <w:style w:type="paragraph" w:customStyle="1" w:styleId="103">
    <w:name w:val="正本文字"/>
    <w:basedOn w:val="1"/>
    <w:qFormat/>
    <w:uiPriority w:val="0"/>
    <w:pPr>
      <w:adjustRightInd w:val="0"/>
      <w:snapToGrid w:val="0"/>
      <w:spacing w:line="360" w:lineRule="auto"/>
      <w:ind w:firstLine="480" w:firstLineChars="200"/>
      <w:jc w:val="left"/>
    </w:pPr>
    <w:rPr>
      <w:kern w:val="18"/>
      <w:sz w:val="24"/>
      <w:szCs w:val="20"/>
    </w:rPr>
  </w:style>
  <w:style w:type="paragraph" w:customStyle="1" w:styleId="104">
    <w:name w:val="_Style 102"/>
    <w:unhideWhenUsed/>
    <w:qFormat/>
    <w:uiPriority w:val="99"/>
    <w:rPr>
      <w:rFonts w:ascii="Times New Roman" w:hAnsi="Times New Roman" w:eastAsia="宋体" w:cs="Times New Roman"/>
      <w:kern w:val="2"/>
      <w:sz w:val="21"/>
      <w:szCs w:val="24"/>
      <w:lang w:val="en-US" w:eastAsia="zh-CN" w:bidi="ar-SA"/>
    </w:rPr>
  </w:style>
  <w:style w:type="paragraph" w:customStyle="1" w:styleId="105">
    <w:name w:val="表格样式"/>
    <w:basedOn w:val="1"/>
    <w:qFormat/>
    <w:uiPriority w:val="0"/>
    <w:pPr>
      <w:widowControl/>
      <w:adjustRightInd w:val="0"/>
      <w:snapToGrid w:val="0"/>
      <w:spacing w:line="360" w:lineRule="auto"/>
      <w:jc w:val="center"/>
    </w:pPr>
    <w:rPr>
      <w:szCs w:val="20"/>
    </w:rPr>
  </w:style>
  <w:style w:type="paragraph" w:customStyle="1" w:styleId="106">
    <w:name w:val="p0"/>
    <w:basedOn w:val="1"/>
    <w:qFormat/>
    <w:uiPriority w:val="0"/>
    <w:pPr>
      <w:widowControl/>
      <w:spacing w:before="100" w:beforeAutospacing="1" w:after="100" w:afterAutospacing="1"/>
      <w:jc w:val="left"/>
    </w:pPr>
    <w:rPr>
      <w:rFonts w:ascii="宋体" w:hAnsi="宋体"/>
      <w:kern w:val="0"/>
      <w:sz w:val="24"/>
    </w:rPr>
  </w:style>
  <w:style w:type="paragraph" w:customStyle="1" w:styleId="107">
    <w:name w:val=" Char"/>
    <w:basedOn w:val="1"/>
    <w:qFormat/>
    <w:uiPriority w:val="0"/>
    <w:pPr>
      <w:numPr>
        <w:ilvl w:val="0"/>
        <w:numId w:val="2"/>
      </w:numPr>
      <w:tabs>
        <w:tab w:val="left" w:pos="920"/>
      </w:tabs>
    </w:pPr>
    <w:rPr>
      <w:sz w:val="24"/>
    </w:rPr>
  </w:style>
  <w:style w:type="paragraph" w:customStyle="1" w:styleId="108">
    <w:name w:val="表文lcc"/>
    <w:basedOn w:val="1"/>
    <w:qFormat/>
    <w:uiPriority w:val="0"/>
    <w:pPr>
      <w:widowControl/>
      <w:spacing w:line="360" w:lineRule="auto"/>
      <w:jc w:val="center"/>
    </w:pPr>
    <w:rPr>
      <w:rFonts w:eastAsia="仿宋_GB2312"/>
      <w:kern w:val="0"/>
      <w:szCs w:val="20"/>
    </w:rPr>
  </w:style>
  <w:style w:type="paragraph" w:customStyle="1" w:styleId="109">
    <w:name w:val="列出段落1"/>
    <w:basedOn w:val="1"/>
    <w:qFormat/>
    <w:uiPriority w:val="34"/>
    <w:pPr>
      <w:widowControl/>
      <w:adjustRightInd w:val="0"/>
      <w:snapToGrid w:val="0"/>
      <w:spacing w:line="360" w:lineRule="auto"/>
      <w:ind w:left="720"/>
      <w:contextualSpacing/>
      <w:jc w:val="left"/>
    </w:pPr>
    <w:rPr>
      <w:rFonts w:cs="宋体"/>
      <w:kern w:val="0"/>
      <w:sz w:val="24"/>
    </w:rPr>
  </w:style>
  <w:style w:type="paragraph" w:customStyle="1" w:styleId="110">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customStyle="1" w:styleId="111">
    <w:name w:val=" Char Char Char1 Char Char Char Char Char Char Char Char Char Char Char Char Char Char Char Char Char Char Char"/>
    <w:basedOn w:val="1"/>
    <w:qFormat/>
    <w:uiPriority w:val="0"/>
    <w:pPr>
      <w:spacing w:line="360" w:lineRule="auto"/>
      <w:ind w:firstLine="200" w:firstLineChars="200"/>
    </w:pPr>
    <w:rPr>
      <w:szCs w:val="20"/>
    </w:rPr>
  </w:style>
  <w:style w:type="paragraph" w:customStyle="1" w:styleId="112">
    <w:name w:val="正文 32"/>
    <w:basedOn w:val="1"/>
    <w:qFormat/>
    <w:uiPriority w:val="0"/>
    <w:pPr>
      <w:autoSpaceDE w:val="0"/>
      <w:autoSpaceDN w:val="0"/>
      <w:adjustRightInd w:val="0"/>
      <w:spacing w:line="360" w:lineRule="auto"/>
      <w:ind w:firstLine="567"/>
      <w:textAlignment w:val="baseline"/>
    </w:pPr>
    <w:rPr>
      <w:rFonts w:ascii="Calibri" w:hAnsi="Calibri"/>
      <w:kern w:val="0"/>
      <w:sz w:val="24"/>
      <w:szCs w:val="20"/>
    </w:rPr>
  </w:style>
  <w:style w:type="paragraph" w:customStyle="1" w:styleId="113">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114">
    <w:name w:val="1"/>
    <w:basedOn w:val="1"/>
    <w:next w:val="18"/>
    <w:qFormat/>
    <w:uiPriority w:val="0"/>
    <w:rPr>
      <w:rFonts w:ascii="宋体" w:hAnsi="Courier New" w:cs="Courier New"/>
      <w:szCs w:val="21"/>
    </w:rPr>
  </w:style>
  <w:style w:type="table" w:customStyle="1" w:styleId="115">
    <w:name w:val="样式4"/>
    <w:basedOn w:val="36"/>
    <w:qFormat/>
    <w:uiPriority w:val="99"/>
    <w:pPr>
      <w:jc w:val="center"/>
    </w:pPr>
    <w:rPr>
      <w:sz w:val="21"/>
    </w:rPr>
    <w:tblPr>
      <w:tblBorders>
        <w:top w:val="single" w:color="auto" w:sz="12" w:space="0"/>
        <w:bottom w:val="single" w:color="auto" w:sz="12" w:space="0"/>
        <w:insideH w:val="single" w:color="auto" w:sz="4" w:space="0"/>
        <w:insideV w:val="single" w:color="auto" w:sz="4" w:space="0"/>
      </w:tblBorders>
    </w:tblPr>
    <w:tcPr>
      <w:vAlign w:val="center"/>
    </w:tcPr>
  </w:style>
  <w:style w:type="paragraph" w:customStyle="1" w:styleId="116">
    <w:name w:val="表格内文字"/>
    <w:basedOn w:val="1"/>
    <w:qFormat/>
    <w:uiPriority w:val="0"/>
    <w:pPr>
      <w:adjustRightInd w:val="0"/>
      <w:snapToGrid w:val="0"/>
      <w:spacing w:line="240" w:lineRule="auto"/>
      <w:ind w:firstLine="0" w:firstLineChars="0"/>
      <w:jc w:val="center"/>
    </w:pPr>
    <w:rPr>
      <w:rFonts w:hint="eastAsia"/>
      <w:color w:val="auto"/>
      <w:sz w:val="21"/>
    </w:rPr>
  </w:style>
  <w:style w:type="character" w:customStyle="1" w:styleId="117">
    <w:name w:val="font51"/>
    <w:basedOn w:val="38"/>
    <w:qFormat/>
    <w:uiPriority w:val="0"/>
    <w:rPr>
      <w:rFonts w:hint="eastAsia" w:ascii="宋体" w:hAnsi="宋体" w:eastAsia="宋体" w:cs="宋体"/>
      <w:color w:val="000000"/>
      <w:sz w:val="21"/>
      <w:szCs w:val="21"/>
      <w:u w:val="none"/>
    </w:rPr>
  </w:style>
  <w:style w:type="character" w:customStyle="1" w:styleId="118">
    <w:name w:val="font61"/>
    <w:basedOn w:val="38"/>
    <w:qFormat/>
    <w:uiPriority w:val="0"/>
    <w:rPr>
      <w:rFonts w:hint="eastAsia" w:ascii="宋体" w:hAnsi="宋体" w:eastAsia="宋体" w:cs="宋体"/>
      <w:color w:val="FF0000"/>
      <w:sz w:val="21"/>
      <w:szCs w:val="21"/>
      <w:u w:val="none"/>
    </w:rPr>
  </w:style>
  <w:style w:type="character" w:customStyle="1" w:styleId="119">
    <w:name w:val="font41"/>
    <w:basedOn w:val="38"/>
    <w:qFormat/>
    <w:uiPriority w:val="0"/>
    <w:rPr>
      <w:rFonts w:hint="default" w:ascii="Times New Roman" w:hAnsi="Times New Roman" w:cs="Times New Roman"/>
      <w:color w:val="000000"/>
      <w:sz w:val="21"/>
      <w:szCs w:val="21"/>
      <w:u w:val="none"/>
    </w:rPr>
  </w:style>
  <w:style w:type="paragraph" w:customStyle="1" w:styleId="120">
    <w:name w:val="xl27"/>
    <w:basedOn w:val="1"/>
    <w:next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rPr>
  </w:style>
  <w:style w:type="paragraph" w:customStyle="1" w:styleId="121">
    <w:name w:val="A正文"/>
    <w:basedOn w:val="1"/>
    <w:qFormat/>
    <w:uiPriority w:val="0"/>
    <w:pPr>
      <w:widowControl/>
      <w:ind w:firstLine="200" w:firstLineChars="200"/>
      <w:jc w:val="left"/>
    </w:pPr>
    <w:rPr>
      <w:kern w:val="0"/>
      <w:szCs w:val="22"/>
    </w:rPr>
  </w:style>
  <w:style w:type="character" w:customStyle="1" w:styleId="122">
    <w:name w:val="font01"/>
    <w:basedOn w:val="38"/>
    <w:qFormat/>
    <w:uiPriority w:val="0"/>
    <w:rPr>
      <w:rFonts w:hint="default" w:ascii="Times New Roman" w:hAnsi="Times New Roman" w:cs="Times New Roman"/>
      <w:color w:val="000000"/>
      <w:sz w:val="21"/>
      <w:szCs w:val="21"/>
      <w:u w:val="none"/>
    </w:rPr>
  </w:style>
  <w:style w:type="character" w:customStyle="1" w:styleId="123">
    <w:name w:val="font31"/>
    <w:basedOn w:val="38"/>
    <w:qFormat/>
    <w:uiPriority w:val="0"/>
    <w:rPr>
      <w:rFonts w:hint="eastAsia" w:ascii="宋体" w:hAnsi="宋体" w:eastAsia="宋体" w:cs="宋体"/>
      <w:color w:val="000000"/>
      <w:sz w:val="21"/>
      <w:szCs w:val="21"/>
      <w:u w:val="none"/>
    </w:rPr>
  </w:style>
  <w:style w:type="paragraph" w:customStyle="1" w:styleId="124">
    <w:name w:val="表标题"/>
    <w:basedOn w:val="1"/>
    <w:qFormat/>
    <w:uiPriority w:val="0"/>
    <w:pPr>
      <w:spacing w:beforeLines="50" w:line="240" w:lineRule="auto"/>
      <w:ind w:firstLine="0" w:firstLineChars="0"/>
      <w:jc w:val="center"/>
    </w:pPr>
    <w:rPr>
      <w:b/>
      <w:bCs/>
      <w:kern w:val="0"/>
      <w:sz w:val="18"/>
      <w:szCs w:val="20"/>
    </w:rPr>
  </w:style>
  <w:style w:type="paragraph" w:customStyle="1" w:styleId="125">
    <w:name w:val="图标题"/>
    <w:next w:val="1"/>
    <w:qFormat/>
    <w:uiPriority w:val="0"/>
    <w:pPr>
      <w:spacing w:after="50" w:afterLines="50"/>
      <w:jc w:val="center"/>
    </w:pPr>
    <w:rPr>
      <w:rFonts w:ascii="Times New Roman" w:hAnsi="Times New Roman" w:eastAsia="宋体" w:cs="Times New Roman"/>
      <w:b/>
      <w:sz w:val="18"/>
      <w:lang w:val="en-US" w:eastAsia="zh-CN" w:bidi="ar-SA"/>
    </w:rPr>
  </w:style>
  <w:style w:type="character" w:customStyle="1" w:styleId="126">
    <w:name w:val="font21"/>
    <w:basedOn w:val="38"/>
    <w:qFormat/>
    <w:uiPriority w:val="0"/>
    <w:rPr>
      <w:rFonts w:hint="default" w:ascii="Times New Roman" w:hAnsi="Times New Roman" w:cs="Times New Roman"/>
      <w:color w:val="EB14EB"/>
      <w:sz w:val="21"/>
      <w:szCs w:val="21"/>
      <w:u w:val="none"/>
    </w:rPr>
  </w:style>
  <w:style w:type="character" w:customStyle="1" w:styleId="127">
    <w:name w:val="font11"/>
    <w:basedOn w:val="38"/>
    <w:qFormat/>
    <w:uiPriority w:val="0"/>
    <w:rPr>
      <w:rFonts w:hint="eastAsia" w:ascii="宋体" w:hAnsi="宋体" w:eastAsia="宋体" w:cs="宋体"/>
      <w:color w:val="000000"/>
      <w:sz w:val="22"/>
      <w:szCs w:val="22"/>
      <w:u w:val="none"/>
    </w:rPr>
  </w:style>
  <w:style w:type="paragraph" w:customStyle="1" w:styleId="128">
    <w:name w:val="Table Text"/>
    <w:basedOn w:val="1"/>
    <w:semiHidden/>
    <w:qFormat/>
    <w:uiPriority w:val="0"/>
    <w:rPr>
      <w:rFonts w:ascii="宋体" w:hAnsi="宋体" w:eastAsia="宋体" w:cs="宋体"/>
      <w:sz w:val="24"/>
      <w:szCs w:val="24"/>
      <w:lang w:val="en-US" w:eastAsia="en-US" w:bidi="ar-SA"/>
    </w:rPr>
  </w:style>
  <w:style w:type="table" w:customStyle="1" w:styleId="129">
    <w:name w:val="Table Normal"/>
    <w:unhideWhenUsed/>
    <w:qFormat/>
    <w:uiPriority w:val="0"/>
    <w:tblPr>
      <w:tblCellMar>
        <w:top w:w="0" w:type="dxa"/>
        <w:left w:w="0" w:type="dxa"/>
        <w:bottom w:w="0" w:type="dxa"/>
        <w:right w:w="0" w:type="dxa"/>
      </w:tblCellMar>
    </w:tblPr>
  </w:style>
  <w:style w:type="character" w:customStyle="1" w:styleId="130">
    <w:name w:val="font101"/>
    <w:basedOn w:val="38"/>
    <w:qFormat/>
    <w:uiPriority w:val="0"/>
    <w:rPr>
      <w:rFonts w:hint="default" w:ascii="Times New Roman" w:hAnsi="Times New Roman" w:cs="Times New Roman"/>
      <w:b/>
      <w:bCs/>
      <w:color w:val="000000"/>
      <w:sz w:val="21"/>
      <w:szCs w:val="21"/>
      <w:u w:val="none"/>
    </w:rPr>
  </w:style>
  <w:style w:type="character" w:customStyle="1" w:styleId="131">
    <w:name w:val="font112"/>
    <w:basedOn w:val="38"/>
    <w:qFormat/>
    <w:uiPriority w:val="0"/>
    <w:rPr>
      <w:rFonts w:hint="default" w:ascii="Times New Roman" w:hAnsi="Times New Roman" w:cs="Times New Roman"/>
      <w:b/>
      <w:bCs/>
      <w:color w:val="000000"/>
      <w:sz w:val="21"/>
      <w:szCs w:val="21"/>
      <w:u w:val="none"/>
      <w:vertAlign w:val="superscript"/>
    </w:rPr>
  </w:style>
  <w:style w:type="paragraph" w:customStyle="1" w:styleId="132">
    <w:name w:val="1LD正文"/>
    <w:basedOn w:val="1"/>
    <w:qFormat/>
    <w:uiPriority w:val="0"/>
    <w:pPr>
      <w:adjustRightInd w:val="0"/>
      <w:snapToGrid w:val="0"/>
      <w:spacing w:line="360" w:lineRule="auto"/>
      <w:ind w:firstLine="200" w:firstLineChars="200"/>
    </w:pPr>
    <w:rPr>
      <w:rFonts w:ascii="宋体" w:hAnsi="宋体" w:cs="宋体"/>
      <w:color w:val="0000FF"/>
      <w:kern w:val="0"/>
      <w:sz w:val="24"/>
    </w:rPr>
  </w:style>
  <w:style w:type="paragraph" w:customStyle="1" w:styleId="133">
    <w:name w:val="正文缩进2"/>
    <w:basedOn w:val="34"/>
    <w:qFormat/>
    <w:uiPriority w:val="0"/>
    <w:pPr>
      <w:spacing w:after="0" w:line="360" w:lineRule="auto"/>
      <w:ind w:firstLine="200" w:firstLineChars="200"/>
    </w:pPr>
    <w:rPr>
      <w:rFonts w:ascii="Times New Roman" w:hAnsi="Times New Roman"/>
      <w:color w:val="auto"/>
      <w:w w:val="10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1" Type="http://schemas.openxmlformats.org/officeDocument/2006/relationships/fontTable" Target="fontTable.xml"/><Relationship Id="rId40" Type="http://schemas.openxmlformats.org/officeDocument/2006/relationships/customXml" Target="../customXml/item2.xml"/><Relationship Id="rId4" Type="http://schemas.openxmlformats.org/officeDocument/2006/relationships/footer" Target="foot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28.png"/><Relationship Id="rId36" Type="http://schemas.openxmlformats.org/officeDocument/2006/relationships/image" Target="media/image27.wmf"/><Relationship Id="rId35" Type="http://schemas.openxmlformats.org/officeDocument/2006/relationships/image" Target="media/image26.wmf"/><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wmf"/><Relationship Id="rId31" Type="http://schemas.openxmlformats.org/officeDocument/2006/relationships/image" Target="media/image22.png"/><Relationship Id="rId30" Type="http://schemas.openxmlformats.org/officeDocument/2006/relationships/image" Target="media/image21.jpeg"/><Relationship Id="rId3" Type="http://schemas.openxmlformats.org/officeDocument/2006/relationships/footer" Target="footer1.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png"/><Relationship Id="rId25" Type="http://schemas.openxmlformats.org/officeDocument/2006/relationships/image" Target="media/image16.jpe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32f8fa3f-c0e4-401f-ad99-af791fb02bfc</errorID>
      <errorWord>-</errorWord>
      <group>L1_Format</group>
      <groupName>格式问题</groupName>
      <ability>L2_HalfPunc</ability>
      <abilityName>全半角检查</abilityName>
      <candidateList>
        <item>－</item>
      </candidateList>
      <explain>文本全半角错误。</explain>
      <paraID>7ECE80A0</paraID>
      <start>11</start>
      <end>12</end>
      <status>modified</status>
      <modifiedWord>－</modifiedWord>
      <trackRevisions>false</trackRevisions>
    </reviewItem>
    <reviewItem>
      <errorID>965b09e2-c1c4-4d63-9912-dffcaf270ec7</errorID>
      <errorWord>-</errorWord>
      <group>L1_Format</group>
      <groupName>格式问题</groupName>
      <ability>L2_HalfPunc</ability>
      <abilityName>全半角检查</abilityName>
      <candidateList>
        <item>－</item>
      </candidateList>
      <explain>文本全半角错误。</explain>
      <paraID>7ECE80A0</paraID>
      <start>26</start>
      <end>27</end>
      <status>modified</status>
      <modifiedWord>－</modifiedWord>
      <trackRevisions>false</trackRevisions>
    </reviewItem>
    <reviewItem>
      <errorID>f0534700-e2a8-4350-b242-658f43df06f3</errorID>
      <errorWord>[2023]21号</errorWord>
      <group>L1_Knowledge</group>
      <groupName>知识性问题</groupName>
      <ability>L2_Knowledge</ability>
      <abilityName>其他知识</abilityName>
      <candidateList>
        <item>〔2023〕21号</item>
      </candidateList>
      <explain>发文字号格式错误。</explain>
      <paraID>32E7BF91</paraID>
      <start>6</start>
      <end>15</end>
      <status>modified</status>
      <modifiedWord>〔2023〕21号</modifiedWord>
      <trackRevisions>false</trackRevisions>
    </reviewItem>
    <reviewItem>
      <errorID>0ff44e30-8148-4788-abed-f5a835332ed7</errorID>
      <errorWord>：/</errorWord>
      <group>L1_Punc</group>
      <groupName>标点问题</groupName>
      <ability>L2_Punc</ability>
      <abilityName>标点符号检查</abilityName>
      <candidateList>
        <item>：</item>
      </candidateList>
      <explain/>
      <paraID>5573BA5D</paraID>
      <start>9</start>
      <end>10</end>
      <status>modified</status>
      <modifiedWord>：</modifiedWord>
      <trackRevisions>false</trackRevisions>
    </reviewItem>
    <reviewItem>
      <errorID>d1cc8d87-735f-4a90-add9-dcca374319a7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7A90B470</paraID>
      <start>0</start>
      <end>2</end>
      <status>modified</status>
      <modifiedWord>1.</modifiedWord>
      <trackRevisions>false</trackRevisions>
    </reviewItem>
    <reviewItem>
      <errorID>ad0e4c6a-9bbb-4c82-a1c5-96994cf1aa2a</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1D164DB9</paraID>
      <start>32</start>
      <end>52</end>
      <status>modified</status>
      <modifiedWord>《产业结构调整指导目录（2024年本）》</modifiedWord>
      <trackRevisions>false</trackRevisions>
    </reviewItem>
    <reviewItem>
      <errorID>80c220a7-bc78-42cf-af7f-07343739556d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47091B61</paraID>
      <start>0</start>
      <end>2</end>
      <status>modified</status>
      <modifiedWord>2.</modifiedWord>
      <trackRevisions>false</trackRevisions>
    </reviewItem>
    <reviewItem>
      <errorID>c3f1ad53-706d-494b-a404-0b089d371ce5</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16020967</paraID>
      <start>32</start>
      <end>52</end>
      <status>modified</status>
      <modifiedWord>《产业结构调整指导目录（2024年本）》</modifiedWord>
      <trackRevisions>false</trackRevisions>
    </reviewItem>
    <reviewItem>
      <errorID>5f119a13-9c3b-40e9-8b7a-e9ed5ea5720d</errorID>
      <errorWord>，</errorWord>
      <group>L1_Word</group>
      <groupName>字词问题</groupName>
      <ability>L2_Typo</ability>
      <abilityName>字词错误</abilityName>
      <candidateList>
        <item>，在</item>
      </candidateList>
      <explain/>
      <paraID>  F655B9</paraID>
      <start>46</start>
      <end>48</end>
      <status>modified</status>
      <modifiedWord>，在</modifiedWord>
      <trackRevisions>false</trackRevisions>
    </reviewItem>
    <reviewItem>
      <errorID>0eccd808-922c-4864-8a5f-624b465acd28</errorID>
      <errorWord>用水</errorWord>
      <group>L1_Word</group>
      <groupName>字词问题</groupName>
      <ability>L2_Typo</ability>
      <abilityName>字词错误</abilityName>
      <candidateList>
        <item>供水</item>
      </candidateList>
      <explain/>
      <paraID>  F655B9</paraID>
      <start>75</start>
      <end>77</end>
      <status>ignored</status>
      <modifiedWord/>
      <trackRevisions>false</trackRevisions>
    </reviewItem>
    <reviewItem>
      <errorID>4595c29a-bb12-49e4-b178-6b5cce0b0a24</errorID>
      <errorWord>污水处理厂污水处理厂</errorWord>
      <group>L1_Word</group>
      <groupName>字词问题</groupName>
      <ability>L2_Typo</ability>
      <abilityName>字词错误</abilityName>
      <candidateList>
        <item>污水处理厂</item>
      </candidateList>
      <explain/>
      <paraID>60A08C20</paraID>
      <start>154</start>
      <end>159</end>
      <status>modified</status>
      <modifiedWord>污水处理厂</modifiedWord>
      <trackRevisions>false</trackRevisions>
    </reviewItem>
    <reviewItem>
      <errorID>75dc84fc-8086-4d99-af8d-94264c618d08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6DA28E52</paraID>
      <start>0</start>
      <end>2</end>
      <status>modified</status>
      <modifiedWord>3.</modifiedWord>
      <trackRevisions>false</trackRevisions>
    </reviewItem>
    <reviewItem>
      <errorID>8654bb14-8928-4eca-a4cc-72525eb3e35b</errorID>
      <errorWord>，</errorWord>
      <group>L1_Word</group>
      <groupName>字词问题</groupName>
      <ability>L2_Typo</ability>
      <abilityName>字词错误</abilityName>
      <candidateList>
        <item>，是</item>
      </candidateList>
      <explain/>
      <paraID>76EDE405</paraID>
      <start>130</start>
      <end>132</end>
      <status>modified</status>
      <modifiedWord>，是</modifiedWord>
      <trackRevisions>false</trackRevisions>
    </reviewItem>
    <reviewItem>
      <errorID>8b198d0f-23d9-4a5e-9881-7e7d960e946c</errorID>
      <errorWord>坚持绿色协调发展</errorWord>
      <group>L1_Political</group>
      <groupName>政治性问题</groupName>
      <ability>L2_Keyword</ability>
      <abilityName>固定表述</abilityName>
      <candidateList>
        <item>坚持绿色低碳发展</item>
      </candidateList>
      <explain>词汇“坚持绿色低碳发展”在特定场景下为固定表述形式，请确认此处的“坚持绿色协调发展”是否存在不当。</explain>
      <paraID>79497C8F</paraID>
      <start>9</start>
      <end>17</end>
      <status>ignored</status>
      <modifiedWord/>
      <trackRevisions>false</trackRevisions>
    </reviewItem>
    <reviewItem>
      <errorID>18cd083c-ed42-470b-a216-7158b6b2d089</errorID>
      <errorWord>、”</errorWord>
      <group>L1_Punc</group>
      <groupName>标点问题</groupName>
      <ability>L2_Punc</ability>
      <abilityName>标点符号检查</abilityName>
      <candidateList>
        <item>”</item>
      </candidateList>
      <explain/>
      <paraID>79497C8F</paraID>
      <start>92</start>
      <end>93</end>
      <status>modified</status>
      <modifiedWord>”</modifiedWord>
      <trackRevisions>false</trackRevisions>
    </reviewItem>
    <reviewItem>
      <errorID>2596b436-b997-4e03-9389-fc90495e45bc</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79497C8F</paraID>
      <start>93</start>
      <end>99</end>
      <status>modified</status>
      <modifiedWord>“三区三线”</modifiedWord>
      <trackRevisions>false</trackRevisions>
    </reviewItem>
    <reviewItem>
      <errorID>50c69af3-3e8b-42ee-87bd-36bb9d3e7d68</errorID>
      <errorWord>“</errorWord>
      <group>L1_Punc</group>
      <groupName>标点问题</groupName>
      <ability>L2_Punc</ability>
      <abilityName>标点符号检查</abilityName>
      <candidateList/>
      <explain/>
      <paraID>79497C8F</paraID>
      <start>99</start>
      <end>100</end>
      <status>unmodified</status>
      <modifiedWord/>
      <trackRevisions>false</trackRevisions>
    </reviewItem>
    <reviewItem>
      <errorID>bb622d64-3dff-43e8-84e2-35933a744214</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3BF18F64</paraID>
      <start>31</start>
      <end>51</end>
      <status>modified</status>
      <modifiedWord>《产业结构调整指导目录（2024年本）》</modifiedWord>
      <trackRevisions>false</trackRevisions>
    </reviewItem>
    <reviewItem>
      <errorID>d9c5fb02-6873-43e5-8433-8b5240348331</errorID>
      <errorWord>环保基础设施建设</errorWord>
      <group>L1_Political</group>
      <groupName>政治性问题</groupName>
      <ability>L2_Keyword</ability>
      <abilityName>固定表述</abilityName>
      <candidateList>
        <item>环境基础设施建设</item>
      </candidateList>
      <explain>词汇“环境基础设施建设”在特定场景下为固定表述形式，请确认此处的“环保基础设施建设”是否存在不当。</explain>
      <paraID>514F6E44</paraID>
      <start>2</start>
      <end>10</end>
      <status>ignored</status>
      <modifiedWord/>
      <trackRevisions>false</trackRevisions>
    </reviewItem>
    <reviewItem>
      <errorID>c90e2d75-1cb4-45c6-ad86-391290af3e15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261E1153</paraID>
      <start>0</start>
      <end>2</end>
      <status>modified</status>
      <modifiedWord>1.</modifiedWord>
      <trackRevisions>false</trackRevisions>
    </reviewItem>
    <reviewItem>
      <errorID>312b89a1-6501-48b6-91b4-737063e866ea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54505781</paraID>
      <start>0</start>
      <end>2</end>
      <status>modified</status>
      <modifiedWord>2.</modifiedWord>
      <trackRevisions>false</trackRevisions>
    </reviewItem>
    <reviewItem>
      <errorID>4279e4d1-f279-4492-bb7d-45ff269e40fc</errorID>
      <errorWord>国家发改委</errorWord>
      <group>L1_Knowledge</group>
      <groupName>知识性问题</groupName>
      <ability>L2_Knowledge</ability>
      <abilityName>其他知识</abilityName>
      <candidateList>
        <item>国家发展改革委</item>
      </candidateList>
      <explain/>
      <paraID>2812A89B</paraID>
      <start>18</start>
      <end>25</end>
      <status>modified</status>
      <modifiedWord>国家发展改革委</modifiedWord>
      <trackRevisions>false</trackRevisions>
    </reviewItem>
    <reviewItem>
      <errorID>bcd3a329-e969-4cfa-803d-5e1e1b8f2636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7D68E119</paraID>
      <start>0</start>
      <end>2</end>
      <status>modified</status>
      <modifiedWord>3.</modifiedWord>
      <trackRevisions>false</trackRevisions>
    </reviewItem>
    <reviewItem>
      <errorID>f4d2bcb6-f698-4d8b-947e-dc9ec58948f8</errorID>
      <errorWord>[2022]5号</errorWord>
      <group>L1_Knowledge</group>
      <groupName>知识性问题</groupName>
      <ability>L2_Knowledge</ability>
      <abilityName>其他知识</abilityName>
      <candidateList>
        <item>〔2022〕5号</item>
      </candidateList>
      <explain>发文字号格式错误。</explain>
      <paraID>7D68E119</paraID>
      <start>49</start>
      <end>57</end>
      <status>modified</status>
      <modifiedWord>〔2022〕5号</modifiedWord>
      <trackRevisions>false</trackRevisions>
    </reviewItem>
    <reviewItem>
      <errorID>e3267895-bf9f-4700-88f2-56a74ac7bf17</errorID>
      <errorWord>[2016]150号</errorWord>
      <group>L1_Knowledge</group>
      <groupName>知识性问题</groupName>
      <ability>L2_Knowledge</ability>
      <abilityName>其他知识</abilityName>
      <candidateList>
        <item>〔2016〕150号</item>
      </candidateList>
      <explain>发文字号格式错误。</explain>
      <paraID>439A3DEA</paraID>
      <start>32</start>
      <end>42</end>
      <status>modified</status>
      <modifiedWord>〔2016〕150号</modifiedWord>
      <trackRevisions>false</trackRevisions>
    </reviewItem>
    <reviewItem>
      <errorID>8902ab18-cd22-4a75-81b0-6a20e87459ec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439A3DEA</paraID>
      <start>89</start>
      <end>90</end>
      <status>modified</status>
      <modifiedWord>‘</modifiedWord>
      <trackRevisions>false</trackRevisions>
    </reviewItem>
    <reviewItem>
      <errorID>16e435bb-5a39-4a63-b2db-50c19062a79f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439A3DEA</paraID>
      <start>119</start>
      <end>120</end>
      <status>modified</status>
      <modifiedWord>’</modifiedWord>
      <trackRevisions>false</trackRevisions>
    </reviewItem>
    <reviewItem>
      <errorID>891fabb7-f169-42d2-965e-f25cb13aff72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439A3DEA</paraID>
      <start>125</start>
      <end>126</end>
      <status>modified</status>
      <modifiedWord>‘</modifiedWord>
      <trackRevisions>false</trackRevisions>
    </reviewItem>
    <reviewItem>
      <errorID>103d428a-4198-4f2b-8cec-0357bbf74f4b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439A3DEA</paraID>
      <start>130</start>
      <end>131</end>
      <status>modified</status>
      <modifiedWord>’</modifiedWord>
      <trackRevisions>false</trackRevisions>
    </reviewItem>
    <reviewItem>
      <errorID>1394a8ec-1153-48cf-9d85-d6dc34909875</errorID>
      <errorWord>[2015] 179号</errorWord>
      <group>L1_Knowledge</group>
      <groupName>知识性问题</groupName>
      <ability>L2_Knowledge</ability>
      <abilityName>其他知识</abilityName>
      <candidateList>
        <item>〔2015〕179号</item>
      </candidateList>
      <explain>发文字号格式错误。</explain>
      <paraID>6F14DDBA</paraID>
      <start>38</start>
      <end>48</end>
      <status>modified</status>
      <modifiedWord>〔2015〕179号</modifiedWord>
      <trackRevisions>false</trackRevisions>
    </reviewItem>
    <reviewItem>
      <errorID>decfb577-ec93-4e37-aaca-77539cb7a8f5</errorID>
      <errorWord>、</errorWord>
      <group>L1_Word</group>
      <groupName>字词问题</groupName>
      <ability>L2_Typo</ability>
      <abilityName>字词错误</abilityName>
      <candidateList>
        <item>、省</item>
      </candidateList>
      <explain/>
      <paraID>6F14DDBA</paraID>
      <start>54</start>
      <end>56</end>
      <status>modified</status>
      <modifiedWord>、省</modifiedWord>
      <trackRevisions>false</trackRevisions>
    </reviewItem>
    <reviewItem>
      <errorID>40f9a6da-4037-4901-b36f-19c5b9cb524b</errorID>
      <errorWord>〈</errorWord>
      <group>L1_Punc</group>
      <groupName>标点问题</groupName>
      <ability>L2_Punc</ability>
      <abilityName>标点符号检查</abilityName>
      <candidateList/>
      <explain/>
      <paraID>6F14DDBA</paraID>
      <start>89</start>
      <end>90</end>
      <status>unmodified</status>
      <modifiedWord/>
      <trackRevisions>false</trackRevisions>
    </reviewItem>
    <reviewItem>
      <errorID>b051202e-fdcd-4c47-90b8-c535f1763c3b</errorID>
      <errorWord>&gt;的通知》</errorWord>
      <group>L1_Punc</group>
      <groupName>标点问题</groupName>
      <ability>L2_Punc</ability>
      <abilityName>标点符号检查</abilityName>
      <candidateList>
        <item>〉的通知》</item>
      </candidateList>
      <explain/>
      <paraID>6F14DDBA</paraID>
      <start>103</start>
      <end>108</end>
      <status>modified</status>
      <modifiedWord>〉的通知》</modifiedWord>
      <trackRevisions>false</trackRevisions>
    </reviewItem>
    <reviewItem>
      <errorID>b5c343d4-98fd-4720-8b66-29a045938919</errorID>
      <errorWord>[2015] 91号</errorWord>
      <group>L1_Knowledge</group>
      <groupName>知识性问题</groupName>
      <ability>L2_Knowledge</ability>
      <abilityName>其他知识</abilityName>
      <candidateList>
        <item>〔2015〕91号</item>
      </candidateList>
      <explain>发文字号格式错误。</explain>
      <paraID>6F14DDBA</paraID>
      <start>113</start>
      <end>122</end>
      <status>modified</status>
      <modifiedWord>〔2015〕91号</modifiedWord>
      <trackRevisions>false</trackRevisions>
    </reviewItem>
    <reviewItem>
      <errorID>244820a3-a669-4d46-83b5-e3de40b00dc9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57A9A886</paraID>
      <start>0</start>
      <end>2</end>
      <status>modified</status>
      <modifiedWord>1.</modifiedWord>
      <trackRevisions>false</trackRevisions>
    </reviewItem>
    <reviewItem>
      <errorID>edd181fe-13c3-4069-9a3c-d62744090d7c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570C083D</paraID>
      <start>0</start>
      <end>2</end>
      <status>modified</status>
      <modifiedWord>2.</modifiedWord>
      <trackRevisions>false</trackRevisions>
    </reviewItem>
    <reviewItem>
      <errorID>73ab05fb-8b09-417c-9e81-2904328759fa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2248D8BF</paraID>
      <start>0</start>
      <end>2</end>
      <status>modified</status>
      <modifiedWord>3.</modifiedWord>
      <trackRevisions>false</trackRevisions>
    </reviewItem>
    <reviewItem>
      <errorID>1f6883c5-4ece-427d-9a8d-6e373a14bf45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66D781E5</paraID>
      <start>0</start>
      <end>2</end>
      <status>modified</status>
      <modifiedWord>4.</modifiedWord>
      <trackRevisions>false</trackRevisions>
    </reviewItem>
    <reviewItem>
      <errorID>488df4c3-ede1-4941-965d-45f2317bcee5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75FDD4AC</paraID>
      <start>0</start>
      <end>2</end>
      <status>modified</status>
      <modifiedWord>5.</modifiedWord>
      <trackRevisions>false</trackRevisions>
    </reviewItem>
    <reviewItem>
      <errorID>a4501c89-dd2e-4221-b898-d08491a859af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6EDB2B0B</paraID>
      <start>0</start>
      <end>2</end>
      <status>modified</status>
      <modifiedWord>6.</modifiedWord>
      <trackRevisions>false</trackRevisions>
    </reviewItem>
    <reviewItem>
      <errorID>529162bf-a963-47b5-954f-11759698ba1f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645A89D9</paraID>
      <start>0</start>
      <end>2</end>
      <status>modified</status>
      <modifiedWord>7.</modifiedWord>
      <trackRevisions>false</trackRevisions>
    </reviewItem>
    <reviewItem>
      <errorID>5bbecd82-1e25-42f3-b511-4bb5348a53e0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7C1A0B74</paraID>
      <start>0</start>
      <end>2</end>
      <status>modified</status>
      <modifiedWord>8.</modifiedWord>
      <trackRevisions>false</trackRevisions>
    </reviewItem>
    <reviewItem>
      <errorID>96e30b49-86d9-4b84-a3a0-bccb3cb67fb4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48A831C1</paraID>
      <start>0</start>
      <end>2</end>
      <status>modified</status>
      <modifiedWord>9.</modifiedWord>
      <trackRevisions>false</trackRevisions>
    </reviewItem>
    <reviewItem>
      <errorID>4bb9268f-639c-41e0-818d-9735dd8b08f4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6F528718</paraID>
      <start>0</start>
      <end>3</end>
      <status>modified</status>
      <modifiedWord>10.</modifiedWord>
      <trackRevisions>false</trackRevisions>
    </reviewItem>
    <reviewItem>
      <errorID>274f24c7-176c-415d-9146-63d79d2905ab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DD6C118</paraID>
      <start>0</start>
      <end>2</end>
      <status>modified</status>
      <modifiedWord>1.</modifiedWord>
      <trackRevisions>false</trackRevisions>
    </reviewItem>
    <reviewItem>
      <errorID>87410e79-7f3f-4261-bea0-31e80d3310c2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84EF764</paraID>
      <start>0</start>
      <end>2</end>
      <status>modified</status>
      <modifiedWord>2.</modifiedWord>
      <trackRevisions>false</trackRevisions>
    </reviewItem>
    <reviewItem>
      <errorID>9f9c2af9-b2cb-49e1-8993-493e4649fec3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327E944D</paraID>
      <start>0</start>
      <end>2</end>
      <status>modified</status>
      <modifiedWord>4.</modifiedWord>
      <trackRevisions>false</trackRevisions>
    </reviewItem>
    <reviewItem>
      <errorID>0b7f5d03-64e6-4979-8ae7-c370548131f4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41958FAA</paraID>
      <start>0</start>
      <end>2</end>
      <status>modified</status>
      <modifiedWord>5.</modifiedWord>
      <trackRevisions>false</trackRevisions>
    </reviewItem>
    <reviewItem>
      <errorID>f6d99c00-5928-4619-8552-24446dc54035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28ECFB64</paraID>
      <start>0</start>
      <end>2</end>
      <status>modified</status>
      <modifiedWord>6.</modifiedWord>
      <trackRevisions>false</trackRevisions>
    </reviewItem>
    <reviewItem>
      <errorID>eefcf140-999f-4e31-8aab-6251db9a619c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6EB2CA48</paraID>
      <start>0</start>
      <end>2</end>
      <status>modified</status>
      <modifiedWord>7.</modifiedWord>
      <trackRevisions>false</trackRevisions>
    </reviewItem>
    <reviewItem>
      <errorID>045ee597-4629-4c36-b7da-52affce09573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4744B2C5</paraID>
      <start>0</start>
      <end>2</end>
      <status>modified</status>
      <modifiedWord>8.</modifiedWord>
      <trackRevisions>false</trackRevisions>
    </reviewItem>
    <reviewItem>
      <errorID>6d3a3aac-c569-4dd9-a733-c6b628fd6eac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3EE72964</paraID>
      <start>0</start>
      <end>2</end>
      <status>modified</status>
      <modifiedWord>9.</modifiedWord>
      <trackRevisions>false</trackRevisions>
    </reviewItem>
    <reviewItem>
      <errorID>6ece2af3-c13b-4e1a-b84a-006510d14685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30D0AFA0</paraID>
      <start>0</start>
      <end>3</end>
      <status>modified</status>
      <modifiedWord>10.</modifiedWord>
      <trackRevisions>false</trackRevisions>
    </reviewItem>
    <reviewItem>
      <errorID>09bfbf02-4142-43e3-a984-96b19355be81</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30D0AFA0</paraID>
      <start>9</start>
      <end>29</end>
      <status>modified</status>
      <modifiedWord>《产业结构调整指导目录（2024年本）》</modifiedWord>
      <trackRevisions>false</trackRevisions>
    </reviewItem>
    <reviewItem>
      <errorID>8e214ae2-c436-4a0a-bf97-e827e1c65c68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1E7ED179</paraID>
      <start>0</start>
      <end>2</end>
      <status>modified</status>
      <modifiedWord>1.</modifiedWord>
      <trackRevisions>false</trackRevisions>
    </reviewItem>
    <reviewItem>
      <errorID>325ffee3-3f72-41a9-8d08-8c3dca163beb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32121266</paraID>
      <start>0</start>
      <end>2</end>
      <status>modified</status>
      <modifiedWord>2.</modifiedWord>
      <trackRevisions>false</trackRevisions>
    </reviewItem>
    <reviewItem>
      <errorID>0e71d705-b214-4d11-a8c1-e6a8db16e0e8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53D91DD6</paraID>
      <start>0</start>
      <end>2</end>
      <status>modified</status>
      <modifiedWord>3.</modifiedWord>
      <trackRevisions>false</trackRevisions>
    </reviewItem>
    <reviewItem>
      <errorID>7c21975d-bcbc-42cc-95db-185dcbb88d9c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1E0AB939</paraID>
      <start>0</start>
      <end>2</end>
      <status>modified</status>
      <modifiedWord>4.</modifiedWord>
      <trackRevisions>false</trackRevisions>
    </reviewItem>
    <reviewItem>
      <errorID>a46d5412-7cca-41a8-8183-ddad443fb462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628A8E6D</paraID>
      <start>0</start>
      <end>2</end>
      <status>modified</status>
      <modifiedWord>5.</modifiedWord>
      <trackRevisions>false</trackRevisions>
    </reviewItem>
    <reviewItem>
      <errorID>96263871-76b7-4f08-9197-c54155667224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6B2427B4</paraID>
      <start>0</start>
      <end>2</end>
      <status>modified</status>
      <modifiedWord>1.</modifiedWord>
      <trackRevisions>false</trackRevisions>
    </reviewItem>
    <reviewItem>
      <errorID>d4996db9-c9be-46fb-b68d-2aa340b73c7d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5784474F</paraID>
      <start>0</start>
      <end>2</end>
      <status>modified</status>
      <modifiedWord>2.</modifiedWord>
      <trackRevisions>false</trackRevisions>
    </reviewItem>
    <reviewItem>
      <errorID>5d8d69a9-2753-4105-b549-72985903c2ce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62240D57</paraID>
      <start>0</start>
      <end>2</end>
      <status>modified</status>
      <modifiedWord>3.</modifiedWord>
      <trackRevisions>false</trackRevisions>
    </reviewItem>
    <reviewItem>
      <errorID>197e0cfb-feda-455c-b640-04d0b4381679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1B23C51D</paraID>
      <start>0</start>
      <end>2</end>
      <status>modified</status>
      <modifiedWord>4.</modifiedWord>
      <trackRevisions>false</trackRevisions>
    </reviewItem>
    <reviewItem>
      <errorID>788c5209-cd7d-40a5-b89f-ba3802fc1890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4A2B20E3</paraID>
      <start>0</start>
      <end>2</end>
      <status>modified</status>
      <modifiedWord>5.</modifiedWord>
      <trackRevisions>false</trackRevisions>
    </reviewItem>
    <reviewItem>
      <errorID>d7fb2ca2-55d9-4cad-b4b6-17903de2e6c7</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4A2B20E3</paraID>
      <start>25</start>
      <end>27</end>
      <status>modified</status>
      <modifiedWord>进行</modifiedWord>
      <trackRevisions>false</trackRevisions>
    </reviewItem>
    <reviewItem>
      <errorID>69eccaf1-661a-4ba4-8330-0caeac57591d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79CA0AA5</paraID>
      <start>0</start>
      <end>2</end>
      <status>modified</status>
      <modifiedWord>1.</modifiedWord>
      <trackRevisions>false</trackRevisions>
    </reviewItem>
    <reviewItem>
      <errorID>91edbd87-a34d-424c-b0ef-131e10143ce5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272BF05A</paraID>
      <start>0</start>
      <end>2</end>
      <status>modified</status>
      <modifiedWord>2.</modifiedWord>
      <trackRevisions>false</trackRevisions>
    </reviewItem>
    <reviewItem>
      <errorID>4de1c97f-2701-45b1-a115-45c316f776bd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700DDB8E</paraID>
      <start>0</start>
      <end>2</end>
      <status>modified</status>
      <modifiedWord>3.</modifiedWord>
      <trackRevisions>false</trackRevisions>
    </reviewItem>
    <reviewItem>
      <errorID>522427b4-45bc-4007-8fa1-2fe84b7633a8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31D49BF0</paraID>
      <start>0</start>
      <end>2</end>
      <status>modified</status>
      <modifiedWord>4.</modifiedWord>
      <trackRevisions>false</trackRevisions>
    </reviewItem>
    <reviewItem>
      <errorID>5d466b8f-d032-4703-8287-73d4ed3b2a14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72EE82E0</paraID>
      <start>0</start>
      <end>2</end>
      <status>modified</status>
      <modifiedWord>5.</modifiedWord>
      <trackRevisions>false</trackRevisions>
    </reviewItem>
    <reviewItem>
      <errorID>fb188f6b-5d3d-4a22-9830-9aa64dd4c49b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25D0FF5B</paraID>
      <start>0</start>
      <end>2</end>
      <status>modified</status>
      <modifiedWord>1.</modifiedWord>
      <trackRevisions>false</trackRevisions>
    </reviewItem>
    <reviewItem>
      <errorID>5574759c-1c7a-4129-8cd2-f99d591c850e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1D7FE750</paraID>
      <start>0</start>
      <end>2</end>
      <status>modified</status>
      <modifiedWord>2.</modifiedWord>
      <trackRevisions>false</trackRevisions>
    </reviewItem>
    <reviewItem>
      <errorID>e8a4efb1-a01b-4cc4-9f87-6d6ffdb912e3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4A60B3A2</paraID>
      <start>0</start>
      <end>2</end>
      <status>modified</status>
      <modifiedWord>3.</modifiedWord>
      <trackRevisions>false</trackRevisions>
    </reviewItem>
    <reviewItem>
      <errorID>cb5f6c75-04e7-4064-8c3e-cc0b678e6f5e</errorID>
      <errorWord>耗水上</errorWord>
      <group>L1_Word</group>
      <groupName>字词问题</groupName>
      <ability>L2_Typo</ability>
      <abilityName>字词错误</abilityName>
      <candidateList>
        <item>耗水</item>
      </candidateList>
      <explain/>
      <paraID>4A60B3A2</paraID>
      <start>9</start>
      <end>11</end>
      <status>modified</status>
      <modifiedWord>耗水</modifiedWord>
      <trackRevisions>false</trackRevisions>
    </reviewItem>
    <reviewItem>
      <errorID>2ee9f001-5600-47e1-84da-7066d84664c9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229DF30C</paraID>
      <start>0</start>
      <end>2</end>
      <status>modified</status>
      <modifiedWord>4.</modifiedWord>
      <trackRevisions>false</trackRevisions>
    </reviewItem>
    <reviewItem>
      <errorID>c8b4a943-4a23-4d0b-939e-a892740e09a3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1F85CBE3</paraID>
      <start>0</start>
      <end>2</end>
      <status>modified</status>
      <modifiedWord>5.</modifiedWord>
      <trackRevisions>false</trackRevisions>
    </reviewItem>
    <reviewItem>
      <errorID>7f34f84a-dbb6-4c2c-8d30-4ba55d7b26ae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61B833B6</paraID>
      <start>0</start>
      <end>2</end>
      <status>modified</status>
      <modifiedWord>4.</modifiedWord>
      <trackRevisions>false</trackRevisions>
    </reviewItem>
    <reviewItem>
      <errorID>860e5aaa-c242-45aa-92fa-cb1af8b792c0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61B833B6</paraID>
      <start>16</start>
      <end>18</end>
      <status>modified</status>
      <modifiedWord>》《</modifiedWord>
      <trackRevisions>false</trackRevisions>
    </reviewItem>
    <reviewItem>
      <errorID>3eda3d0f-25f9-4ba2-b04d-afe64f26c887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61B833B6</paraID>
      <start>42</start>
      <end>44</end>
      <status>modified</status>
      <modifiedWord>》《</modifiedWord>
      <trackRevisions>false</trackRevisions>
    </reviewItem>
    <reviewItem>
      <errorID>7623a83c-d1b4-4c74-b8b1-f89655c2ca21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90C9C37</paraID>
      <start>28</start>
      <end>30</end>
      <status>modified</status>
      <modifiedWord>》《</modifiedWord>
      <trackRevisions>false</trackRevisions>
    </reviewItem>
    <reviewItem>
      <errorID>d8b2ae6c-30af-45ad-a881-32e0903dc9f2</errorID>
      <errorWord>（</errorWord>
      <group>L1_Punc</group>
      <groupName>标点问题</groupName>
      <ability>L2_Punc</ability>
      <abilityName>标点符号检查</abilityName>
      <candidateList/>
      <explain/>
      <paraID> 90C9C37</paraID>
      <start>43</start>
      <end>44</end>
      <status>unmodified</status>
      <modifiedWord/>
      <trackRevisions>false</trackRevisions>
    </reviewItem>
    <reviewItem>
      <errorID>af2a85d6-0298-4a60-b400-273493d5fde3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90C9C37</paraID>
      <start>53</start>
      <end>55</end>
      <status>modified</status>
      <modifiedWord>》《</modifiedWord>
      <trackRevisions>false</trackRevisions>
    </reviewItem>
    <reviewItem>
      <errorID>79cdd239-29cb-455c-8507-9abba9231b96</errorID>
      <errorWord>（</errorWord>
      <group>L1_Punc</group>
      <groupName>标点问题</groupName>
      <ability>L2_Punc</ability>
      <abilityName>标点符号检查</abilityName>
      <candidateList/>
      <explain/>
      <paraID>5D03EE7D</paraID>
      <start>17</start>
      <end>18</end>
      <status>unmodified</status>
      <modifiedWord/>
      <trackRevisions>false</trackRevisions>
    </reviewItem>
    <reviewItem>
      <errorID>3dc5583b-dbfa-44bc-9f16-a5b78b298919</errorID>
      <errorWord>,</errorWord>
      <group>L1_Format</group>
      <groupName>格式问题</groupName>
      <ability>L2_HalfPunc</ability>
      <abilityName>全半角检查</abilityName>
      <candidateList>
        <item>，</item>
      </candidateList>
      <explain>文本全半角错误。</explain>
      <paraID> 5D4DB6C</paraID>
      <start>47</start>
      <end>48</end>
      <status>modified</status>
      <modifiedWord>，</modifiedWord>
      <trackRevisions>false</trackRevisions>
    </reviewItem>
    <reviewItem>
      <errorID>6a3b82c5-0241-4312-80bc-770c0bcfe35c</errorID>
      <errorWord>保护区的</errorWord>
      <group>L1_Word</group>
      <groupName>字词问题</groupName>
      <ability>L2_Typo</ability>
      <abilityName>字词错误</abilityName>
      <candidateList>
        <item>保护区</item>
      </candidateList>
      <explain/>
      <paraID>3D93F3E6</paraID>
      <start>11</start>
      <end>14</end>
      <status>modified</status>
      <modifiedWord>保护区</modifiedWord>
      <trackRevisions>false</trackRevisions>
    </reviewItem>
    <reviewItem>
      <errorID>d4a75b5b-c10d-48d3-b316-3cc00e89b6d2</errorID>
      <errorWord>保护区的</errorWord>
      <group>L1_Word</group>
      <groupName>字词问题</groupName>
      <ability>L2_Typo</ability>
      <abilityName>字词错误</abilityName>
      <candidateList>
        <item>保护区</item>
      </candidateList>
      <explain/>
      <paraID>4C58D942</paraID>
      <start>99</start>
      <end>102</end>
      <status>modified</status>
      <modifiedWord>保护区</modifiedWord>
      <trackRevisions>false</trackRevisions>
    </reviewItem>
    <reviewItem>
      <errorID>74573903-1411-4e95-b7e5-c807fc0dc608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70F56633</paraID>
      <start>21</start>
      <end>23</end>
      <status>modified</status>
      <modifiedWord>》《</modifiedWord>
      <trackRevisions>false</trackRevisions>
    </reviewItem>
    <reviewItem>
      <errorID>a2a9ab83-3bd2-4ae9-ae31-02702af5e679</errorID>
      <errorWord>（</errorWord>
      <group>L1_Punc</group>
      <groupName>标点问题</groupName>
      <ability>L2_Punc</ability>
      <abilityName>标点符号检查</abilityName>
      <candidateList/>
      <explain/>
      <paraID>70F56633</paraID>
      <start>36</start>
      <end>37</end>
      <status>unmodified</status>
      <modifiedWord/>
      <trackRevisions>false</trackRevisions>
    </reviewItem>
    <reviewItem>
      <errorID>2e0f1475-e784-40fe-a518-2e50de8d9162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70F56633</paraID>
      <start>46</start>
      <end>48</end>
      <status>modified</status>
      <modifiedWord>》《</modifiedWord>
      <trackRevisions>false</trackRevisions>
    </reviewItem>
    <reviewItem>
      <errorID>323ce43d-d581-43b2-b4a1-b4cb02efb7d2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62068E53</paraID>
      <start>0</start>
      <end>2</end>
      <status>modified</status>
      <modifiedWord>5.</modifiedWord>
      <trackRevisions>false</trackRevisions>
    </reviewItem>
    <reviewItem>
      <errorID>5e6c71d6-542a-4d66-a3bd-ae207f8db22a</errorID>
      <errorWord>[2021]19号</errorWord>
      <group>L1_Knowledge</group>
      <groupName>知识性问题</groupName>
      <ability>L2_Knowledge</ability>
      <abilityName>其他知识</abilityName>
      <candidateList>
        <item>〔2021〕19号</item>
      </candidateList>
      <explain>发文字号格式错误。</explain>
      <paraID>62068E53</paraID>
      <start>56</start>
      <end>65</end>
      <status>modified</status>
      <modifiedWord>〔2021〕19号</modifiedWord>
      <trackRevisions>false</trackRevisions>
    </reviewItem>
    <reviewItem>
      <errorID>2a5e6119-8bb9-460c-bf73-7892eb309cb1</errorID>
      <errorWord>[2021]19号</errorWord>
      <group>L1_Knowledge</group>
      <groupName>知识性问题</groupName>
      <ability>L2_Knowledge</ability>
      <abilityName>其他知识</abilityName>
      <candidateList>
        <item>〔2021〕19号</item>
      </candidateList>
      <explain>发文字号格式错误。</explain>
      <paraID>79632AAF</paraID>
      <start>57</start>
      <end>66</end>
      <status>modified</status>
      <modifiedWord>〔2021〕19号</modifiedWord>
      <trackRevisions>false</trackRevisions>
    </reviewItem>
    <reviewItem>
      <errorID>4eea05fd-6019-4efb-b564-2794c806d93c</errorID>
      <errorWord>[2021]19号</errorWord>
      <group>L1_Knowledge</group>
      <groupName>知识性问题</groupName>
      <ability>L2_Knowledge</ability>
      <abilityName>其他知识</abilityName>
      <candidateList>
        <item>〔2021〕19号</item>
      </candidateList>
      <explain>发文字号格式错误。</explain>
      <paraID>3E6DF261</paraID>
      <start>8</start>
      <end>17</end>
      <status>modified</status>
      <modifiedWord>〔2021〕19号</modifiedWord>
      <trackRevisions>false</trackRevisions>
    </reviewItem>
    <reviewItem>
      <errorID>17359f94-8c04-4cb5-8677-87846440270a</errorID>
      <errorWord>[2021]19号</errorWord>
      <group>L1_Knowledge</group>
      <groupName>知识性问题</groupName>
      <ability>L2_Knowledge</ability>
      <abilityName>其他知识</abilityName>
      <candidateList>
        <item>〔2021〕19号</item>
      </candidateList>
      <explain>发文字号格式错误。</explain>
      <paraID>69591C60</paraID>
      <start>64</start>
      <end>73</end>
      <status>modified</status>
      <modifiedWord>〔2021〕19号</modifiedWord>
      <trackRevisions>false</trackRevisions>
    </reviewItem>
    <reviewItem>
      <errorID>a349f99a-39b3-42f7-9c72-d02bf1783d21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7E77E388</paraID>
      <start>0</start>
      <end>2</end>
      <status>modified</status>
      <modifiedWord>6.</modifiedWord>
      <trackRevisions>false</trackRevisions>
    </reviewItem>
    <reviewItem>
      <errorID>5671a519-7eb5-472c-b5f3-a8ce3e8eba01</errorID>
      <errorWord>[2022]37号</errorWord>
      <group>L1_Knowledge</group>
      <groupName>知识性问题</groupName>
      <ability>L2_Knowledge</ability>
      <abilityName>其他知识</abilityName>
      <candidateList>
        <item>〔2022〕37号</item>
      </candidateList>
      <explain>发文字号格式错误。</explain>
      <paraID>7E77E388</paraID>
      <start>28</start>
      <end>37</end>
      <status>modified</status>
      <modifiedWord>〔2022〕37号</modifiedWord>
      <trackRevisions>false</trackRevisions>
    </reviewItem>
    <reviewItem>
      <errorID>4e0a5804-6215-4494-b99f-d4aa2bee0f7a</errorID>
      <errorWord>[2022]37号</errorWord>
      <group>L1_Knowledge</group>
      <groupName>知识性问题</groupName>
      <ability>L2_Knowledge</ability>
      <abilityName>其他知识</abilityName>
      <candidateList>
        <item>〔2022〕37号</item>
      </candidateList>
      <explain>发文字号格式错误。</explain>
      <paraID>14826AB6</paraID>
      <start>29</start>
      <end>38</end>
      <status>modified</status>
      <modifiedWord>〔2022〕37号</modifiedWord>
      <trackRevisions>false</trackRevisions>
    </reviewItem>
    <reviewItem>
      <errorID>eb48e7a6-93ce-49f7-8809-64e968fcd663</errorID>
      <errorWord>[2022]37号</errorWord>
      <group>L1_Knowledge</group>
      <groupName>知识性问题</groupName>
      <ability>L2_Knowledge</ability>
      <abilityName>其他知识</abilityName>
      <candidateList>
        <item>〔2022〕37号</item>
      </candidateList>
      <explain>发文字号格式错误。</explain>
      <paraID>20CEF117</paraID>
      <start>12</start>
      <end>21</end>
      <status>modified</status>
      <modifiedWord>〔2022〕37号</modifiedWord>
      <trackRevisions>false</trackRevisions>
    </reviewItem>
    <reviewItem>
      <errorID>0d90094c-7308-48f2-9b0a-639ea1021e4f</errorID>
      <errorWord>[2022]37号</errorWord>
      <group>L1_Knowledge</group>
      <groupName>知识性问题</groupName>
      <ability>L2_Knowledge</ability>
      <abilityName>其他知识</abilityName>
      <candidateList>
        <item>〔2022〕37号</item>
      </candidateList>
      <explain>发文字号格式错误。</explain>
      <paraID>43903EC8</paraID>
      <start>4</start>
      <end>13</end>
      <status>modified</status>
      <modifiedWord>〔2022〕37号</modifiedWord>
      <trackRevisions>false</trackRevisions>
    </reviewItem>
    <reviewItem>
      <errorID>ac6f8ab7-26fc-401c-a8ba-6026be9af9e4</errorID>
      <errorWord>[2022]37号</errorWord>
      <group>L1_Knowledge</group>
      <groupName>知识性问题</groupName>
      <ability>L2_Knowledge</ability>
      <abilityName>其他知识</abilityName>
      <candidateList>
        <item>〔2022〕37号</item>
      </candidateList>
      <explain>发文字号格式错误。</explain>
      <paraID>741B954C</paraID>
      <start>36</start>
      <end>45</end>
      <status>modified</status>
      <modifiedWord>〔2022〕37号</modifiedWord>
      <trackRevisions>false</trackRevisions>
    </reviewItem>
    <reviewItem>
      <errorID>5ae3748b-2294-44a3-bdb9-c2867159dfec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63964AD1</paraID>
      <start>0</start>
      <end>2</end>
      <status>modified</status>
      <modifiedWord>7.</modifiedWord>
      <trackRevisions>false</trackRevisions>
    </reviewItem>
    <reviewItem>
      <errorID>d801e8c0-a1c6-47bc-9bb2-c04f601f7433</errorID>
      <errorWord>[2022]12号</errorWord>
      <group>L1_Knowledge</group>
      <groupName>知识性问题</groupName>
      <ability>L2_Knowledge</ability>
      <abilityName>其他知识</abilityName>
      <candidateList>
        <item>〔2022〕12号</item>
      </candidateList>
      <explain>发文字号格式错误。</explain>
      <paraID>63964AD1</paraID>
      <start>25</start>
      <end>34</end>
      <status>modified</status>
      <modifiedWord>〔2022〕12号</modifiedWord>
      <trackRevisions>false</trackRevisions>
    </reviewItem>
    <reviewItem>
      <errorID>b4a90c0c-3736-4741-88c6-dd4577e02aaf</errorID>
      <errorWord>安徽省个</errorWord>
      <group>L1_Word</group>
      <groupName>字词问题</groupName>
      <ability>L2_Typo</ability>
      <abilityName>字词错误</abilityName>
      <candidateList>
        <item>安徽省</item>
      </candidateList>
      <explain/>
      <paraID>4AAAECAA</paraID>
      <start>5</start>
      <end>8</end>
      <status>modified</status>
      <modifiedWord>安徽省</modifiedWord>
      <trackRevisions>false</trackRevisions>
    </reviewItem>
    <reviewItem>
      <errorID>536cb781-458b-444f-8485-5f45dca3fa40</errorID>
      <errorWord>[2022]12号</errorWord>
      <group>L1_Knowledge</group>
      <groupName>知识性问题</groupName>
      <ability>L2_Knowledge</ability>
      <abilityName>其他知识</abilityName>
      <candidateList>
        <item>〔2022〕12号</item>
      </candidateList>
      <explain>发文字号格式错误。</explain>
      <paraID>4AAAECAA</paraID>
      <start>26</start>
      <end>35</end>
      <status>modified</status>
      <modifiedWord>〔2022〕12号</modifiedWord>
      <trackRevisions>false</trackRevisions>
    </reviewItem>
    <reviewItem>
      <errorID>5c8f9869-0199-41f3-abea-58a715ed82d8</errorID>
      <errorWord>[2022]12号</errorWord>
      <group>L1_Knowledge</group>
      <groupName>知识性问题</groupName>
      <ability>L2_Knowledge</ability>
      <abilityName>其他知识</abilityName>
      <candidateList>
        <item>〔2022〕12号</item>
      </candidateList>
      <explain>发文字号格式错误。</explain>
      <paraID>52EAC1F9</paraID>
      <start>11</start>
      <end>20</end>
      <status>modified</status>
      <modifiedWord>〔2022〕12号</modifiedWord>
      <trackRevisions>false</trackRevisions>
    </reviewItem>
    <reviewItem>
      <errorID>538ba1ed-fba8-41ee-a9dd-03b36ace6d02</errorID>
      <errorWord>[2022]12号</errorWord>
      <group>L1_Knowledge</group>
      <groupName>知识性问题</groupName>
      <ability>L2_Knowledge</ability>
      <abilityName>其他知识</abilityName>
      <candidateList>
        <item>〔2022〕12号</item>
      </candidateList>
      <explain>发文字号格式错误。</explain>
      <paraID>32629013</paraID>
      <start>3</start>
      <end>12</end>
      <status>modified</status>
      <modifiedWord>〔2022〕12号</modifiedWord>
      <trackRevisions>false</trackRevisions>
    </reviewItem>
    <reviewItem>
      <errorID>7329a023-4c70-4918-9fcc-6bf24b705158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5DD07CE5</paraID>
      <start>22</start>
      <end>24</end>
      <status>modified</status>
      <modifiedWord>》《</modifiedWord>
      <trackRevisions>false</trackRevisions>
    </reviewItem>
    <reviewItem>
      <errorID>00513989-c76d-4458-b417-8d4444f298c7</errorID>
      <errorWord>安徽省个</errorWord>
      <group>L1_Word</group>
      <groupName>字词问题</groupName>
      <ability>L2_Typo</ability>
      <abilityName>字词错误</abilityName>
      <candidateList>
        <item>安徽省</item>
      </candidateList>
      <explain/>
      <paraID>13CB4CB1</paraID>
      <start>12</start>
      <end>15</end>
      <status>modified</status>
      <modifiedWord>安徽省</modifiedWord>
      <trackRevisions>false</trackRevisions>
    </reviewItem>
    <reviewItem>
      <errorID>ac47759b-811b-445e-8718-5d7f9d3b1220</errorID>
      <errorWord>[2022]12号</errorWord>
      <group>L1_Knowledge</group>
      <groupName>知识性问题</groupName>
      <ability>L2_Knowledge</ability>
      <abilityName>其他知识</abilityName>
      <candidateList>
        <item>〔2022〕12号</item>
      </candidateList>
      <explain>发文字号格式错误。</explain>
      <paraID>13CB4CB1</paraID>
      <start>33</start>
      <end>42</end>
      <status>modified</status>
      <modifiedWord>〔2022〕12号</modifiedWord>
      <trackRevisions>false</trackRevisions>
    </reviewItem>
    <reviewItem>
      <errorID>e918ae17-ea1b-48f9-9baf-baadeac2d498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7FE384FE</paraID>
      <start>0</start>
      <end>2</end>
      <status>modified</status>
      <modifiedWord>8.</modifiedWord>
      <trackRevisions>false</trackRevisions>
    </reviewItem>
    <reviewItem>
      <errorID>db9db44b-253c-4ae4-8f57-03f67dcad207</errorID>
      <errorWord>芯的</errorWord>
      <group>L1_Word</group>
      <groupName>字词问题</groupName>
      <ability>L2_Typo</ability>
      <abilityName>字词错误</abilityName>
      <candidateList>
        <item>芯</item>
      </candidateList>
      <explain/>
      <paraID>2ECD207E</paraID>
      <start>62</start>
      <end>64</end>
      <status>ignored</status>
      <modifiedWord/>
      <trackRevisions>false</trackRevisions>
    </reviewItem>
    <reviewItem>
      <errorID>73f9ea0f-b274-4e4c-a503-3df96203ce29</errorID>
      <errorWord>（</errorWord>
      <group>L1_Punc</group>
      <groupName>标点问题</groupName>
      <ability>L2_Punc</ability>
      <abilityName>标点符号检查</abilityName>
      <candidateList/>
      <explain>同一形式括号套用。</explain>
      <paraID>452C8315</paraID>
      <start>62</start>
      <end>63</end>
      <status>unmodified</status>
      <modifiedWord/>
      <trackRevisions>false</trackRevisions>
    </reviewItem>
    <reviewItem>
      <errorID>4e4fb313-1198-4341-b3db-9b3e26e63ccf</errorID>
      <errorWord>）</errorWord>
      <group>L1_Punc</group>
      <groupName>标点问题</groupName>
      <ability>L2_Punc</ability>
      <abilityName>标点符号检查</abilityName>
      <candidateList/>
      <explain>同一形式括号套用。</explain>
      <paraID>452C8315</paraID>
      <start>65</start>
      <end>66</end>
      <status>unmodified</status>
      <modifiedWord/>
      <trackRevisions>false</trackRevisions>
    </reviewItem>
    <reviewItem>
      <errorID>b8cfb961-223b-41fe-a385-e74315a0018b</errorID>
      <errorWord>-</errorWord>
      <group>L1_Format</group>
      <groupName>格式问题</groupName>
      <ability>L2_HalfPunc</ability>
      <abilityName>全半角检查</abilityName>
      <candidateList>
        <item>－</item>
      </candidateList>
      <explain>文本全半角错误。</explain>
      <paraID>452C8315</paraID>
      <start>66</start>
      <end>67</end>
      <status>modified</status>
      <modifiedWord>－</modifiedWord>
      <trackRevisions>false</trackRevisions>
    </reviewItem>
    <reviewItem>
      <errorID>f3414332-1d5e-4702-b784-011b6149f889</errorID>
      <errorWord>见有</errorWord>
      <group>L1_Word</group>
      <groupName>字词问题</groupName>
      <ability>L2_Typo</ability>
      <abilityName>字词错误</abilityName>
      <candidateList>
        <item>建有</item>
      </candidateList>
      <explain>存在发音相同字词的误用。</explain>
      <paraID> A86AE9F</paraID>
      <start>2</start>
      <end>4</end>
      <status>modified</status>
      <modifiedWord>建有</modifiedWord>
      <trackRevisions>false</trackRevisions>
    </reviewItem>
    <reviewItem>
      <errorID>af52718b-fa4b-4270-a020-66cea91407e7</errorID>
      <errorWord>[2016]72号</errorWord>
      <group>L1_Knowledge</group>
      <groupName>知识性问题</groupName>
      <ability>L2_Knowledge</ability>
      <abilityName>其他知识</abilityName>
      <candidateList>
        <item>〔2016〕72号</item>
      </candidateList>
      <explain>发文字号格式错误。</explain>
      <paraID>36E8C226</paraID>
      <start>95</start>
      <end>104</end>
      <status>modified</status>
      <modifiedWord>〔2016〕72号</modifiedWord>
      <trackRevisions>false</trackRevisions>
    </reviewItem>
    <reviewItem>
      <errorID>2f74ebef-b7a8-495a-b5e8-5fbd0a1fc32c</errorID>
      <errorWord>[2017]31号</errorWord>
      <group>L1_Knowledge</group>
      <groupName>知识性问题</groupName>
      <ability>L2_Knowledge</ability>
      <abilityName>其他知识</abilityName>
      <candidateList>
        <item>〔2017〕31号</item>
      </candidateList>
      <explain>发文字号格式错误。</explain>
      <paraID>36E8C226</paraID>
      <start>229</start>
      <end>238</end>
      <status>modified</status>
      <modifiedWord>〔2017〕31号</modifiedWord>
      <trackRevisions>false</trackRevisions>
    </reviewItem>
    <reviewItem>
      <errorID>ab20eb74-d8df-48ca-a910-df27f3c3c7a6</errorID>
      <errorWord>吨吨</errorWord>
      <group>L1_Word</group>
      <groupName>字词问题</groupName>
      <ability>L2_Typo</ability>
      <abilityName>字词错误</abilityName>
      <candidateList>
        <item>吨</item>
      </candidateList>
      <explain/>
      <paraID>36E8C226</paraID>
      <start>276</start>
      <end>277</end>
      <status>modified</status>
      <modifiedWord>吨</modifiedWord>
      <trackRevisions>false</trackRevisions>
    </reviewItem>
    <reviewItem>
      <errorID>75097100-bfe9-4357-ab69-bd87bf58490a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45121B1B</paraID>
      <start>17</start>
      <end>19</end>
      <status>modified</status>
      <modifiedWord>》《</modifiedWord>
      <trackRevisions>false</trackRevisions>
    </reviewItem>
    <reviewItem>
      <errorID>125ba2dd-49ad-470e-add6-ba8502701cd3</errorID>
      <errorWord>-</errorWord>
      <group>L1_Format</group>
      <groupName>格式问题</groupName>
      <ability>L2_HalfPunc</ability>
      <abilityName>全半角检查</abilityName>
      <candidateList>
        <item>－</item>
      </candidateList>
      <explain>文本全半角错误。</explain>
      <paraID>45121B1B</paraID>
      <start>94</start>
      <end>95</end>
      <status>modified</status>
      <modifiedWord>－</modifiedWord>
      <trackRevisions>false</trackRevisions>
    </reviewItem>
    <reviewItem>
      <errorID>2c8d9a17-7df9-4e63-9a9f-4dee83886e48</errorID>
      <errorWord>-</errorWord>
      <group>L1_Format</group>
      <groupName>格式问题</groupName>
      <ability>L2_HalfPunc</ability>
      <abilityName>全半角检查</abilityName>
      <candidateList>
        <item>－</item>
      </candidateList>
      <explain>文本全半角错误。</explain>
      <paraID>45121B1B</paraID>
      <start>110</start>
      <end>111</end>
      <status>modified</status>
      <modifiedWord>－</modifiedWord>
      <trackRevisions>false</trackRevisions>
    </reviewItem>
    <reviewItem>
      <errorID>d3904217-e995-4de5-9cd3-c6f6355a1cdc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45121B1B</paraID>
      <start>157</start>
      <end>159</end>
      <status>modified</status>
      <modifiedWord>》《</modifiedWord>
      <trackRevisions>false</trackRevisions>
    </reviewItem>
    <reviewItem>
      <errorID>72174748-e1fa-403f-a16e-33e9412b4a6a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15A60FB8</paraID>
      <start>17</start>
      <end>19</end>
      <status>modified</status>
      <modifiedWord>》《</modifiedWord>
      <trackRevisions>false</trackRevisions>
    </reviewItem>
    <reviewItem>
      <errorID>ee756da2-6b17-4728-af4d-b1af0f143052</errorID>
      <errorWord>》</errorWord>
      <group>L1_Word</group>
      <groupName>字词问题</groupName>
      <ability>L2_Typo</ability>
      <abilityName>字词错误</abilityName>
      <candidateList>
        <item>》第</item>
      </candidateList>
      <explain/>
      <paraID>41DE9F08</paraID>
      <start>26</start>
      <end>28</end>
      <status>modified</status>
      <modifiedWord>》第</modifiedWord>
      <trackRevisions>false</trackRevisions>
    </reviewItem>
    <reviewItem>
      <errorID>406fcba8-1100-429a-b4f1-a3f25ca48631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89ABF46</paraID>
      <start>0</start>
      <end>2</end>
      <status>modified</status>
      <modifiedWord>2.</modifiedWord>
      <trackRevisions>false</trackRevisions>
    </reviewItem>
    <reviewItem>
      <errorID>b042c338-3a00-4567-b4a8-096d62c66371</errorID>
      <errorWord>线线</errorWord>
      <group>L1_Word</group>
      <groupName>字词问题</groupName>
      <ability>L2_Typo</ability>
      <abilityName>字词错误</abilityName>
      <candidateList>
        <item>线</item>
      </candidateList>
      <explain/>
      <paraID> DED4F9E</paraID>
      <start>43</start>
      <end>44</end>
      <status>modified</status>
      <modifiedWord>线</modifiedWord>
      <trackRevisions>false</trackRevisions>
    </reviewItem>
    <reviewItem>
      <errorID>1dea3811-62a3-4eef-895e-4af9b28c2097</errorID>
      <errorWord>供水官</errorWord>
      <group>L1_Word</group>
      <groupName>字词问题</groupName>
      <ability>L2_Typo</ability>
      <abilityName>字词错误</abilityName>
      <candidateList>
        <item>供水管</item>
      </candidateList>
      <explain/>
      <paraID>535B3A88</paraID>
      <start>10</start>
      <end>13</end>
      <status>modified</status>
      <modifiedWord>供水管</modifiedWord>
      <trackRevisions>false</trackRevisions>
    </reviewItem>
    <reviewItem>
      <errorID>a4fcf195-efb2-4172-aaaf-e857f50ef8c8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F456C33</paraID>
      <start>0</start>
      <end>2</end>
      <status>modified</status>
      <modifiedWord>2.</modifiedWord>
      <trackRevisions>false</trackRevisions>
    </reviewItem>
    <reviewItem>
      <errorID>22c5e374-6fa7-4db6-9bf9-d26b419c0c74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42B054C3</paraID>
      <start>0</start>
      <end>2</end>
      <status>modified</status>
      <modifiedWord>3.</modifiedWord>
      <trackRevisions>false</trackRevisions>
    </reviewItem>
    <reviewItem>
      <errorID>68f5495c-5e56-4ebd-8f2e-208af0568da4</errorID>
      <errorWord>其它</errorWord>
      <group>L1_Word</group>
      <groupName>字词问题</groupName>
      <ability>L2_Alias</ability>
      <abilityName>也作/曾用词</abilityName>
      <candidateList>
        <item>其他</item>
      </candidateList>
      <explain>词汇[其它]为不规范表述或旧称，其规范书面表述为[其他]。</explain>
      <paraID>2ECE08A5</paraID>
      <start>9</start>
      <end>11</end>
      <status>modified</status>
      <modifiedWord>其他</modifiedWord>
      <trackRevisions>false</trackRevisions>
    </reviewItem>
    <reviewItem>
      <errorID>ba233540-540b-4de0-b98e-db910a174096</errorID>
      <errorWord>环保树脂</errorWord>
      <group>L1_Knowledge</group>
      <groupName>知识性问题</groupName>
      <ability>L2_Term</ability>
      <abilityName>专业术语</abilityName>
      <candidateList>
        <item>环氧树脂</item>
      </candidateList>
      <explain/>
      <paraID>2ECE08A5</paraID>
      <start>15</start>
      <end>19</end>
      <status>ignored</status>
      <modifiedWord/>
      <trackRevisions>false</trackRevisions>
    </reviewItem>
    <reviewItem>
      <errorID>03dee57f-e535-4163-b9d3-05e6f4c740ce</errorID>
      <errorWord>环保树脂</errorWord>
      <group>L1_Knowledge</group>
      <groupName>知识性问题</groupName>
      <ability>L2_Term</ability>
      <abilityName>专业术语</abilityName>
      <candidateList>
        <item>环氧树脂</item>
      </candidateList>
      <explain/>
      <paraID>296B5B77</paraID>
      <start>11</start>
      <end>15</end>
      <status>ignored</status>
      <modifiedWord/>
      <trackRevisions>false</trackRevisions>
    </reviewItem>
    <reviewItem>
      <errorID>6b9deb30-4390-4bef-a815-82a03e1a236a</errorID>
      <errorWord>同事</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353BED01</paraID>
      <start>53</start>
      <end>55</end>
      <status>modified</status>
      <modifiedWord>同时</modifiedWord>
      <trackRevisions>false</trackRevisions>
    </reviewItem>
    <reviewItem>
      <errorID>f0162c86-3f3f-4066-bbfc-1fb495f68d52</errorID>
      <errorWord>粘度</errorWord>
      <group>L1_Word</group>
      <groupName>字词问题</groupName>
      <ability>L2_Alias</ability>
      <abilityName>也作/曾用词</abilityName>
      <candidateList>
        <item>黏度</item>
      </candidateList>
      <explain>词汇[粘度]为不规范表述或旧称，其规范书面表述为[黏度]。</explain>
      <paraID>353BED01</paraID>
      <start>93</start>
      <end>95</end>
      <status>modified</status>
      <modifiedWord>黏度</modifiedWord>
      <trackRevisions>false</trackRevisions>
    </reviewItem>
    <reviewItem>
      <errorID>89bd38e6-377e-48a3-8cc6-9cb3f8cbcb44</errorID>
      <errorWord>越</errorWord>
      <group>L1_Word</group>
      <groupName>字词问题</groupName>
      <ability>L2_Typo</ability>
      <abilityName>字词错误</abilityName>
      <candidateList>
        <item>约</item>
      </candidateList>
      <explain/>
      <paraID>353BED01</paraID>
      <start>95</start>
      <end>96</end>
      <status>modified</status>
      <modifiedWord>约</modifiedWord>
      <trackRevisions>false</trackRevisions>
    </reviewItem>
    <reviewItem>
      <errorID>a4b7e0dd-2962-4656-8b17-6e669fbd0509</errorID>
      <errorWord>，。</errorWord>
      <group>L1_Punc</group>
      <groupName>标点问题</groupName>
      <ability>L2_Punc</ability>
      <abilityName>标点符号检查</abilityName>
      <candidateList>
        <item>，</item>
      </candidateList>
      <explain/>
      <paraID>353BED01</paraID>
      <start>118</start>
      <end>119</end>
      <status>modified</status>
      <modifiedWord>，</modifiedWord>
      <trackRevisions>false</trackRevisions>
    </reviewItem>
    <reviewItem>
      <errorID>39aeb651-0cf0-4665-ac77-a4a0047b7b00</errorID>
      <errorWord>水里</errorWord>
      <group>L1_Word</group>
      <groupName>字词问题</groupName>
      <ability>L2_Typo</ability>
      <abilityName>字词错误</abilityName>
      <candidateList>
        <item>水中</item>
      </candidateList>
      <explain/>
      <paraID>3F9AF564</paraID>
      <start>18</start>
      <end>20</end>
      <status>modified</status>
      <modifiedWord>水中</modifiedWord>
      <trackRevisions>false</trackRevisions>
    </reviewItem>
    <reviewItem>
      <errorID>013f2730-396d-42db-85f4-fe67014b741c</errorID>
      <errorWord>物质以</errorWord>
      <group>L1_Word</group>
      <groupName>字词问题</groupName>
      <ability>L2_Typo</ability>
      <abilityName>字词错误</abilityName>
      <candidateList>
        <item>物质</item>
      </candidateList>
      <explain/>
      <paraID>7578DC34</paraID>
      <start>77</start>
      <end>79</end>
      <status>modified</status>
      <modifiedWord>物质</modifiedWord>
      <trackRevisions>false</trackRevisions>
    </reviewItem>
    <reviewItem>
      <errorID>7b7d06fe-bebc-44c4-a4f5-2ae2359d3b2f</errorID>
      <errorWord>PH值</errorWord>
      <group>L1_Word</group>
      <groupName>字词问题</groupName>
      <ability>L2_Typo</ability>
      <abilityName>字词错误</abilityName>
      <candidateList>
        <item>pH值</item>
      </candidateList>
      <explain/>
      <paraID>77DD1DC5</paraID>
      <start>40</start>
      <end>43</end>
      <status>modified</status>
      <modifiedWord>pH值</modifiedWord>
      <trackRevisions>false</trackRevisions>
    </reviewItem>
    <reviewItem>
      <errorID>16a87184-0fca-48ea-ad97-ff5c706b990f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36EFFD61</paraID>
      <start>0</start>
      <end>2</end>
      <status>modified</status>
      <modifiedWord>4.</modifiedWord>
      <trackRevisions>false</trackRevisions>
    </reviewItem>
    <reviewItem>
      <errorID>069a6a9f-a0d8-4d1b-b303-a994b70214dd</errorID>
      <errorWord>试</errorWord>
      <group>L1_Word</group>
      <groupName>字词问题</groupName>
      <ability>L2_Typo</ability>
      <abilityName>字词错误</abilityName>
      <candidateList>
        <item>是</item>
      </candidateList>
      <explain>存在发音相同字词的误用。</explain>
      <paraID>5F43F773</paraID>
      <start>1</start>
      <end>2</end>
      <status>ignored</status>
      <modifiedWord/>
      <trackRevisions>false</trackRevisions>
    </reviewItem>
    <reviewItem>
      <errorID>629db6cb-5411-435c-b8f6-88b6ee4bd880</errorID>
      <errorWord>KW</errorWord>
      <group>L1_Word</group>
      <groupName>字词问题</groupName>
      <ability>L2_Typo</ability>
      <abilityName>字词错误</abilityName>
      <candidateList>
        <item>kW</item>
      </candidateList>
      <explain/>
      <paraID>79ADFFB5</paraID>
      <start>2</start>
      <end>4</end>
      <status>modified</status>
      <modifiedWord>kW</modifiedWord>
      <trackRevisions>false</trackRevisions>
    </reviewItem>
    <reviewItem>
      <errorID>f5ec4147-bcfe-40e5-9c52-09834c667ccf</errorID>
      <errorWord>铸件</errorWord>
      <group>L1_Word</group>
      <groupName>字词问题</groupName>
      <ability>L2_Typo</ability>
      <abilityName>字词错误</abilityName>
      <candidateList>
        <item>铸造</item>
      </candidateList>
      <explain/>
      <paraID>4055BE6B</paraID>
      <start>24</start>
      <end>26</end>
      <status>modified</status>
      <modifiedWord>铸造</modifiedWord>
      <trackRevisions>false</trackRevisions>
    </reviewItem>
    <reviewItem>
      <errorID>35ac7e80-59db-404b-b40b-588f6123e297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33B3F23D</paraID>
      <start>0</start>
      <end>2</end>
      <status>modified</status>
      <modifiedWord>5.</modifiedWord>
      <trackRevisions>false</trackRevisions>
    </reviewItem>
    <reviewItem>
      <errorID>66e32327-1a9c-4c90-8e81-329ab034261a</errorID>
      <errorWord>KW</errorWord>
      <group>L1_Word</group>
      <groupName>字词问题</groupName>
      <ability>L2_Typo</ability>
      <abilityName>字词错误</abilityName>
      <candidateList>
        <item>kW</item>
      </candidateList>
      <explain/>
      <paraID>46D79B3C</paraID>
      <start>13</start>
      <end>15</end>
      <status>modified</status>
      <modifiedWord>kW</modifiedWord>
      <trackRevisions>false</trackRevisions>
    </reviewItem>
    <reviewItem>
      <errorID>d4678cfe-4a24-4306-8818-9f7441b19b5e</errorID>
      <errorWord>KW</errorWord>
      <group>L1_Word</group>
      <groupName>字词问题</groupName>
      <ability>L2_Typo</ability>
      <abilityName>字词错误</abilityName>
      <candidateList>
        <item>kW</item>
      </candidateList>
      <explain/>
      <paraID>46D79B3C</paraID>
      <start>31</start>
      <end>33</end>
      <status>modified</status>
      <modifiedWord>kW</modifiedWord>
      <trackRevisions>false</trackRevisions>
    </reviewItem>
    <reviewItem>
      <errorID>fba467bf-c280-4197-8d1f-1d65331d7d93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522AF718</paraID>
      <start>0</start>
      <end>2</end>
      <status>modified</status>
      <modifiedWord>6.</modifiedWord>
      <trackRevisions>false</trackRevisions>
    </reviewItem>
    <reviewItem>
      <errorID>b9b97e74-c1a1-447c-80c9-8c4fe4bfb9d0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1FA032BD</paraID>
      <start>0</start>
      <end>2</end>
      <status>modified</status>
      <modifiedWord>7.</modifiedWord>
      <trackRevisions>false</trackRevisions>
    </reviewItem>
    <reviewItem>
      <errorID>8aab6113-a12f-4073-9740-a87d335ff293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29073975</paraID>
      <start>0</start>
      <end>2</end>
      <status>modified</status>
      <modifiedWord>1.</modifiedWord>
      <trackRevisions>false</trackRevisions>
    </reviewItem>
    <reviewItem>
      <errorID>b9f80aee-e070-473c-803e-53a7a7804a3f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49B8F7C2</paraID>
      <start>0</start>
      <end>2</end>
      <status>modified</status>
      <modifiedWord>2.</modifiedWord>
      <trackRevisions>false</trackRevisions>
    </reviewItem>
    <reviewItem>
      <errorID>01aabe1a-627c-477c-83e5-4410d29bc249</errorID>
      <errorWord>要</errorWord>
      <group>L1_Word</group>
      <groupName>字词问题</groupName>
      <ability>L2_Typo</ability>
      <abilityName>字词错误</abilityName>
      <candidateList>
        <item>要在</item>
      </candidateList>
      <explain/>
      <paraID>41D2528F</paraID>
      <start>36</start>
      <end>38</end>
      <status>modified</status>
      <modifiedWord>要在</modifiedWord>
      <trackRevisions>false</trackRevisions>
    </reviewItem>
    <reviewItem>
      <errorID>51575dbd-1fc1-4850-a1b9-a5af02061974</errorID>
      <errorWord>拌合</errorWord>
      <group>L1_Word</group>
      <groupName>字词问题</groupName>
      <ability>L2_Typo</ability>
      <abilityName>字词错误</abilityName>
      <candidateList>
        <item>拌和</item>
      </candidateList>
      <explain>存在发音相同字词的误用。</explain>
      <paraID>41D2528F</paraID>
      <start>41</start>
      <end>43</end>
      <status>ignored</status>
      <modifiedWord/>
      <trackRevisions>false</trackRevisions>
    </reviewItem>
    <reviewItem>
      <errorID>02793e1d-18e2-4e5f-944f-c0c21643034d</errorID>
      <errorWord>和以及</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4B12A835</paraID>
      <start>148</start>
      <end>150</end>
      <status>modified</status>
      <modifiedWord>以及</modifiedWord>
      <trackRevisions>false</trackRevisions>
    </reviewItem>
    <reviewItem>
      <errorID>37c5fb4b-5ef1-4cf8-b640-566847618f65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517E373A</paraID>
      <start>0</start>
      <end>2</end>
      <status>modified</status>
      <modifiedWord>1.</modifiedWord>
      <trackRevisions>false</trackRevisions>
    </reviewItem>
    <reviewItem>
      <errorID>639d3a9a-2df2-42b2-b709-ce1a9c37e001</errorID>
      <errorWord>[2016]72号</errorWord>
      <group>L1_Knowledge</group>
      <groupName>知识性问题</groupName>
      <ability>L2_Knowledge</ability>
      <abilityName>其他知识</abilityName>
      <candidateList>
        <item>〔2016〕72号</item>
      </candidateList>
      <explain>发文字号格式错误。</explain>
      <paraID>12E18429</paraID>
      <start>107</start>
      <end>116</end>
      <status>modified</status>
      <modifiedWord>〔2016〕72号</modifiedWord>
      <trackRevisions>false</trackRevisions>
    </reviewItem>
    <reviewItem>
      <errorID>2cf296ea-23d2-4b1c-9b3a-27def4ef387a</errorID>
      <errorWord>[2017]31号</errorWord>
      <group>L1_Knowledge</group>
      <groupName>知识性问题</groupName>
      <ability>L2_Knowledge</ability>
      <abilityName>其他知识</abilityName>
      <candidateList>
        <item>〔2017〕31号</item>
      </candidateList>
      <explain>发文字号格式错误。</explain>
      <paraID>12E18429</paraID>
      <start>241</start>
      <end>250</end>
      <status>modified</status>
      <modifiedWord>〔2017〕31号</modifiedWord>
      <trackRevisions>false</trackRevisions>
    </reviewItem>
    <reviewItem>
      <errorID>ff8d3322-bfeb-425c-bdd2-c4439303b97c</errorID>
      <errorWord>吨吨</errorWord>
      <group>L1_Word</group>
      <groupName>字词问题</groupName>
      <ability>L2_Typo</ability>
      <abilityName>字词错误</abilityName>
      <candidateList>
        <item>吨</item>
      </candidateList>
      <explain/>
      <paraID>12E18429</paraID>
      <start>288</start>
      <end>289</end>
      <status>modified</status>
      <modifiedWord>吨</modifiedWord>
      <trackRevisions>false</trackRevisions>
    </reviewItem>
    <reviewItem>
      <errorID>548c647d-7bcc-43f5-a070-5d0837180c56</errorID>
      <errorWord>[2017]31号</errorWord>
      <group>L1_Knowledge</group>
      <groupName>知识性问题</groupName>
      <ability>L2_Knowledge</ability>
      <abilityName>其他知识</abilityName>
      <candidateList>
        <item>〔2017〕31号</item>
      </candidateList>
      <explain>发文字号格式错误。</explain>
      <paraID>5DBCD995</paraID>
      <start>3</start>
      <end>12</end>
      <status>modified</status>
      <modifiedWord>〔2017〕31号</modifiedWord>
      <trackRevisions>false</trackRevisions>
    </reviewItem>
    <reviewItem>
      <errorID>6c24a533-0923-4545-90f5-5edcc9f6aac2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354C218F</paraID>
      <start>0</start>
      <end>2</end>
      <status>modified</status>
      <modifiedWord>2.</modifiedWord>
      <trackRevisions>false</trackRevisions>
    </reviewItem>
    <reviewItem>
      <errorID>096734bb-79d0-4dfd-8f1b-21099cfac8bc</errorID>
      <errorWord>”</errorWord>
      <group>L1_Punc</group>
      <groupName>标点问题</groupName>
      <ability>L2_Punc</ability>
      <abilityName>标点符号检查</abilityName>
      <candidateList/>
      <explain/>
      <paraID>6C2FE4AD</paraID>
      <start>41</start>
      <end>42</end>
      <status>unmodified</status>
      <modifiedWord/>
      <trackRevisions>false</trackRevisions>
    </reviewItem>
    <reviewItem>
      <errorID>868d0f38-cbc9-4218-a3bb-94ad87ec9899</errorID>
      <errorWord>要</errorWord>
      <group>L1_Word</group>
      <groupName>字词问题</groupName>
      <ability>L2_Typo</ability>
      <abilityName>字词错误</abilityName>
      <candidateList>
        <item>要在</item>
      </candidateList>
      <explain/>
      <paraID>34438A04</paraID>
      <start>29</start>
      <end>31</end>
      <status>modified</status>
      <modifiedWord>要在</modifiedWord>
      <trackRevisions>false</trackRevisions>
    </reviewItem>
    <reviewItem>
      <errorID>f99e5845-1fb2-478d-a536-16c69bcb1e61</errorID>
      <errorWord>拌合</errorWord>
      <group>L1_Word</group>
      <groupName>字词问题</groupName>
      <ability>L2_Typo</ability>
      <abilityName>字词错误</abilityName>
      <candidateList>
        <item>拌和</item>
      </candidateList>
      <explain>存在发音相同字词的误用。</explain>
      <paraID>34438A04</paraID>
      <start>34</start>
      <end>36</end>
      <status>ignored</status>
      <modifiedWord/>
      <trackRevisions>false</trackRevisions>
    </reviewItem>
    <reviewItem>
      <errorID>6660b9c9-9376-4636-9f61-b9346940199a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5369A828</paraID>
      <start>0</start>
      <end>2</end>
      <status>modified</status>
      <modifiedWord>a.</modifiedWord>
      <trackRevisions>false</trackRevisions>
    </reviewItem>
    <reviewItem>
      <errorID>187e26b1-19f2-44d6-bac8-4589002da6f7</errorID>
      <errorWord>浇铸</errorWord>
      <group>L1_Word</group>
      <groupName>字词问题</groupName>
      <ability>L2_Typo</ability>
      <abilityName>字词错误</abilityName>
      <candidateList>
        <item>浇筑</item>
      </candidateList>
      <explain/>
      <paraID> EB810EF</paraID>
      <start>3</start>
      <end>5</end>
      <status>ignored</status>
      <modifiedWord/>
      <trackRevisions>false</trackRevisions>
    </reviewItem>
    <reviewItem>
      <errorID>6422d6c8-a0a8-4edf-86fb-94ddc736f595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7A4FF000</paraID>
      <start>0</start>
      <end>2</end>
      <status>modified</status>
      <modifiedWord>3.</modifiedWord>
      <trackRevisions>false</trackRevisions>
    </reviewItem>
    <reviewItem>
      <errorID>6e2e1cd7-76b4-4e39-9ede-859d946cd773</errorID>
      <errorWord>、</errorWord>
      <group>L1_Punc</group>
      <groupName>标点问题</groupName>
      <ability>L2_Punc</ability>
      <abilityName>标点符号检查</abilityName>
      <candidateList>
        <item>.</item>
      </candidateList>
      <explain/>
      <paraID>73D1FF64</paraID>
      <start>1</start>
      <end>2</end>
      <status>modified</status>
      <modifiedWord>.</modifiedWord>
      <trackRevisions>false</trackRevisions>
    </reviewItem>
    <reviewItem>
      <errorID>6ed190dc-2d31-4956-bc21-ffb141949d69</errorID>
      <errorWord>、</errorWord>
      <group>L1_Punc</group>
      <groupName>标点问题</groupName>
      <ability>L2_Punc</ability>
      <abilityName>标点符号检查</abilityName>
      <candidateList>
        <item>.</item>
      </candidateList>
      <explain/>
      <paraID>1AB4E512</paraID>
      <start>1</start>
      <end>2</end>
      <status>modified</status>
      <modifiedWord>.</modifiedWord>
      <trackRevisions>false</trackRevisions>
    </reviewItem>
    <reviewItem>
      <errorID>d52b5d8e-a0d4-41b3-8928-3c0253942df0</errorID>
      <errorWord>、</errorWord>
      <group>L1_Punc</group>
      <groupName>标点问题</groupName>
      <ability>L2_Punc</ability>
      <abilityName>标点符号检查</abilityName>
      <candidateList>
        <item>.</item>
      </candidateList>
      <explain/>
      <paraID>7EC94F4E</paraID>
      <start>1</start>
      <end>2</end>
      <status>modified</status>
      <modifiedWord>.</modifiedWord>
      <trackRevisions>false</trackRevisions>
    </reviewItem>
    <reviewItem>
      <errorID>ed909899-6cc7-4f40-8719-12fae51058d1</errorID>
      <errorWord>、</errorWord>
      <group>L1_Punc</group>
      <groupName>标点问题</groupName>
      <ability>L2_Punc</ability>
      <abilityName>标点符号检查</abilityName>
      <candidateList>
        <item>.</item>
      </candidateList>
      <explain/>
      <paraID>497AC358</paraID>
      <start>1</start>
      <end>2</end>
      <status>modified</status>
      <modifiedWord>.</modifiedWord>
      <trackRevisions>false</trackRevisions>
    </reviewItem>
    <reviewItem>
      <errorID>1c038d35-913a-42ee-934a-bb98b0539e95</errorID>
      <errorWord>表面的</errorWord>
      <group>L1_Word</group>
      <groupName>字词问题</groupName>
      <ability>L2_Typo</ability>
      <abilityName>字词错误</abilityName>
      <candidateList>
        <item>表面</item>
      </candidateList>
      <explain/>
      <paraID>407D2F92</paraID>
      <start>60</start>
      <end>62</end>
      <status>modified</status>
      <modifiedWord>表面</modifiedWord>
      <trackRevisions>false</trackRevisions>
    </reviewItem>
    <reviewItem>
      <errorID>fec1aa59-c36b-4a12-a762-0fe94a1de778</errorID>
      <errorWord>、</errorWord>
      <group>L1_Punc</group>
      <groupName>标点问题</groupName>
      <ability>L2_Punc</ability>
      <abilityName>标点符号检查</abilityName>
      <candidateList>
        <item>.</item>
      </candidateList>
      <explain/>
      <paraID>3EB964AA</paraID>
      <start>1</start>
      <end>2</end>
      <status>modified</status>
      <modifiedWord>.</modifiedWord>
      <trackRevisions>false</trackRevisions>
    </reviewItem>
    <reviewItem>
      <errorID>f9676352-d361-493a-911b-3b2f15cb60d5</errorID>
      <errorWord>、</errorWord>
      <group>L1_Punc</group>
      <groupName>标点问题</groupName>
      <ability>L2_Punc</ability>
      <abilityName>标点符号检查</abilityName>
      <candidateList>
        <item>.</item>
      </candidateList>
      <explain/>
      <paraID>1792CED0</paraID>
      <start>1</start>
      <end>2</end>
      <status>modified</status>
      <modifiedWord>.</modifiedWord>
      <trackRevisions>false</trackRevisions>
    </reviewItem>
    <reviewItem>
      <errorID>6699f39b-1975-48e5-9052-698e02758195</errorID>
      <errorWord>排放排放</errorWord>
      <group>L1_Word</group>
      <groupName>字词问题</groupName>
      <ability>L2_Typo</ability>
      <abilityName>字词错误</abilityName>
      <candidateList>
        <item>排放</item>
      </candidateList>
      <explain/>
      <paraID>1792CED0</paraID>
      <start>142</start>
      <end>144</end>
      <status>modified</status>
      <modifiedWord>排放</modifiedWord>
      <trackRevisions>false</trackRevisions>
    </reviewItem>
    <reviewItem>
      <errorID>57f0e2c1-1bea-40bd-88bb-cc5b313aeb57</errorID>
      <errorWord>、</errorWord>
      <group>L1_Punc</group>
      <groupName>标点问题</groupName>
      <ability>L2_Punc</ability>
      <abilityName>标点符号检查</abilityName>
      <candidateList>
        <item>.</item>
      </candidateList>
      <explain/>
      <paraID>6F1ECDC7</paraID>
      <start>1</start>
      <end>2</end>
      <status>modified</status>
      <modifiedWord>.</modifiedWord>
      <trackRevisions>false</trackRevisions>
    </reviewItem>
    <reviewItem>
      <errorID>67d9a5e7-fe98-4359-ba70-6dedbbe9ef97</errorID>
      <errorWord>、</errorWord>
      <group>L1_Punc</group>
      <groupName>标点问题</groupName>
      <ability>L2_Punc</ability>
      <abilityName>标点符号检查</abilityName>
      <candidateList>
        <item>.</item>
      </candidateList>
      <explain/>
      <paraID>5421D311</paraID>
      <start>1</start>
      <end>2</end>
      <status>modified</status>
      <modifiedWord>.</modifiedWord>
      <trackRevisions>false</trackRevisions>
    </reviewItem>
    <reviewItem>
      <errorID>81c27a57-37b1-422a-b384-3262fe38ac1d</errorID>
      <errorWord>III</errorWord>
      <group>L1_Word</group>
      <groupName>字词问题</groupName>
      <ability>L2_Typo</ability>
      <abilityName>字词错误</abilityName>
      <candidateList>
        <item>Ⅲ</item>
      </candidateList>
      <explain/>
      <paraID>4C8113EE</paraID>
      <start>31</start>
      <end>32</end>
      <status>modified</status>
      <modifiedWord>Ⅲ</modifiedWord>
      <trackRevisions>false</trackRevisions>
    </reviewItem>
    <reviewItem>
      <errorID>fd396b3d-9ad8-4a6e-a247-28b11657d200</errorID>
      <errorWord>III</errorWord>
      <group>L1_Word</group>
      <groupName>字词问题</groupName>
      <ability>L2_Typo</ability>
      <abilityName>字词错误</abilityName>
      <candidateList>
        <item>Ⅲ</item>
      </candidateList>
      <explain/>
      <paraID>64F308D5</paraID>
      <start>31</start>
      <end>32</end>
      <status>modified</status>
      <modifiedWord>Ⅲ</modifiedWord>
      <trackRevisions>false</trackRevisions>
    </reviewItem>
    <reviewItem>
      <errorID>948a1ffd-6dd4-43e1-be19-d96deecdee11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25FE275B</paraID>
      <start>0</start>
      <end>2</end>
      <status>modified</status>
      <modifiedWord>4.</modifiedWord>
      <trackRevisions>false</trackRevisions>
    </reviewItem>
    <reviewItem>
      <errorID>fdbe4444-0d88-4674-babf-d14e0c2cea87</errorID>
      <errorWord>[2017]31号</errorWord>
      <group>L1_Knowledge</group>
      <groupName>知识性问题</groupName>
      <ability>L2_Knowledge</ability>
      <abilityName>其他知识</abilityName>
      <candidateList>
        <item>〔2017〕31号</item>
      </candidateList>
      <explain>发文字号格式错误。</explain>
      <paraID>48941CD5</paraID>
      <start>54</start>
      <end>63</end>
      <status>modified</status>
      <modifiedWord>〔2017〕31号</modifiedWord>
      <trackRevisions>false</trackRevisions>
    </reviewItem>
    <reviewItem>
      <errorID>9aac0d0a-9e41-499c-8e8b-fa6d19b16459</errorID>
      <errorWord>”</errorWord>
      <group>L1_Punc</group>
      <groupName>标点问题</groupName>
      <ability>L2_Punc</ability>
      <abilityName>标点符号检查</abilityName>
      <candidateList/>
      <explain/>
      <paraID>48941CD5</paraID>
      <start>64</start>
      <end>65</end>
      <status>unmodified</status>
      <modifiedWord/>
      <trackRevisions>false</trackRevisions>
    </reviewItem>
    <reviewItem>
      <errorID>fa4605cb-6482-44ef-9db0-b4f6d2b090e9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2A1C0ABE</paraID>
      <start>0</start>
      <end>2</end>
      <status>modified</status>
      <modifiedWord>6.</modifiedWord>
      <trackRevisions>false</trackRevisions>
    </reviewItem>
    <reviewItem>
      <errorID>c9c16aa9-10ec-4a77-a6e4-6dbab0b03261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36428A2B</paraID>
      <start>0</start>
      <end>2</end>
      <status>modified</status>
      <modifiedWord>1.</modifiedWord>
      <trackRevisions>false</trackRevisions>
    </reviewItem>
    <reviewItem>
      <errorID>d10c1302-8219-45cb-9eeb-76a17dc55b3a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42B2C1CE</paraID>
      <start>0</start>
      <end>2</end>
      <status>modified</status>
      <modifiedWord>2.</modifiedWord>
      <trackRevisions>false</trackRevisions>
    </reviewItem>
    <reviewItem>
      <errorID>a8543d58-5f41-4837-a01c-697dedb29d8d</errorID>
      <errorWord>年</errorWord>
      <group>L1_Word</group>
      <groupName>字词问题</groupName>
      <ability>L2_Typo</ability>
      <abilityName>字词错误</abilityName>
      <candidateList>
        <item>年度</item>
      </candidateList>
      <explain/>
      <paraID>3DFD0958</paraID>
      <start>0</start>
      <end>1</end>
      <status>ignored</status>
      <modifiedWord/>
      <trackRevisions>false</trackRevisions>
    </reviewItem>
    <reviewItem>
      <errorID>24d89f44-03d6-4f23-9ed3-0c1a17bc7ef7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2A0AC4BC</paraID>
      <start>61</start>
      <end>62</end>
      <status>modified</status>
      <modifiedWord>—</modifiedWord>
      <trackRevisions>false</trackRevisions>
    </reviewItem>
    <reviewItem>
      <errorID>658a63f8-bbc4-4550-89f7-2ab82b6c50a0</errorID>
      <errorWord>区中</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2A0AC4BC</paraID>
      <start>76</start>
      <end>78</end>
      <status>ignored</status>
      <modifiedWord/>
      <trackRevisions>false</trackRevisions>
    </reviewItem>
    <reviewItem>
      <errorID>7cf02423-f116-4f94-80e6-2d2160ef81a3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E82A4AB</paraID>
      <start>0</start>
      <end>2</end>
      <status>modified</status>
      <modifiedWord>3.</modifiedWord>
      <trackRevisions>false</trackRevisions>
    </reviewItem>
    <reviewItem>
      <errorID>9d95c469-c218-459b-8612-a6af6587ad6d</errorID>
      <errorWord>》（试行）</errorWord>
      <group>L1_Word</group>
      <groupName>字词问题</groupName>
      <ability>L2_Typo</ability>
      <abilityName>字词错误</abilityName>
      <candidateList>
        <item>（试行）》</item>
      </candidateList>
      <explain/>
      <paraID>77D6915C</paraID>
      <start>27</start>
      <end>32</end>
      <status>modified</status>
      <modifiedWord>（试行）》</modifiedWord>
      <trackRevisions>false</trackRevisions>
    </reviewItem>
    <reviewItem>
      <errorID>f5980101-f382-49c1-83d2-5da4e241fc26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64B7FA0B</paraID>
      <start>0</start>
      <end>2</end>
      <status>modified</status>
      <modifiedWord>4.</modifiedWord>
      <trackRevisions>false</trackRevisions>
    </reviewItem>
    <reviewItem>
      <errorID>a95cfd80-8e9f-44c3-879f-2274684f6458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4D41F097</paraID>
      <start>0</start>
      <end>2</end>
      <status>modified</status>
      <modifiedWord>5.</modifiedWord>
      <trackRevisions>false</trackRevisions>
    </reviewItem>
    <reviewItem>
      <errorID>0fff09fd-b32b-4520-bc05-d0d05053e8eb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6AB0127D</paraID>
      <start>0</start>
      <end>2</end>
      <status>modified</status>
      <modifiedWord>6.</modifiedWord>
      <trackRevisions>false</trackRevisions>
    </reviewItem>
    <reviewItem>
      <errorID>e9d1b98f-ccdf-4f78-b8cc-c13dbf3747f7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7179A4CB</paraID>
      <start>0</start>
      <end>2</end>
      <status>modified</status>
      <modifiedWord>1.</modifiedWord>
      <trackRevisions>false</trackRevisions>
    </reviewItem>
    <reviewItem>
      <errorID>f33e79ae-487f-4d91-9691-0ca9ac51fd47</errorID>
      <errorWord>公安安全</errorWord>
      <group>L1_Knowledge</group>
      <groupName>知识性问题</groupName>
      <ability>L2_Knowledge</ability>
      <abilityName>其他知识</abilityName>
      <candidateList>
        <item>公共安全</item>
      </candidateList>
      <explain/>
      <paraID>6D2F0024</paraID>
      <start>2</start>
      <end>6</end>
      <status>modified</status>
      <modifiedWord>公共安全</modifiedWord>
      <trackRevisions>false</trackRevisions>
    </reviewItem>
    <reviewItem>
      <errorID>080491f6-388b-4700-9903-c5298f82d64c</errorID>
      <errorWord>)</errorWord>
      <group>L1_Format</group>
      <groupName>格式问题</groupName>
      <ability>L2_HalfPunc</ability>
      <abilityName>全半角检查</abilityName>
      <candidateList>
        <item>）</item>
      </candidateList>
      <explain>文本全半角错误。</explain>
      <paraID>320795DE</paraID>
      <start>27</start>
      <end>28</end>
      <status>modified</status>
      <modifiedWord>）</modifiedWord>
      <trackRevisions>false</trackRevisions>
    </reviewItem>
    <reviewItem>
      <errorID>be8f70fd-3cd4-4f26-b2b8-1d9e58c62ba6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48AE99D3</paraID>
      <start>0</start>
      <end>2</end>
      <status>modified</status>
      <modifiedWord>2.</modifiedWord>
      <trackRevisions>false</trackRevisions>
    </reviewItem>
    <reviewItem>
      <errorID>4e103917-140e-4258-ba98-4f6013743921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58D17115</paraID>
      <start>0</start>
      <end>2</end>
      <status>modified</status>
      <modifiedWord>3.</modifiedWord>
      <trackRevisions>false</trackRevisions>
    </reviewItem>
    <reviewItem>
      <errorID>0a68f53a-d193-40c8-9027-b8f41b5c9df5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6BAF3208</paraID>
      <start>0</start>
      <end>2</end>
      <status>modified</status>
      <modifiedWord>4.</modifiedWord>
      <trackRevisions>false</trackRevisions>
    </reviewItem>
    <reviewItem>
      <errorID>97875c25-7efa-4045-8a94-5293fbe29143</errorID>
      <errorWord>使用水</errorWord>
      <group>L1_Word</group>
      <groupName>字词问题</groupName>
      <ability>L2_Typo</ability>
      <abilityName>字词错误</abilityName>
      <candidateList>
        <item>饮用水</item>
      </candidateList>
      <explain>存在字形相近字词的误用。</explain>
      <paraID>1BD6B002</paraID>
      <start>19</start>
      <end>22</end>
      <status>modified</status>
      <modifiedWord>饮用水</modifiedWord>
      <trackRevisions>false</trackRevisions>
    </reviewItem>
    <reviewItem>
      <errorID>145d36d1-070c-44e1-a090-462a1e932131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3673FA4E</paraID>
      <start>0</start>
      <end>2</end>
      <status>modified</status>
      <modifiedWord>5.</modifiedWord>
      <trackRevisions>false</trackRevisions>
    </reviewItem>
    <reviewItem>
      <errorID>68ecb567-1f7a-4b54-9228-88fd913ca633</errorID>
      <errorWord>制标</errorWord>
      <group>L1_Word</group>
      <groupName>字词问题</groupName>
      <ability>L2_Typo</ability>
      <abilityName>字词错误</abilityName>
      <candidateList>
        <item>指标</item>
      </candidateList>
      <explain>存在发音相同字词的误用。</explain>
      <paraID>130FEA1F</paraID>
      <start>0</start>
      <end>2</end>
      <status>ignored</status>
      <modifiedWord/>
      <trackRevisions>false</trackRevisions>
    </reviewItem>
    <reviewItem>
      <errorID>fc79c3a1-140c-4846-a70a-d58f8133ce6c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2A3E480A</paraID>
      <start>0</start>
      <end>2</end>
      <status>modified</status>
      <modifiedWord>1.</modifiedWord>
      <trackRevisions>false</trackRevisions>
    </reviewItem>
    <reviewItem>
      <errorID>a19d339e-e58b-4efa-9364-55c5ca5d0eab</errorID>
      <errorWord>达</errorWord>
      <group>L1_Word</group>
      <groupName>字词问题</groupName>
      <ability>L2_Typo</ability>
      <abilityName>字词错误</abilityName>
      <candidateList>
        <item>达到</item>
      </candidateList>
      <explain>〈动〉到（多指抽象事物或程度）：达得到｜达不到｜目的没有～｜～国际水平。</explain>
      <paraID>16F12718</paraID>
      <start>109</start>
      <end>111</end>
      <status>modified</status>
      <modifiedWord>达到</modifiedWord>
      <trackRevisions>false</trackRevisions>
    </reviewItem>
    <reviewItem>
      <errorID>9d1d4002-514e-4b9f-a22e-966c3a03d850</errorID>
      <errorWord>标准标准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16F12718</paraID>
      <start>145</start>
      <end>147</end>
      <status>modified</status>
      <modifiedWord>标准</modifiedWord>
      <trackRevisions>false</trackRevisions>
    </reviewItem>
    <reviewItem>
      <errorID>e7c1d880-2d0b-4b41-a2b2-f8aba460ad5f</errorID>
      <errorWord>（</errorWord>
      <group>L1_Format</group>
      <groupName>格式问题</groupName>
      <ability>L2_HalfPunc</ability>
      <abilityName>全半角检查</abilityName>
      <candidateList>
        <item>(</item>
      </candidateList>
      <explain>文本全半角错误。</explain>
      <paraID>5B82F032</paraID>
      <start>1</start>
      <end>2</end>
      <status>modified</status>
      <modifiedWord>(</modifiedWord>
      <trackRevisions>false</trackRevisions>
    </reviewItem>
    <reviewItem>
      <errorID>540365f1-5792-4aef-bc9d-8deb8bc8d290</errorID>
      <errorWord>）</errorWord>
      <group>L1_Format</group>
      <groupName>格式问题</groupName>
      <ability>L2_HalfPunc</ability>
      <abilityName>全半角检查</abilityName>
      <candidateList>
        <item>)</item>
      </candidateList>
      <explain>文本全半角错误。</explain>
      <paraID>5B82F032</paraID>
      <start>3</start>
      <end>4</end>
      <status>modified</status>
      <modifiedWord>)</modifiedWord>
      <trackRevisions>false</trackRevisions>
    </reviewItem>
    <reviewItem>
      <errorID>bf693133-a2dd-49b1-a912-6e6d07b07629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76B05621</paraID>
      <start>0</start>
      <end>2</end>
      <status>modified</status>
      <modifiedWord>2.</modifiedWord>
      <trackRevisions>false</trackRevisions>
    </reviewItem>
    <reviewItem>
      <errorID>60bf2039-ee81-45b3-8f7c-ff9701fdb86a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5C13324A</paraID>
      <start>0</start>
      <end>2</end>
      <status>modified</status>
      <modifiedWord>3.</modifiedWord>
      <trackRevisions>false</trackRevisions>
    </reviewItem>
    <reviewItem>
      <errorID>005ca666-2332-406e-b1ab-aca41d7e7d9d</errorID>
      <errorWord>（</errorWord>
      <group>L1_Format</group>
      <groupName>格式问题</groupName>
      <ability>L2_HalfPunc</ability>
      <abilityName>全半角检查</abilityName>
      <candidateList>
        <item>(</item>
      </candidateList>
      <explain>文本全半角错误。</explain>
      <paraID>1EC6AC26</paraID>
      <start>4</start>
      <end>5</end>
      <status>modified</status>
      <modifiedWord>(</modifiedWord>
      <trackRevisions>false</trackRevisions>
    </reviewItem>
    <reviewItem>
      <errorID>7763ecd3-fdbf-4732-8285-69a0c9b3fd33</errorID>
      <errorWord>）</errorWord>
      <group>L1_Format</group>
      <groupName>格式问题</groupName>
      <ability>L2_HalfPunc</ability>
      <abilityName>全半角检查</abilityName>
      <candidateList>
        <item>)</item>
      </candidateList>
      <explain>文本全半角错误。</explain>
      <paraID>1EC6AC26</paraID>
      <start>6</start>
      <end>7</end>
      <status>modified</status>
      <modifiedWord>)</modifiedWord>
      <trackRevisions>false</trackRevisions>
    </reviewItem>
    <reviewItem>
      <errorID>006573e1-bd71-4677-a730-c563c3500cb9</errorID>
      <errorWord>（</errorWord>
      <group>L1_Format</group>
      <groupName>格式问题</groupName>
      <ability>L2_HalfPunc</ability>
      <abilityName>全半角检查</abilityName>
      <candidateList>
        <item>(</item>
      </candidateList>
      <explain>文本全半角错误。</explain>
      <paraID>4C12EAF3</paraID>
      <start>4</start>
      <end>5</end>
      <status>modified</status>
      <modifiedWord>(</modifiedWord>
      <trackRevisions>false</trackRevisions>
    </reviewItem>
    <reviewItem>
      <errorID>5411cc89-a46d-4dee-8a5b-83e1593bedda</errorID>
      <errorWord>）</errorWord>
      <group>L1_Format</group>
      <groupName>格式问题</groupName>
      <ability>L2_HalfPunc</ability>
      <abilityName>全半角检查</abilityName>
      <candidateList>
        <item>)</item>
      </candidateList>
      <explain>文本全半角错误。</explain>
      <paraID>4C12EAF3</paraID>
      <start>6</start>
      <end>7</end>
      <status>modified</status>
      <modifiedWord>)</modifiedWord>
      <trackRevisions>false</trackRevisions>
    </reviewItem>
    <reviewItem>
      <errorID>167ff2ea-25fd-406c-90df-584ded965559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2D5949F5</paraID>
      <start>0</start>
      <end>2</end>
      <status>modified</status>
      <modifiedWord>4.</modifiedWord>
      <trackRevisions>false</trackRevisions>
    </reviewItem>
    <reviewItem>
      <errorID>797f4fb9-388b-4853-a559-1118cd118d8f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2FFD208D</paraID>
      <start>0</start>
      <end>2</end>
      <status>modified</status>
      <modifiedWord>1.</modifiedWord>
      <trackRevisions>false</trackRevisions>
    </reviewItem>
    <reviewItem>
      <errorID>c30d9b93-0408-4340-a892-191649c460bd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3DDA2222</paraID>
      <start>0</start>
      <end>2</end>
      <status>modified</status>
      <modifiedWord>2.</modifiedWord>
      <trackRevisions>false</trackRevisions>
    </reviewItem>
    <reviewItem>
      <errorID>b847909d-0f43-4232-8387-508a9926546d</errorID>
      <errorWord>[2022]8号</errorWord>
      <group>L1_Knowledge</group>
      <groupName>知识性问题</groupName>
      <ability>L2_Knowledge</ability>
      <abilityName>其他知识</abilityName>
      <candidateList>
        <item>〔2022〕8号</item>
      </candidateList>
      <explain>发文字号格式错误。</explain>
      <paraID>3CD680CF</paraID>
      <start>24</start>
      <end>32</end>
      <status>modified</status>
      <modifiedWord>〔2022〕8号</modifiedWord>
      <trackRevisions>false</trackRevisions>
    </reviewItem>
    <reviewItem>
      <errorID>0a084ea5-0c5d-40a4-a9d6-c30f09ffb492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79EB8A1C</paraID>
      <start>0</start>
      <end>2</end>
      <status>modified</status>
      <modifiedWord>1.</modifiedWord>
      <trackRevisions>false</trackRevisions>
    </reviewItem>
    <reviewItem>
      <errorID>9768e52f-88b6-41dd-be5c-3c70d66f73d9</errorID>
      <errorWord>-</errorWord>
      <group>L1_Format</group>
      <groupName>格式问题</groupName>
      <ability>L2_HalfPunc</ability>
      <abilityName>全半角检查</abilityName>
      <candidateList>
        <item>－</item>
      </candidateList>
      <explain>文本全半角错误。</explain>
      <paraID>77A7048F</paraID>
      <start>40</start>
      <end>41</end>
      <status>modified</status>
      <modifiedWord>－</modifiedWord>
      <trackRevisions>false</trackRevisions>
    </reviewItem>
    <reviewItem>
      <errorID>4274a9a7-5ca2-44a5-ab57-6eabc658ae69</errorID>
      <errorWord>-</errorWord>
      <group>L1_Format</group>
      <groupName>格式问题</groupName>
      <ability>L2_HalfPunc</ability>
      <abilityName>全半角检查</abilityName>
      <candidateList>
        <item>－</item>
      </candidateList>
      <explain>文本全半角错误。</explain>
      <paraID>77A7048F</paraID>
      <start>70</start>
      <end>71</end>
      <status>modified</status>
      <modifiedWord>－</modifiedWord>
      <trackRevisions>false</trackRevisions>
    </reviewItem>
    <reviewItem>
      <errorID>5a209aa8-86ae-4b89-827e-41269a39a4d5</errorID>
      <errorWord>-</errorWord>
      <group>L1_Format</group>
      <groupName>格式问题</groupName>
      <ability>L2_HalfPunc</ability>
      <abilityName>全半角检查</abilityName>
      <candidateList>
        <item>－</item>
      </candidateList>
      <explain>文本全半角错误。</explain>
      <paraID>77A7048F</paraID>
      <start>88</start>
      <end>89</end>
      <status>modified</status>
      <modifiedWord>－</modifiedWord>
      <trackRevisions>false</trackRevisions>
    </reviewItem>
    <reviewItem>
      <errorID>7d933622-a22d-4305-becb-262e2f06c511</errorID>
      <errorWord>-</errorWord>
      <group>L1_Format</group>
      <groupName>格式问题</groupName>
      <ability>L2_HalfPunc</ability>
      <abilityName>全半角检查</abilityName>
      <candidateList>
        <item>－</item>
      </candidateList>
      <explain>文本全半角错误。</explain>
      <paraID>77A7048F</paraID>
      <start>110</start>
      <end>111</end>
      <status>modified</status>
      <modifiedWord>－</modifiedWord>
      <trackRevisions>false</trackRevisions>
    </reviewItem>
    <reviewItem>
      <errorID>89077a1e-6eec-41a7-a7fe-09a5e95e7ce6</errorID>
      <errorWord>（</errorWord>
      <group>L1_Format</group>
      <groupName>格式问题</groupName>
      <ability>L2_HalfPunc</ability>
      <abilityName>全半角检查</abilityName>
      <candidateList>
        <item>(</item>
      </candidateList>
      <explain>文本全半角错误。</explain>
      <paraID>7540D026</paraID>
      <start>6</start>
      <end>7</end>
      <status>modified</status>
      <modifiedWord>(</modifiedWord>
      <trackRevisions>false</trackRevisions>
    </reviewItem>
    <reviewItem>
      <errorID>127fa57b-3528-4916-87cd-fb8dbd29e566</errorID>
      <errorWord>）</errorWord>
      <group>L1_Format</group>
      <groupName>格式问题</groupName>
      <ability>L2_HalfPunc</ability>
      <abilityName>全半角检查</abilityName>
      <candidateList>
        <item>)</item>
      </candidateList>
      <explain>文本全半角错误。</explain>
      <paraID>7540D026</paraID>
      <start>13</start>
      <end>14</end>
      <status>modified</status>
      <modifiedWord>)</modifiedWord>
      <trackRevisions>false</trackRevisions>
    </reviewItem>
    <reviewItem>
      <errorID>0eba2618-fd93-4790-b500-47f5d5554dc8</errorID>
      <errorWord>-</errorWord>
      <group>L1_Format</group>
      <groupName>格式问题</groupName>
      <ability>L2_HalfPunc</ability>
      <abilityName>全半角检查</abilityName>
      <candidateList>
        <item>－</item>
      </candidateList>
      <explain>文本全半角错误。</explain>
      <paraID>3EBCF66E</paraID>
      <start>4</start>
      <end>5</end>
      <status>modified</status>
      <modifiedWord>－</modifiedWord>
      <trackRevisions>false</trackRevisions>
    </reviewItem>
    <reviewItem>
      <errorID>87ea3459-cd0e-4a1f-8ac3-6c19b954921e</errorID>
      <errorWord>~</errorWord>
      <group>L1_Format</group>
      <groupName>格式问题</groupName>
      <ability>L2_HalfPunc</ability>
      <abilityName>全半角检查</abilityName>
      <candidateList>
        <item>～</item>
      </candidateList>
      <explain>文本全半角错误。</explain>
      <paraID>3AD46982</paraID>
      <start>53</start>
      <end>54</end>
      <status>modified</status>
      <modifiedWord>～</modifiedWord>
      <trackRevisions>false</trackRevisions>
    </reviewItem>
    <reviewItem>
      <errorID>c5bfb316-3ad3-4abb-b103-145c0e4d465e</errorID>
      <errorWord>-</errorWord>
      <group>L1_Format</group>
      <groupName>格式问题</groupName>
      <ability>L2_HalfPunc</ability>
      <abilityName>全半角检查</abilityName>
      <candidateList>
        <item>－</item>
      </candidateList>
      <explain>文本全半角错误。</explain>
      <paraID>162EF737</paraID>
      <start>40</start>
      <end>41</end>
      <status>modified</status>
      <modifiedWord>－</modifiedWord>
      <trackRevisions>false</trackRevisions>
    </reviewItem>
    <reviewItem>
      <errorID>ce8be8d8-2e19-4dcf-88ae-357ca59e17c5</errorID>
      <errorWord>-</errorWord>
      <group>L1_Format</group>
      <groupName>格式问题</groupName>
      <ability>L2_HalfPunc</ability>
      <abilityName>全半角检查</abilityName>
      <candidateList>
        <item>－</item>
      </candidateList>
      <explain>文本全半角错误。</explain>
      <paraID>162EF737</paraID>
      <start>54</start>
      <end>55</end>
      <status>modified</status>
      <modifiedWord>－</modifiedWord>
      <trackRevisions>false</trackRevisions>
    </reviewItem>
    <reviewItem>
      <errorID>e40c9366-7eb6-4ff1-acd7-beaaf27a6dbd</errorID>
      <errorWord>-</errorWord>
      <group>L1_Format</group>
      <groupName>格式问题</groupName>
      <ability>L2_HalfPunc</ability>
      <abilityName>全半角检查</abilityName>
      <candidateList>
        <item>－</item>
      </candidateList>
      <explain>文本全半角错误。</explain>
      <paraID>162EF737</paraID>
      <start>76</start>
      <end>77</end>
      <status>modified</status>
      <modifiedWord>－</modifiedWord>
      <trackRevisions>false</trackRevisions>
    </reviewItem>
    <reviewItem>
      <errorID>78f53452-6b34-490d-816c-a911a10f41fd</errorID>
      <errorWord>-</errorWord>
      <group>L1_Format</group>
      <groupName>格式问题</groupName>
      <ability>L2_HalfPunc</ability>
      <abilityName>全半角检查</abilityName>
      <candidateList>
        <item>－</item>
      </candidateList>
      <explain>文本全半角错误。</explain>
      <paraID>162EF737</paraID>
      <start>100</start>
      <end>101</end>
      <status>modified</status>
      <modifiedWord>－</modifiedWord>
      <trackRevisions>false</trackRevisions>
    </reviewItem>
    <reviewItem>
      <errorID>a993439f-888f-48a3-94ca-2e4e7785b458</errorID>
      <errorWord>-</errorWord>
      <group>L1_Format</group>
      <groupName>格式问题</groupName>
      <ability>L2_HalfPunc</ability>
      <abilityName>全半角检查</abilityName>
      <candidateList>
        <item>－</item>
      </candidateList>
      <explain>文本全半角错误。</explain>
      <paraID>578820F1</paraID>
      <start>40</start>
      <end>41</end>
      <status>modified</status>
      <modifiedWord>－</modifiedWord>
      <trackRevisions>false</trackRevisions>
    </reviewItem>
    <reviewItem>
      <errorID>85578f3c-2cc2-439b-92c9-8dc71687b845</errorID>
      <errorWord>-</errorWord>
      <group>L1_Format</group>
      <groupName>格式问题</groupName>
      <ability>L2_HalfPunc</ability>
      <abilityName>全半角检查</abilityName>
      <candidateList>
        <item>－</item>
      </candidateList>
      <explain>文本全半角错误。</explain>
      <paraID>578820F1</paraID>
      <start>50</start>
      <end>51</end>
      <status>modified</status>
      <modifiedWord>－</modifiedWord>
      <trackRevisions>false</trackRevisions>
    </reviewItem>
    <reviewItem>
      <errorID>8fa5c3a0-65d4-43e3-be4b-266aebd89a19</errorID>
      <errorWord>-</errorWord>
      <group>L1_Format</group>
      <groupName>格式问题</groupName>
      <ability>L2_HalfPunc</ability>
      <abilityName>全半角检查</abilityName>
      <candidateList>
        <item>－</item>
      </candidateList>
      <explain>文本全半角错误。</explain>
      <paraID>578820F1</paraID>
      <start>62</start>
      <end>63</end>
      <status>modified</status>
      <modifiedWord>－</modifiedWord>
      <trackRevisions>false</trackRevisions>
    </reviewItem>
    <reviewItem>
      <errorID>7399472b-d28b-4305-b5af-a1e591ad53ae</errorID>
      <errorWord>-</errorWord>
      <group>L1_Format</group>
      <groupName>格式问题</groupName>
      <ability>L2_HalfPunc</ability>
      <abilityName>全半角检查</abilityName>
      <candidateList>
        <item>－</item>
      </candidateList>
      <explain>文本全半角错误。</explain>
      <paraID>578820F1</paraID>
      <start>84</start>
      <end>85</end>
      <status>modified</status>
      <modifiedWord>－</modifiedWord>
      <trackRevisions>false</trackRevisions>
    </reviewItem>
    <reviewItem>
      <errorID>7258f79b-0d48-4407-8828-d40da42719c3</errorID>
      <errorWord>-</errorWord>
      <group>L1_Format</group>
      <groupName>格式问题</groupName>
      <ability>L2_HalfPunc</ability>
      <abilityName>全半角检查</abilityName>
      <candidateList>
        <item>－</item>
      </candidateList>
      <explain>文本全半角错误。</explain>
      <paraID>578820F1</paraID>
      <start>107</start>
      <end>108</end>
      <status>modified</status>
      <modifiedWord>－</modifiedWord>
      <trackRevisions>false</trackRevisions>
    </reviewItem>
    <reviewItem>
      <errorID>03b674c9-7397-4b1b-b531-9f327c24dabe</errorID>
      <errorWord>-</errorWord>
      <group>L1_Format</group>
      <groupName>格式问题</groupName>
      <ability>L2_HalfPunc</ability>
      <abilityName>全半角检查</abilityName>
      <candidateList>
        <item>－</item>
      </candidateList>
      <explain>文本全半角错误。</explain>
      <paraID>578820F1</paraID>
      <start>116</start>
      <end>117</end>
      <status>modified</status>
      <modifiedWord>－</modifiedWord>
      <trackRevisions>false</trackRevisions>
    </reviewItem>
    <reviewItem>
      <errorID>c8b285ab-37bd-4fcd-9f53-cbd0ab220394</errorID>
      <errorWord>-</errorWord>
      <group>L1_Format</group>
      <groupName>格式问题</groupName>
      <ability>L2_HalfPunc</ability>
      <abilityName>全半角检查</abilityName>
      <candidateList>
        <item>－</item>
      </candidateList>
      <explain>文本全半角错误。</explain>
      <paraID>578820F1</paraID>
      <start>119</start>
      <end>120</end>
      <status>modified</status>
      <modifiedWord>－</modifiedWord>
      <trackRevisions>false</trackRevisions>
    </reviewItem>
    <reviewItem>
      <errorID>10ec12ed-134c-4fc0-8848-34632799ca87</errorID>
      <errorWord>-</errorWord>
      <group>L1_Format</group>
      <groupName>格式问题</groupName>
      <ability>L2_HalfPunc</ability>
      <abilityName>全半角检查</abilityName>
      <candidateList>
        <item>－</item>
      </candidateList>
      <explain>文本全半角错误。</explain>
      <paraID>578820F1</paraID>
      <start>149</start>
      <end>150</end>
      <status>modified</status>
      <modifiedWord>－</modifiedWord>
      <trackRevisions>false</trackRevisions>
    </reviewItem>
    <reviewItem>
      <errorID>c83b5b99-5bd6-42ca-9d14-222454e7afbc</errorID>
      <errorWord>（</errorWord>
      <group>L1_Punc</group>
      <groupName>标点问题</groupName>
      <ability>L2_Punc</ability>
      <abilityName>标点符号检查</abilityName>
      <candidateList/>
      <explain/>
      <paraID>578820F1</paraID>
      <start>155</start>
      <end>156</end>
      <status>unmodified</status>
      <modifiedWord/>
      <trackRevisions>false</trackRevisions>
    </reviewItem>
    <reviewItem>
      <errorID>d99ef64a-d92a-4da1-b6ed-d2804f760c69</errorID>
      <errorWord>-</errorWord>
      <group>L1_Format</group>
      <groupName>格式问题</groupName>
      <ability>L2_HalfPunc</ability>
      <abilityName>全半角检查</abilityName>
      <candidateList>
        <item>－</item>
      </candidateList>
      <explain>文本全半角错误。</explain>
      <paraID>578820F1</paraID>
      <start>161</start>
      <end>162</end>
      <status>modified</status>
      <modifiedWord>－</modifiedWord>
      <trackRevisions>false</trackRevisions>
    </reviewItem>
    <reviewItem>
      <errorID>612e065f-c17d-4271-84c8-e90f765fd69a</errorID>
      <errorWord>-</errorWord>
      <group>L1_Format</group>
      <groupName>格式问题</groupName>
      <ability>L2_HalfPunc</ability>
      <abilityName>全半角检查</abilityName>
      <candidateList>
        <item>－</item>
      </candidateList>
      <explain>文本全半角错误。</explain>
      <paraID>578820F1</paraID>
      <start>182</start>
      <end>183</end>
      <status>modified</status>
      <modifiedWord>－</modifiedWord>
      <trackRevisions>false</trackRevisions>
    </reviewItem>
    <reviewItem>
      <errorID>f4c906f1-56b4-43c3-a583-56c468956efc</errorID>
      <errorWord>-</errorWord>
      <group>L1_Format</group>
      <groupName>格式问题</groupName>
      <ability>L2_HalfPunc</ability>
      <abilityName>全半角检查</abilityName>
      <candidateList>
        <item>－</item>
      </candidateList>
      <explain>文本全半角错误。</explain>
      <paraID>578820F1</paraID>
      <start>205</start>
      <end>206</end>
      <status>modified</status>
      <modifiedWord>－</modifiedWord>
      <trackRevisions>false</trackRevisions>
    </reviewItem>
    <reviewItem>
      <errorID>860765ae-2784-4112-9533-de924edcf265</errorID>
      <errorWord>JB</errorWord>
      <group>L1_Sensitive</group>
      <groupName>敏感问题</groupName>
      <ability>L2_Abuse</ability>
      <abilityName>侮辱言辞</abilityName>
      <candidateList/>
      <explain>【侮辱言辞】句中涉及侮辱性的敏感内容，请注意甄别。</explain>
      <paraID>3963888C</paraID>
      <start>16</start>
      <end>18</end>
      <status>unmodified</status>
      <modifiedWord/>
      <trackRevisions>false</trackRevisions>
    </reviewItem>
    <reviewItem>
      <errorID>78ec507e-28a3-4852-995b-735bf46bd0d3</errorID>
      <errorWord>浇铸</errorWord>
      <group>L1_Word</group>
      <groupName>字词问题</groupName>
      <ability>L2_Typo</ability>
      <abilityName>字词错误</abilityName>
      <candidateList>
        <item>浇筑</item>
      </candidateList>
      <explain/>
      <paraID>19B2086D</paraID>
      <start>14</start>
      <end>16</end>
      <status>ignored</status>
      <modifiedWord/>
      <trackRevisions>false</trackRevisions>
    </reviewItem>
    <reviewItem>
      <errorID>c7d6d743-0b7d-49fa-9b66-3ee4d9461871</errorID>
      <errorWord>浇铸成型</errorWord>
      <group>L1_Word</group>
      <groupName>字词问题</groupName>
      <ability>L2_Typo</ability>
      <abilityName>字词错误</abilityName>
      <candidateList>
        <item>浇筑成型</item>
      </candidateList>
      <explain/>
      <paraID>12444E41</paraID>
      <start>2</start>
      <end>6</end>
      <status>ignored</status>
      <modifiedWord/>
      <trackRevisions>false</trackRevisions>
    </reviewItem>
    <reviewItem>
      <errorID>42aa6abf-62bf-4976-9f0d-5b4a1ae97b5c</errorID>
      <errorWord>表面的</errorWord>
      <group>L1_Word</group>
      <groupName>字词问题</groupName>
      <ability>L2_Typo</ability>
      <abilityName>字词错误</abilityName>
      <candidateList>
        <item>表面</item>
      </candidateList>
      <explain/>
      <paraID>12444E41</paraID>
      <start>16</start>
      <end>18</end>
      <status>modified</status>
      <modifiedWord>表面</modifiedWord>
      <trackRevisions>false</trackRevisions>
    </reviewItem>
    <reviewItem>
      <errorID>d6f0991f-48da-4afb-8686-8b18d4453266</errorID>
      <errorWord>-</errorWord>
      <group>L1_Format</group>
      <groupName>格式问题</groupName>
      <ability>L2_HalfPunc</ability>
      <abilityName>全半角检查</abilityName>
      <candidateList>
        <item>－</item>
      </candidateList>
      <explain>文本全半角错误。</explain>
      <paraID>65697488</paraID>
      <start>41</start>
      <end>42</end>
      <status>modified</status>
      <modifiedWord>－</modifiedWord>
      <trackRevisions>false</trackRevisions>
    </reviewItem>
    <reviewItem>
      <errorID>c2d69e80-111c-412c-91b8-fa3ddd812e1f</errorID>
      <errorWord>-</errorWord>
      <group>L1_Format</group>
      <groupName>格式问题</groupName>
      <ability>L2_HalfPunc</ability>
      <abilityName>全半角检查</abilityName>
      <candidateList>
        <item>－</item>
      </candidateList>
      <explain>文本全半角错误。</explain>
      <paraID>65697488</paraID>
      <start>55</start>
      <end>56</end>
      <status>modified</status>
      <modifiedWord>－</modifiedWord>
      <trackRevisions>false</trackRevisions>
    </reviewItem>
    <reviewItem>
      <errorID>6639cd6c-d0dd-4399-803e-6822be78fd1a</errorID>
      <errorWord>-</errorWord>
      <group>L1_Format</group>
      <groupName>格式问题</groupName>
      <ability>L2_HalfPunc</ability>
      <abilityName>全半角检查</abilityName>
      <candidateList>
        <item>－</item>
      </candidateList>
      <explain>文本全半角错误。</explain>
      <paraID>65697488</paraID>
      <start>76</start>
      <end>77</end>
      <status>modified</status>
      <modifiedWord>－</modifiedWord>
      <trackRevisions>false</trackRevisions>
    </reviewItem>
    <reviewItem>
      <errorID>cb6aa0f4-3155-46e6-9b15-7f88c1b45237</errorID>
      <errorWord>、</errorWord>
      <group>L1_Punc</group>
      <groupName>标点问题</groupName>
      <ability>L2_Punc</ability>
      <abilityName>标点符号检查</abilityName>
      <candidateList>
        <item>.</item>
      </candidateList>
      <explain/>
      <paraID> 6988499</paraID>
      <start>1</start>
      <end>2</end>
      <status>modified</status>
      <modifiedWord>.</modifiedWord>
      <trackRevisions>false</trackRevisions>
    </reviewItem>
    <reviewItem>
      <errorID>6164e7bb-fba0-427d-9de5-7aa462006fdc</errorID>
      <errorWord>、</errorWord>
      <group>L1_Punc</group>
      <groupName>标点问题</groupName>
      <ability>L2_Punc</ability>
      <abilityName>标点符号检查</abilityName>
      <candidateList>
        <item>.</item>
      </candidateList>
      <explain/>
      <paraID>34EDEFDA</paraID>
      <start>1</start>
      <end>2</end>
      <status>modified</status>
      <modifiedWord>.</modifiedWord>
      <trackRevisions>false</trackRevisions>
    </reviewItem>
    <reviewItem>
      <errorID>3fdc476c-7499-4f72-96c6-d9dee47646e5</errorID>
      <errorWord>、</errorWord>
      <group>L1_Punc</group>
      <groupName>标点问题</groupName>
      <ability>L2_Punc</ability>
      <abilityName>标点符号检查</abilityName>
      <candidateList>
        <item>.</item>
      </candidateList>
      <explain/>
      <paraID>39EDCF83</paraID>
      <start>1</start>
      <end>2</end>
      <status>modified</status>
      <modifiedWord>.</modifiedWord>
      <trackRevisions>false</trackRevisions>
    </reviewItem>
    <reviewItem>
      <errorID>bc006f74-aa3b-4a99-8914-e8c7e6ee4beb</errorID>
      <errorWord>、</errorWord>
      <group>L1_Punc</group>
      <groupName>标点问题</groupName>
      <ability>L2_Punc</ability>
      <abilityName>标点符号检查</abilityName>
      <candidateList>
        <item>.</item>
      </candidateList>
      <explain/>
      <paraID>4FACE19F</paraID>
      <start>1</start>
      <end>2</end>
      <status>modified</status>
      <modifiedWord>.</modifiedWord>
      <trackRevisions>false</trackRevisions>
    </reviewItem>
    <reviewItem>
      <errorID>103de037-3e70-46cc-9fa6-58c435184d1c</errorID>
      <errorWord>、</errorWord>
      <group>L1_Punc</group>
      <groupName>标点问题</groupName>
      <ability>L2_Punc</ability>
      <abilityName>标点符号检查</abilityName>
      <candidateList>
        <item>.</item>
      </candidateList>
      <explain/>
      <paraID>701E59D4</paraID>
      <start>1</start>
      <end>2</end>
      <status>modified</status>
      <modifiedWord>.</modifiedWord>
      <trackRevisions>false</trackRevisions>
    </reviewItem>
    <reviewItem>
      <errorID>b8b64e5f-ac55-481f-978d-1ec6c7eb481f</errorID>
      <errorWord>前后</errorWord>
      <group>L1_Word</group>
      <groupName>字词问题</groupName>
      <ability>L2_Typo</ability>
      <abilityName>字词错误</abilityName>
      <candidateList>
        <item>后</item>
      </candidateList>
      <explain>❶君主的妻子：皇～｜～妃。❷古代称君主：商之先～。❸（Hòu）〈名〉姓。</explain>
      <paraID>396C5CF1</paraID>
      <start>3</start>
      <end>4</end>
      <status>modified</status>
      <modifiedWord>后</modifiedWord>
      <trackRevisions>false</trackRevisions>
    </reviewItem>
    <reviewItem>
      <errorID>f880786b-8c1b-4ed8-b614-2d41fd6d811c</errorID>
      <errorWord>、</errorWord>
      <group>L1_Punc</group>
      <groupName>标点问题</groupName>
      <ability>L2_Punc</ability>
      <abilityName>标点符号检查</abilityName>
      <candidateList>
        <item>.</item>
      </candidateList>
      <explain/>
      <paraID>1F94A5D8</paraID>
      <start>1</start>
      <end>2</end>
      <status>modified</status>
      <modifiedWord>.</modifiedWord>
      <trackRevisions>false</trackRevisions>
    </reviewItem>
    <reviewItem>
      <errorID>8c22d31d-21a7-40d6-b0b3-04132c84d1d9</errorID>
      <errorWord>浇铸</errorWord>
      <group>L1_Word</group>
      <groupName>字词问题</groupName>
      <ability>L2_Typo</ability>
      <abilityName>字词错误</abilityName>
      <candidateList>
        <item>浇筑</item>
      </candidateList>
      <explain/>
      <paraID>2B873A1C</paraID>
      <start>4</start>
      <end>6</end>
      <status>ignored</status>
      <modifiedWord/>
      <trackRevisions>false</trackRevisions>
    </reviewItem>
    <reviewItem>
      <errorID>711ddd54-0f7d-41e7-b495-e6934d288596</errorID>
      <errorWord>（</errorWord>
      <group>L1_Format</group>
      <groupName>格式问题</groupName>
      <ability>L2_HalfPunc</ability>
      <abilityName>全半角检查</abilityName>
      <candidateList>
        <item>(</item>
      </candidateList>
      <explain>文本全半角错误。</explain>
      <paraID>3CD29810</paraID>
      <start>0</start>
      <end>1</end>
      <status>modified</status>
      <modifiedWord>(</modifiedWord>
      <trackRevisions>false</trackRevisions>
    </reviewItem>
    <reviewItem>
      <errorID>7d994f0c-2a92-4677-823f-895a085cece1</errorID>
      <errorWord>）</errorWord>
      <group>L1_Format</group>
      <groupName>格式问题</groupName>
      <ability>L2_HalfPunc</ability>
      <abilityName>全半角检查</abilityName>
      <candidateList>
        <item>)</item>
      </candidateList>
      <explain>文本全半角错误。</explain>
      <paraID>3CD29810</paraID>
      <start>5</start>
      <end>6</end>
      <status>modified</status>
      <modifiedWord>)</modifiedWord>
      <trackRevisions>false</trackRevisions>
    </reviewItem>
    <reviewItem>
      <errorID>3f595872-3b4b-4bda-a234-b16d9457fe13</errorID>
      <errorWord>浇铸</errorWord>
      <group>L1_Word</group>
      <groupName>字词问题</groupName>
      <ability>L2_Typo</ability>
      <abilityName>字词错误</abilityName>
      <candidateList>
        <item>浇注</item>
      </candidateList>
      <explain/>
      <paraID>789C1979</paraID>
      <start>0</start>
      <end>2</end>
      <status>ignored</status>
      <modifiedWord/>
      <trackRevisions>false</trackRevisions>
    </reviewItem>
    <reviewItem>
      <errorID>98b203b9-bc03-40c2-bede-17104102d8c8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5E22C984</paraID>
      <start>1</start>
      <end>2</end>
      <status>modified</status>
      <modifiedWord>且</modifiedWord>
      <trackRevisions>false</trackRevisions>
    </reviewItem>
    <reviewItem>
      <errorID>1649abb4-472f-44d8-8971-ee77d8cfc367</errorID>
      <errorWord>、</errorWord>
      <group>L1_Punc</group>
      <groupName>标点问题</groupName>
      <ability>L2_Punc</ability>
      <abilityName>标点符号检查</abilityName>
      <candidateList>
        <item>.</item>
      </candidateList>
      <explain/>
      <paraID>20465BB2</paraID>
      <start>1</start>
      <end>2</end>
      <status>modified</status>
      <modifiedWord>.</modifiedWord>
      <trackRevisions>false</trackRevisions>
    </reviewItem>
    <reviewItem>
      <errorID>d5f6c837-da7c-4ad7-be63-4d575fa3b004</errorID>
      <errorWord>、</errorWord>
      <group>L1_Punc</group>
      <groupName>标点问题</groupName>
      <ability>L2_Punc</ability>
      <abilityName>标点符号检查</abilityName>
      <candidateList>
        <item>.</item>
      </candidateList>
      <explain/>
      <paraID>40F5431E</paraID>
      <start>1</start>
      <end>2</end>
      <status>modified</status>
      <modifiedWord>.</modifiedWord>
      <trackRevisions>false</trackRevisions>
    </reviewItem>
    <reviewItem>
      <errorID>1986dd07-a139-4c0e-b46a-284d06d275fa</errorID>
      <errorWord>、</errorWord>
      <group>L1_Punc</group>
      <groupName>标点问题</groupName>
      <ability>L2_Punc</ability>
      <abilityName>标点符号检查</abilityName>
      <candidateList>
        <item>.</item>
      </candidateList>
      <explain/>
      <paraID>60A2298C</paraID>
      <start>1</start>
      <end>2</end>
      <status>modified</status>
      <modifiedWord>.</modifiedWord>
      <trackRevisions>false</trackRevisions>
    </reviewItem>
    <reviewItem>
      <errorID>59157a1b-8cc6-43f6-9d20-16b7b99c1569</errorID>
      <errorWord>、</errorWord>
      <group>L1_Punc</group>
      <groupName>标点问题</groupName>
      <ability>L2_Punc</ability>
      <abilityName>标点符号检查</abilityName>
      <candidateList>
        <item>.</item>
      </candidateList>
      <explain/>
      <paraID>2B5FCB1A</paraID>
      <start>1</start>
      <end>2</end>
      <status>modified</status>
      <modifiedWord>.</modifiedWord>
      <trackRevisions>false</trackRevisions>
    </reviewItem>
    <reviewItem>
      <errorID>8305a6f6-e932-4f74-bfd4-3db73d19ab46</errorID>
      <errorWord>是由于固体表面存在着剩余的吸引而引起的</errorWord>
      <group>L1_Grammar</group>
      <groupName>语法问题</groupName>
      <ability>L2_Grammar</ability>
      <abilityName>语法错误</abilityName>
      <candidateList>
        <item>是由于固体表面存在着剩余的吸引而</item>
      </candidateList>
      <explain/>
      <paraID>45518954</paraID>
      <start>57</start>
      <end>73</end>
      <status>modified</status>
      <modifiedWord>是由于固体表面存在着剩余的吸引而</modifiedWord>
      <trackRevisions>false</trackRevisions>
    </reviewItem>
    <reviewItem>
      <errorID>700c7827-43a7-4c4e-af61-c2f10bbec246</errorID>
      <errorWord>饱和蒸气</errorWord>
      <group>L1_Word</group>
      <groupName>字词问题</groupName>
      <ability>L2_Typo</ability>
      <abilityName>字词错误</abilityName>
      <candidateList>
        <item>饱和蒸汽</item>
      </candidateList>
      <explain/>
      <paraID>45518954</paraID>
      <start>179</start>
      <end>183</end>
      <status>ignored</status>
      <modifiedWord/>
      <trackRevisions>false</trackRevisions>
    </reviewItem>
    <reviewItem>
      <errorID>77f3e35f-c490-4a16-9fd1-14dd948a9095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DFCEF45</paraID>
      <start>2</start>
      <end>3</end>
      <status>modified</status>
      <modifiedWord>对</modifiedWord>
      <trackRevisions>false</trackRevisions>
    </reviewItem>
    <reviewItem>
      <errorID>4d240535-44fb-4d0d-b237-abd220a462a9</errorID>
      <errorWord>总是</errorWord>
      <group>L1_Word</group>
      <groupName>字词问题</groupName>
      <ability>L2_Typo</ability>
      <abilityName>字词错误</abilityName>
      <candidateList>
        <item>总量</item>
      </candidateList>
      <explain/>
      <paraID>6C99A2BA</paraID>
      <start>18</start>
      <end>20</end>
      <status>modified</status>
      <modifiedWord>总量</modifiedWord>
      <trackRevisions>false</trackRevisions>
    </reviewItem>
    <reviewItem>
      <errorID>d25d3e61-b064-45ef-9a20-524ddd9356d9</errorID>
      <errorWord>措施是</errorWord>
      <group>L1_Word</group>
      <groupName>字词问题</groupName>
      <ability>L2_Typo</ability>
      <abilityName>字词错误</abilityName>
      <candidateList>
        <item>措施</item>
      </candidateList>
      <explain>〈名〉针对某种情况而采取的处理办法（用于较大的事情）：计划已经订出，～应该跟上。</explain>
      <paraID>4774F455</paraID>
      <start>10</start>
      <end>12</end>
      <status>modified</status>
      <modifiedWord>措施</modifiedWord>
      <trackRevisions>false</trackRevisions>
    </reviewItem>
    <reviewItem>
      <errorID>13128d82-6ef9-4dfe-b708-3083ac78ee33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6AC378DA</paraID>
      <start>0</start>
      <end>2</end>
      <status>modified</status>
      <modifiedWord>2.</modifiedWord>
      <trackRevisions>false</trackRevisions>
    </reviewItem>
    <reviewItem>
      <errorID>30ab67ea-5d34-4cbc-b4de-21952f8cc5a2</errorID>
      <errorWord>(</errorWord>
      <group>L1_Format</group>
      <groupName>格式问题</groupName>
      <ability>L2_HalfPunc</ability>
      <abilityName>全半角检查</abilityName>
      <candidateList>
        <item>（</item>
      </candidateList>
      <explain>文本全半角错误。</explain>
      <paraID>62032A6F</paraID>
      <start>25</start>
      <end>26</end>
      <status>modified</status>
      <modifiedWord>（</modifiedWord>
      <trackRevisions>false</trackRevisions>
    </reviewItem>
    <reviewItem>
      <errorID>72d5ff43-9e1a-4dd9-a536-268e24f2f9ad</errorID>
      <errorWord>)</errorWord>
      <group>L1_Format</group>
      <groupName>格式问题</groupName>
      <ability>L2_HalfPunc</ability>
      <abilityName>全半角检查</abilityName>
      <candidateList>
        <item>）</item>
      </candidateList>
      <explain>文本全半角错误。</explain>
      <paraID>62032A6F</paraID>
      <start>36</start>
      <end>37</end>
      <status>modified</status>
      <modifiedWord>）</modifiedWord>
      <trackRevisions>false</trackRevisions>
    </reviewItem>
    <reviewItem>
      <errorID>e8f2356d-4881-4b18-ac92-4aec6adadae8</errorID>
      <errorWord>(</errorWord>
      <group>L1_Format</group>
      <groupName>格式问题</groupName>
      <ability>L2_HalfPunc</ability>
      <abilityName>全半角检查</abilityName>
      <candidateList>
        <item>（</item>
      </candidateList>
      <explain>文本全半角错误。</explain>
      <paraID>62032A6F</paraID>
      <start>65</start>
      <end>66</end>
      <status>modified</status>
      <modifiedWord>（</modifiedWord>
      <trackRevisions>false</trackRevisions>
    </reviewItem>
    <reviewItem>
      <errorID>e9ef8876-cf59-4ab5-b0bb-311569bb8dfc</errorID>
      <errorWord>)</errorWord>
      <group>L1_Format</group>
      <groupName>格式问题</groupName>
      <ability>L2_HalfPunc</ability>
      <abilityName>全半角检查</abilityName>
      <candidateList>
        <item>）</item>
      </candidateList>
      <explain>文本全半角错误。</explain>
      <paraID>62032A6F</paraID>
      <start>73</start>
      <end>74</end>
      <status>modified</status>
      <modifiedWord>）</modifiedWord>
      <trackRevisions>false</trackRevisions>
    </reviewItem>
    <reviewItem>
      <errorID>84dded3c-38f4-4a9b-ac87-ac9bf8446e87</errorID>
      <errorWord>，</errorWord>
      <group>L1_Format</group>
      <groupName>格式问题</groupName>
      <ability>L2_HalfPunc</ability>
      <abilityName>全半角检查</abilityName>
      <candidateList>
        <item>,</item>
      </candidateList>
      <explain>文本全半角错误。</explain>
      <paraID>49C715F8</paraID>
      <start>12</start>
      <end>13</end>
      <status>modified</status>
      <modifiedWord>,</modifiedWord>
      <trackRevisions>false</trackRevisions>
    </reviewItem>
    <reviewItem>
      <errorID>b301853c-d70a-4826-856d-2fc4409ff8f4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47946754</paraID>
      <start>0</start>
      <end>2</end>
      <status>modified</status>
      <modifiedWord>3.</modifiedWord>
      <trackRevisions>false</trackRevisions>
    </reviewItem>
    <reviewItem>
      <errorID>7aeb2991-9cd0-431c-89aa-3ae7d235491b</errorID>
      <errorWord>KW</errorWord>
      <group>L1_Word</group>
      <groupName>字词问题</groupName>
      <ability>L2_Typo</ability>
      <abilityName>字词错误</abilityName>
      <candidateList>
        <item>kW</item>
      </candidateList>
      <explain/>
      <paraID>36339715</paraID>
      <start>2</start>
      <end>4</end>
      <status>modified</status>
      <modifiedWord>kW</modifiedWord>
      <trackRevisions>false</trackRevisions>
    </reviewItem>
    <reviewItem>
      <errorID>972cb352-c93f-4fbc-9788-46d101557535</errorID>
      <errorWord>（</errorWord>
      <group>L1_Format</group>
      <groupName>格式问题</groupName>
      <ability>L2_HalfPunc</ability>
      <abilityName>全半角检查</abilityName>
      <candidateList>
        <item>(</item>
      </candidateList>
      <explain>文本全半角错误。</explain>
      <paraID>4BB908BC</paraID>
      <start>11</start>
      <end>12</end>
      <status>modified</status>
      <modifiedWord>(</modifiedWord>
      <trackRevisions>false</trackRevisions>
    </reviewItem>
    <reviewItem>
      <errorID>41259088-cdb5-45dc-9198-209c54b45b2e</errorID>
      <errorWord>）</errorWord>
      <group>L1_Format</group>
      <groupName>格式问题</groupName>
      <ability>L2_HalfPunc</ability>
      <abilityName>全半角检查</abilityName>
      <candidateList>
        <item>)</item>
      </candidateList>
      <explain>文本全半角错误。</explain>
      <paraID>4BB908BC</paraID>
      <start>14</start>
      <end>15</end>
      <status>modified</status>
      <modifiedWord>)</modifiedWord>
      <trackRevisions>false</trackRevisions>
    </reviewItem>
    <reviewItem>
      <errorID>d7ec5787-7761-4f20-b864-524e960d2b02</errorID>
      <errorWord>（</errorWord>
      <group>L1_Format</group>
      <groupName>格式问题</groupName>
      <ability>L2_HalfPunc</ability>
      <abilityName>全半角检查</abilityName>
      <candidateList>
        <item>(</item>
      </candidateList>
      <explain>文本全半角错误。</explain>
      <paraID>16A81817</paraID>
      <start>9</start>
      <end>10</end>
      <status>modified</status>
      <modifiedWord>(</modifiedWord>
      <trackRevisions>false</trackRevisions>
    </reviewItem>
    <reviewItem>
      <errorID>53e1c9eb-e4e7-44ff-9fca-0a44dda26c3c</errorID>
      <errorWord>）</errorWord>
      <group>L1_Format</group>
      <groupName>格式问题</groupName>
      <ability>L2_HalfPunc</ability>
      <abilityName>全半角检查</abilityName>
      <candidateList>
        <item>)</item>
      </candidateList>
      <explain>文本全半角错误。</explain>
      <paraID>16A81817</paraID>
      <start>12</start>
      <end>13</end>
      <status>modified</status>
      <modifiedWord>)</modifiedWord>
      <trackRevisions>false</trackRevisions>
    </reviewItem>
    <reviewItem>
      <errorID>afc96607-cfbc-4e0c-9f28-63068fa6e1ea</errorID>
      <errorWord>（</errorWord>
      <group>L1_Format</group>
      <groupName>格式问题</groupName>
      <ability>L2_HalfPunc</ability>
      <abilityName>全半角检查</abilityName>
      <candidateList>
        <item>(</item>
      </candidateList>
      <explain>文本全半角错误。</explain>
      <paraID>16A81817</paraID>
      <start>17</start>
      <end>18</end>
      <status>modified</status>
      <modifiedWord>(</modifiedWord>
      <trackRevisions>false</trackRevisions>
    </reviewItem>
    <reviewItem>
      <errorID>943d4407-c64c-45da-8f67-6e1e295e3a61</errorID>
      <errorWord>）</errorWord>
      <group>L1_Format</group>
      <groupName>格式问题</groupName>
      <ability>L2_HalfPunc</ability>
      <abilityName>全半角检查</abilityName>
      <candidateList>
        <item>)</item>
      </candidateList>
      <explain>文本全半角错误。</explain>
      <paraID>16A81817</paraID>
      <start>22</start>
      <end>23</end>
      <status>modified</status>
      <modifiedWord>)</modifiedWord>
      <trackRevisions>false</trackRevisions>
    </reviewItem>
    <reviewItem>
      <errorID>3223614f-16f5-4898-984a-5201233a0983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6C6BD6C3</paraID>
      <start>0</start>
      <end>2</end>
      <status>modified</status>
      <modifiedWord>4.</modifiedWord>
      <trackRevisions>false</trackRevisions>
    </reviewItem>
    <reviewItem>
      <errorID>1f2962cb-a207-4897-9834-7dd56a15de5f</errorID>
      <errorWord>物</errorWord>
      <group>L1_Word</group>
      <groupName>字词问题</groupName>
      <ability>L2_Typo</ability>
      <abilityName>字词错误</abilityName>
      <candidateList>
        <item>物环</item>
      </candidateList>
      <explain/>
      <paraID>6C6BD6C3</paraID>
      <start>5</start>
      <end>7</end>
      <status>modified</status>
      <modifiedWord>物环</modifiedWord>
      <trackRevisions>false</trackRevisions>
    </reviewItem>
    <reviewItem>
      <errorID>f8104ea3-6ed6-41d5-98d4-24a47336d495</errorID>
      <errorWord>.</errorWord>
      <group>L1_Format</group>
      <groupName>格式问题</groupName>
      <ability>L2_HalfPunc</ability>
      <abilityName>全半角检查</abilityName>
      <candidateList>
        <item>。</item>
      </candidateList>
      <explain>文本全半角错误。</explain>
      <paraID>4E91B20E</paraID>
      <start>94</start>
      <end>95</end>
      <status>modified</status>
      <modifiedWord>。</modifiedWord>
      <trackRevisions>false</trackRevisions>
    </reviewItem>
    <reviewItem>
      <errorID>69ad4065-f414-4580-bc57-99f3d3f5d722</errorID>
      <errorWord>计</errorWord>
      <group>L1_Word</group>
      <groupName>字词问题</groupName>
      <ability>L2_Typo</ability>
      <abilityName>字词错误</abilityName>
      <candidateList>
        <item>计为</item>
      </candidateList>
      <explain/>
      <paraID>191C5B50</paraID>
      <start>71</start>
      <end>73</end>
      <status>modified</status>
      <modifiedWord>计为</modifiedWord>
      <trackRevisions>false</trackRevisions>
    </reviewItem>
    <reviewItem>
      <errorID>c0d9f8a3-5f75-43ec-a4d8-0d5a0667e6e9</errorID>
      <errorWord>计</errorWord>
      <group>L1_Word</group>
      <groupName>字词问题</groupName>
      <ability>L2_Typo</ability>
      <abilityName>字词错误</abilityName>
      <candidateList>
        <item>计为</item>
      </candidateList>
      <explain/>
      <paraID>5E74BCC1</paraID>
      <start>44</start>
      <end>46</end>
      <status>modified</status>
      <modifiedWord>计为</modifiedWord>
      <trackRevisions>false</trackRevisions>
    </reviewItem>
    <reviewItem>
      <errorID>b106a118-1fad-4d1f-a313-fb9a7ca53cbc</errorID>
      <errorWord>，</errorWord>
      <group>L1_Format</group>
      <groupName>格式问题</groupName>
      <ability>L2_HalfPunc</ability>
      <abilityName>全半角检查</abilityName>
      <candidateList>
        <item>, </item>
      </candidateList>
      <explain>文本全半角错误。</explain>
      <paraID>2E6C1BCC</paraID>
      <start>1</start>
      <end>3</end>
      <status>modified</status>
      <modifiedWord>, </modifiedWord>
      <trackRevisions>false</trackRevisions>
    </reviewItem>
    <reviewItem>
      <errorID>8034c06f-3703-4d75-8797-df55597b6eb2</errorID>
      <errorWord>，</errorWord>
      <group>L1_Format</group>
      <groupName>格式问题</groupName>
      <ability>L2_HalfPunc</ability>
      <abilityName>全半角检查</abilityName>
      <candidateList>
        <item>, </item>
      </candidateList>
      <explain>文本全半角错误。</explain>
      <paraID>6B24CB37</paraID>
      <start>1</start>
      <end>3</end>
      <status>modified</status>
      <modifiedWord>, </modifiedWord>
      <trackRevisions>false</trackRevisions>
    </reviewItem>
    <reviewItem>
      <errorID>cb4e9687-6d28-4041-84bd-a6084bf437eb</errorID>
      <errorWord>、以及</errorWord>
      <group>L1_Punc</group>
      <groupName>标点问题</groupName>
      <ability>L2_Punc</ability>
      <abilityName>标点符号检查</abilityName>
      <candidateList>
        <item>，以及</item>
      </candidateList>
      <explain>连接词前后不宜使用顿号，建议使用逗号。</explain>
      <paraID>2FE4F70F</paraID>
      <start>160</start>
      <end>163</end>
      <status>modified</status>
      <modifiedWord>，以及</modifiedWord>
      <trackRevisions>false</trackRevisions>
    </reviewItem>
    <reviewItem>
      <errorID>039a357f-349d-447a-81bc-d944de1e668b</errorID>
      <errorWord>台帐</errorWord>
      <group>L1_Word</group>
      <groupName>字词问题</groupName>
      <ability>L2_Typo</ability>
      <abilityName>字词错误</abilityName>
      <candidateList>
        <item>台账</item>
      </candidateList>
      <explain>存在发音相同字词的误用。</explain>
      <paraID>2FE4F70F</paraID>
      <start>225</start>
      <end>227</end>
      <status>modified</status>
      <modifiedWord>台账</modifiedWord>
      <trackRevisions>false</trackRevisions>
    </reviewItem>
    <reviewItem>
      <errorID>3cf78ab5-12b9-45b1-9abc-684edd2bd0ed</errorID>
      <errorWord>泄露</errorWord>
      <group>L1_Word</group>
      <groupName>字词问题</groupName>
      <ability>L2_Typo</ability>
      <abilityName>字词错误</abilityName>
      <candidateList>
        <item>泄漏</item>
      </candidateList>
      <explain/>
      <paraID>449B9B80</paraID>
      <start>37</start>
      <end>39</end>
      <status>modified</status>
      <modifiedWord>泄漏</modifiedWord>
      <trackRevisions>false</trackRevisions>
    </reviewItem>
    <reviewItem>
      <errorID>e07c43b2-9996-4aba-b544-200f4db02e5a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3E9A5460</paraID>
      <start>0</start>
      <end>2</end>
      <status>modified</status>
      <modifiedWord>5.</modifiedWord>
      <trackRevisions>false</trackRevisions>
    </reviewItem>
    <reviewItem>
      <errorID>78c36f5f-f200-4d48-ac52-5d866cf08fd7</errorID>
      <errorWord>泄露</errorWord>
      <group>L1_Word</group>
      <groupName>字词问题</groupName>
      <ability>L2_Typo</ability>
      <abilityName>字词错误</abilityName>
      <candidateList>
        <item>泄漏</item>
      </candidateList>
      <explain/>
      <paraID>5BF58CAC</paraID>
      <start>20</start>
      <end>22</end>
      <status>modified</status>
      <modifiedWord>泄漏</modifiedWord>
      <trackRevisions>false</trackRevisions>
    </reviewItem>
    <reviewItem>
      <errorID>669d3aa1-d58d-454c-8e8e-a992c8c57b1b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3B419777</paraID>
      <start>44</start>
      <end>45</end>
      <status>modified</status>
      <modifiedWord>—</modifiedWord>
      <trackRevisions>false</trackRevisions>
    </reviewItem>
    <reviewItem>
      <errorID>d9b9e537-54e2-401c-8c2c-e2a4bc3f940c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4CFA0269</paraID>
      <start>24</start>
      <end>25</end>
      <status>modified</status>
      <modifiedWord>—</modifiedWord>
      <trackRevisions>false</trackRevisions>
    </reviewItem>
    <reviewItem>
      <errorID>0dbeb368-91c6-4761-bb18-247cc5ca50f6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728113D5</paraID>
      <start>0</start>
      <end>2</end>
      <status>modified</status>
      <modifiedWord>6.</modifiedWord>
      <trackRevisions>false</trackRevisions>
    </reviewItem>
    <reviewItem>
      <errorID>5ed925dc-5e0b-448a-8c51-4679dd205894</errorID>
      <errorWord>，…，</errorWord>
      <group>L1_Punc</group>
      <groupName>标点问题</groupName>
      <ability>L2_Punc</ability>
      <abilityName>标点符号检查</abilityName>
      <candidateList>
        <item>，</item>
      </candidateList>
      <explain/>
      <paraID>3E760521</paraID>
      <start>5</start>
      <end>6</end>
      <status>modified</status>
      <modifiedWord>，</modifiedWord>
      <trackRevisions>false</trackRevisions>
    </reviewItem>
    <reviewItem>
      <errorID>606f5498-c2d7-4825-8a2c-26255281f0a9</errorID>
      <errorWord>的的</errorWord>
      <group>L1_Word</group>
      <groupName>字词问题</groupName>
      <ability>L2_Typo</ability>
      <abilityName>字词错误</abilityName>
      <candidateList>
        <item>的</item>
      </candidateList>
      <explain>“的”常用于连接修饰语与名词性中心语，表示属性、所属或描述。</explain>
      <paraID>3E760521</paraID>
      <start>15</start>
      <end>16</end>
      <status>modified</status>
      <modifiedWord>的</modifiedWord>
      <trackRevisions>false</trackRevisions>
    </reviewItem>
    <reviewItem>
      <errorID>4e878615-07c9-4c8d-b056-1b9515ccb500</errorID>
      <errorWord>，…，</errorWord>
      <group>L1_Punc</group>
      <groupName>标点问题</groupName>
      <ability>L2_Punc</ability>
      <abilityName>标点符号检查</abilityName>
      <candidateList>
        <item>，</item>
      </candidateList>
      <explain/>
      <paraID>47D1F1A0</paraID>
      <start>5</start>
      <end>6</end>
      <status>modified</status>
      <modifiedWord>，</modifiedWord>
      <trackRevisions>false</trackRevisions>
    </reviewItem>
    <reviewItem>
      <errorID>fed0e8be-feb8-40d5-a84d-690d2f28014d</errorID>
      <errorWord>废气设备</errorWord>
      <group>L1_Knowledge</group>
      <groupName>知识性问题</groupName>
      <ability>L2_Term</ability>
      <abilityName>专业术语</abilityName>
      <candidateList>
        <item>电气设备</item>
      </candidateList>
      <explain/>
      <paraID>28B6EC0E</paraID>
      <start>17</start>
      <end>21</end>
      <status>ignored</status>
      <modifiedWord/>
      <trackRevisions>false</trackRevisions>
    </reviewItem>
    <reviewItem>
      <errorID>84ed2e63-bad8-49d3-8ad7-c9bc5ea06558</errorID>
      <errorWord>、</errorWord>
      <group>L1_Punc</group>
      <groupName>标点问题</groupName>
      <ability>L2_Punc</ability>
      <abilityName>标点符号检查</abilityName>
      <candidateList>
        <item>.</item>
      </candidateList>
      <explain/>
      <paraID>1E56A027</paraID>
      <start>1</start>
      <end>2</end>
      <status>modified</status>
      <modifiedWord>.</modifiedWord>
      <trackRevisions>false</trackRevisions>
    </reviewItem>
    <reviewItem>
      <errorID>36ffe164-8654-45fc-a3d8-4440979c9656</errorID>
      <errorWord>、</errorWord>
      <group>L1_Punc</group>
      <groupName>标点问题</groupName>
      <ability>L2_Punc</ability>
      <abilityName>标点符号检查</abilityName>
      <candidateList>
        <item>.</item>
      </candidateList>
      <explain/>
      <paraID>76E559A6</paraID>
      <start>1</start>
      <end>2</end>
      <status>modified</status>
      <modifiedWord>.</modifiedWord>
      <trackRevisions>false</trackRevisions>
    </reviewItem>
    <reviewItem>
      <errorID>eeb83c15-200d-4e42-a2a0-47cfdeb1ebbc</errorID>
      <errorWord>、</errorWord>
      <group>L1_Punc</group>
      <groupName>标点问题</groupName>
      <ability>L2_Punc</ability>
      <abilityName>标点符号检查</abilityName>
      <candidateList>
        <item>.</item>
      </candidateList>
      <explain/>
      <paraID> 5633A83</paraID>
      <start>1</start>
      <end>2</end>
      <status>modified</status>
      <modifiedWord>.</modifiedWord>
      <trackRevisions>false</trackRevisions>
    </reviewItem>
    <reviewItem>
      <errorID>8938aee4-1714-4391-92eb-39387719faf2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5633A83</paraID>
      <start>38</start>
      <end>39</end>
      <status>modified</status>
      <modifiedWord>—</modifiedWord>
      <trackRevisions>false</trackRevisions>
    </reviewItem>
    <reviewItem>
      <errorID>02cce111-783d-40f7-ae17-f0478990f57d</errorID>
      <errorWord>其它人工</errorWord>
      <group>L1_Word</group>
      <groupName>字词问题</groupName>
      <ability>L2_Alias</ability>
      <abilityName>也作/曾用词</abilityName>
      <candidateList>
        <item>其他人工</item>
      </candidateList>
      <explain>词汇[其它人工]为不规范表述或旧称，其规范书面表述为[其他人工]。</explain>
      <paraID> 5633A83</paraID>
      <start>66</start>
      <end>70</end>
      <status>modified</status>
      <modifiedWord>其他人工</modifiedWord>
      <trackRevisions>false</trackRevisions>
    </reviewItem>
    <reviewItem>
      <errorID>86185e35-2849-48af-83ad-582f80797c41</errorID>
      <errorWord>防渗处理</errorWord>
      <group>L1_Knowledge</group>
      <groupName>知识性问题</groupName>
      <ability>L2_Term</ability>
      <abilityName>专业术语</abilityName>
      <candidateList>
        <item>防蚀处理</item>
      </candidateList>
      <explain/>
      <paraID>72510EB5</paraID>
      <start>55</start>
      <end>59</end>
      <status>ignored</status>
      <modifiedWord/>
      <trackRevisions>false</trackRevisions>
    </reviewItem>
    <reviewItem>
      <errorID>a592e5c9-17bb-477e-9e85-0220c7d2f2cd</errorID>
      <errorWord>，如</errorWord>
      <group>L1_Word</group>
      <groupName>字词问题</groupName>
      <ability>L2_Typo</ability>
      <abilityName>字词错误</abilityName>
      <candidateList>
        <item>，</item>
      </candidateList>
      <explain/>
      <paraID> 667B978</paraID>
      <start>16</start>
      <end>17</end>
      <status>modified</status>
      <modifiedWord>，</modifiedWord>
      <trackRevisions>false</trackRevisions>
    </reviewItem>
    <reviewItem>
      <errorID>a9fde39a-7d27-43a0-bd20-d3e72de05aad</errorID>
      <errorWord>（</errorWord>
      <group>L1_Punc</group>
      <groupName>标点问题</groupName>
      <ability>L2_Punc</ability>
      <abilityName>标点符号检查</abilityName>
      <candidateList/>
      <explain/>
      <paraID>27650BD0</paraID>
      <start>5</start>
      <end>6</end>
      <status>unmodified</status>
      <modifiedWord/>
      <trackRevisions>false</trackRevisions>
    </reviewItem>
    <reviewItem>
      <errorID>48d23a4d-2d65-4fca-8cc4-3ba91dd7fa25</errorID>
      <errorWord>中</errorWord>
      <group>L1_Word</group>
      <groupName>字词问题</groupName>
      <ability>L2_Typo</ability>
      <abilityName>字词错误</abilityName>
      <candidateList>
        <item>中第</item>
      </candidateList>
      <explain/>
      <paraID>3AC5740E</paraID>
      <start>31</start>
      <end>32</end>
      <status>ignored</status>
      <modifiedWord/>
      <trackRevisions>false</trackRevisions>
    </reviewItem>
    <reviewItem>
      <errorID>e32674c5-05e3-45a2-9c27-019cf8ffea48</errorID>
      <errorWord>计</errorWord>
      <group>L1_Word</group>
      <groupName>字词问题</groupName>
      <ability>L2_Typo</ability>
      <abilityName>字词错误</abilityName>
      <candidateList>
        <item>计为</item>
      </candidateList>
      <explain/>
      <paraID>4F71A2B3</paraID>
      <start>71</start>
      <end>73</end>
      <status>modified</status>
      <modifiedWord>计为</modifiedWord>
      <trackRevisions>false</trackRevisions>
    </reviewItem>
    <reviewItem>
      <errorID>59b14d22-35e5-45ff-8362-a5bc850f1f37</errorID>
      <errorWord>。。</errorWord>
      <group>L1_Punc</group>
      <groupName>标点问题</groupName>
      <ability>L2_Punc</ability>
      <abilityName>标点符号检查</abilityName>
      <candidateList>
        <item>。</item>
      </candidateList>
      <explain/>
      <paraID>32C52850</paraID>
      <start>47</start>
      <end>48</end>
      <status>modified</status>
      <modifiedWord>。</modifiedWord>
      <trackRevisions>false</trackRevisions>
    </reviewItem>
    <reviewItem>
      <errorID>5c6089a2-dc4b-41ac-9ad5-b6ba5ad18e95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430EEE8</paraID>
      <start>34</start>
      <end>35</end>
      <status>modified</status>
      <modifiedWord>—</modifiedWord>
      <trackRevisions>false</trackRevisions>
    </reviewItem>
    <reviewItem>
      <errorID>7856318d-58f4-481a-8ce6-641847e899f6</errorID>
      <errorWord>其它人工</errorWord>
      <group>L1_Word</group>
      <groupName>字词问题</groupName>
      <ability>L2_Alias</ability>
      <abilityName>也作/曾用词</abilityName>
      <candidateList>
        <item>其他人工</item>
      </candidateList>
      <explain>词汇[其它人工]为不规范表述或旧称，其规范书面表述为[其他人工]。</explain>
      <paraID> 430EEE8</paraID>
      <start>62</start>
      <end>66</end>
      <status>modified</status>
      <modifiedWord>其他人工</modifiedWord>
      <trackRevisions>false</trackRevisions>
    </reviewItem>
    <reviewItem>
      <errorID>7bed0422-ede7-4276-a792-335c9a06a9da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430EEE8</paraID>
      <start>76</start>
      <end>77</end>
      <status>modified</status>
      <modifiedWord>—</modifiedWord>
      <trackRevisions>false</trackRevisions>
    </reviewItem>
    <reviewItem>
      <errorID>ce8a5e6f-0104-4622-ae5d-88ffc9891a75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51EB20B5</paraID>
      <start>40</start>
      <end>42</end>
      <status>modified</status>
      <modifiedWord>可以</modifiedWord>
      <trackRevisions>false</trackRevisions>
    </reviewItem>
    <reviewItem>
      <errorID>4d559dde-d58f-4301-a8e6-e63636a87700</errorID>
      <errorWord>造成的</errorWord>
      <group>L1_Word</group>
      <groupName>字词问题</groupName>
      <ability>L2_Typo</ability>
      <abilityName>字词错误</abilityName>
      <candidateList>
        <item>造成</item>
      </candidateList>
      <explain/>
      <paraID>51EB20B5</paraID>
      <start>68</start>
      <end>70</end>
      <status>modified</status>
      <modifiedWord>造成</modifiedWord>
      <trackRevisions>false</trackRevisions>
    </reviewItem>
    <reviewItem>
      <errorID>c09a2944-1278-4e51-aab0-9ded045b0b3b</errorID>
      <errorWord>）</errorWord>
      <group>L1_Word</group>
      <groupName>字词问题</groupName>
      <ability>L2_Typo</ability>
      <abilityName>字词错误</abilityName>
      <candidateList>
        <item>）制</item>
      </candidateList>
      <explain/>
      <paraID>2C1F4E33</paraID>
      <start>2</start>
      <end>4</end>
      <status>modified</status>
      <modifiedWord>）制</modifiedWord>
      <trackRevisions>false</trackRevisions>
    </reviewItem>
    <reviewItem>
      <errorID>f93be3fe-82b5-4e58-a0d4-8f6d2b5d4f4d</errorID>
      <errorWord>意识后</errorWord>
      <group>L1_Word</group>
      <groupName>字词问题</groupName>
      <ability>L2_Typo</ability>
      <abilityName>字词错误</abilityName>
      <candidateList>
        <item>意识</item>
      </candidateList>
      <explain>❶〈名〉人的头脑对于客观物质世界的反映，是感觉、思维等各种心理过程的总和，其中的思维是人类特有的反映现实的高级形式。存在决定意识，意识又反作用于存在。❷〈动〉觉察（常跟“到”字连用）：天还冷，看见树枝发绿才～到已经是春天了。</explain>
      <paraID> E6D86B2</paraID>
      <start>85</start>
      <end>87</end>
      <status>modified</status>
      <modifiedWord>意识</modifiedWord>
      <trackRevisions>false</trackRevisions>
    </reviewItem>
    <reviewItem>
      <errorID>aa8dd526-241e-41a1-9228-4295107dc912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E6D86B2</paraID>
      <start>114</start>
      <end>115</end>
      <status>modified</status>
      <modifiedWord>地</modifiedWord>
      <trackRevisions>false</trackRevisions>
    </reviewItem>
    <reviewItem>
      <errorID>eaf5f522-d4f5-4950-a551-ea5abc18370b</errorID>
      <errorWord>（</errorWord>
      <group>L1_Punc</group>
      <groupName>标点问题</groupName>
      <ability>L2_Punc</ability>
      <abilityName>标点符号检查</abilityName>
      <candidateList/>
      <explain>同一形式括号套用。</explain>
      <paraID>1142F4E2</paraID>
      <start>5</start>
      <end>6</end>
      <status>unmodified</status>
      <modifiedWord/>
      <trackRevisions>false</trackRevisions>
    </reviewItem>
    <reviewItem>
      <errorID>0a354851-7173-4be6-bb1f-8397d29a80da</errorID>
      <errorWord>）</errorWord>
      <group>L1_Punc</group>
      <groupName>标点问题</groupName>
      <ability>L2_Punc</ability>
      <abilityName>标点符号检查</abilityName>
      <candidateList/>
      <explain>同一形式括号套用。</explain>
      <paraID>1142F4E2</paraID>
      <start>11</start>
      <end>12</end>
      <status>unmodified</status>
      <modifiedWord/>
      <trackRevisions>false</trackRevisions>
    </reviewItem>
    <reviewItem>
      <errorID>125a21d5-2f15-441f-aa93-d02a12269c1a</errorID>
      <errorWord>称</errorWord>
      <group>L1_Word</group>
      <groupName>字词问题</groupName>
      <ability>L2_Typo</ability>
      <abilityName>字词错误</abilityName>
      <candidateList>
        <item>秤</item>
      </candidateList>
      <explain>存在发音相同字词的误用。</explain>
      <paraID>2E1D0AF4</paraID>
      <start>6</start>
      <end>7</end>
      <status>modified</status>
      <modifiedWord>秤</modifiedWord>
      <trackRevisions>false</trackRevisions>
    </reviewItem>
    <reviewItem>
      <errorID>42a103f2-577b-4c61-a167-37381497a905</errorID>
      <errorWord>~</errorWord>
      <group>L1_Format</group>
      <groupName>格式问题</groupName>
      <ability>L2_HalfPunc</ability>
      <abilityName>全半角检查</abilityName>
      <candidateList>
        <item>～</item>
      </candidateList>
      <explain>文本全半角错误。</explain>
      <paraID>77E0724A</paraID>
      <start>1</start>
      <end>2</end>
      <status>modified</status>
      <modifiedWord>～</modifiedWord>
      <trackRevisions>false</trackRevisions>
    </reviewItem>
    <reviewItem>
      <errorID>e3cb90b3-0215-49c4-8ddf-4f762107af49</errorID>
      <errorWord>~</errorWord>
      <group>L1_Format</group>
      <groupName>格式问题</groupName>
      <ability>L2_HalfPunc</ability>
      <abilityName>全半角检查</abilityName>
      <candidateList>
        <item>～</item>
      </candidateList>
      <explain>文本全半角错误。</explain>
      <paraID>3661B8D0</paraID>
      <start>1</start>
      <end>2</end>
      <status>modified</status>
      <modifiedWord>～</modifiedWord>
      <trackRevisions>false</trackRevisions>
    </reviewItem>
    <reviewItem>
      <errorID>63c73ea9-4144-48fb-8f4f-6fc736805b1f</errorID>
      <errorWord>KW</errorWord>
      <group>L1_Word</group>
      <groupName>字词问题</groupName>
      <ability>L2_Typo</ability>
      <abilityName>字词错误</abilityName>
      <candidateList>
        <item>kW</item>
      </candidateList>
      <explain/>
      <paraID>7D6CA2D4</paraID>
      <start>12</start>
      <end>14</end>
      <status>modified</status>
      <modifiedWord>kW</modifiedWord>
      <trackRevisions>false</trackRevisions>
    </reviewItem>
    <reviewItem>
      <errorID>08eb05c2-455b-44b6-aaa3-c603e9d38243</errorID>
      <errorWord>浇铸机械手</errorWord>
      <group>L1_Word</group>
      <groupName>字词问题</groupName>
      <ability>L2_Typo</ability>
      <abilityName>字词错误</abilityName>
      <candidateList>
        <item>浇筑机械手</item>
      </candidateList>
      <explain/>
      <paraID>55B76740</paraID>
      <start>0</start>
      <end>5</end>
      <status>ignored</status>
      <modifiedWord/>
      <trackRevisions>false</trackRevisions>
    </reviewItem>
    <reviewItem>
      <errorID>36f91fdd-c564-432b-b275-9e20b285a215</errorID>
      <errorWord>，</errorWord>
      <group>L1_Format</group>
      <groupName>格式问题</groupName>
      <ability>L2_HalfPunc</ability>
      <abilityName>全半角检查</abilityName>
      <candidateList>
        <item>,</item>
      </candidateList>
      <explain>文本全半角错误。</explain>
      <paraID>3B83E37F</paraID>
      <start>6</start>
      <end>7</end>
      <status>modified</status>
      <modifiedWord>,</modifiedWord>
      <trackRevisions>false</trackRevisions>
    </reviewItem>
    <reviewItem>
      <errorID>1de45c10-ca69-4699-b731-1274c0d13b0a</errorID>
      <errorWord>浇铸机械手</errorWord>
      <group>L1_Word</group>
      <groupName>字词问题</groupName>
      <ability>L2_Typo</ability>
      <abilityName>字词错误</abilityName>
      <candidateList>
        <item>浇筑机械手</item>
      </candidateList>
      <explain/>
      <paraID>521553EC</paraID>
      <start>0</start>
      <end>5</end>
      <status>ignored</status>
      <modifiedWord/>
      <trackRevisions>false</trackRevisions>
    </reviewItem>
    <reviewItem>
      <errorID>b9e61846-3fc5-493d-aaca-570c56c1b12b</errorID>
      <errorWord>III</errorWord>
      <group>L1_Knowledge</group>
      <groupName>知识性问题</groupName>
      <ability>L2_Knowledge</ability>
      <abilityName>其他知识</abilityName>
      <candidateList>
        <item>Ⅲ</item>
      </candidateList>
      <explain/>
      <paraID> DA05D18</paraID>
      <start>0</start>
      <end>1</end>
      <status>modified</status>
      <modifiedWord>Ⅲ</modifiedWord>
      <trackRevisions>false</trackRevisions>
    </reviewItem>
    <reviewItem>
      <errorID>41abb236-17f4-4003-9789-9849c06aac47</errorID>
      <errorWord>：</errorWord>
      <group>L1_Format</group>
      <groupName>格式问题</groupName>
      <ability>L2_HalfPunc</ability>
      <abilityName>全半角检查</abilityName>
      <candidateList>
        <item>:</item>
      </candidateList>
      <explain>文本全半角错误。</explain>
      <paraID>62A5D5DD</paraID>
      <start>2</start>
      <end>3</end>
      <status>modified</status>
      <modifiedWord>:</modifiedWord>
      <trackRevisions>false</trackRevisions>
    </reviewItem>
    <reviewItem>
      <errorID>bbcb2855-f072-4450-9ca9-c63ff8dad10c</errorID>
      <errorWord>：</errorWord>
      <group>L1_Format</group>
      <groupName>格式问题</groupName>
      <ability>L2_HalfPunc</ability>
      <abilityName>全半角检查</abilityName>
      <candidateList>
        <item>:</item>
      </candidateList>
      <explain>文本全半角错误。</explain>
      <paraID>62A5D5DD</paraID>
      <start>8</start>
      <end>9</end>
      <status>modified</status>
      <modifiedWord>:</modifiedWord>
      <trackRevisions>false</trackRevisions>
    </reviewItem>
    <reviewItem>
      <errorID>43d31e3f-6d4c-4189-a523-b01fb1bcbeff</errorID>
      <errorWord>：</errorWord>
      <group>L1_Format</group>
      <groupName>格式问题</groupName>
      <ability>L2_HalfPunc</ability>
      <abilityName>全半角检查</abilityName>
      <candidateList>
        <item>:</item>
      </candidateList>
      <explain>文本全半角错误。</explain>
      <paraID>10FDCEAB</paraID>
      <start>2</start>
      <end>3</end>
      <status>modified</status>
      <modifiedWord>:</modifiedWord>
      <trackRevisions>false</trackRevisions>
    </reviewItem>
    <reviewItem>
      <errorID>aa9a8a80-a06b-4512-972c-078657b5c331</errorID>
      <errorWord>：</errorWord>
      <group>L1_Format</group>
      <groupName>格式问题</groupName>
      <ability>L2_HalfPunc</ability>
      <abilityName>全半角检查</abilityName>
      <candidateList>
        <item>:</item>
      </candidateList>
      <explain>文本全半角错误。</explain>
      <paraID>10FDCEAB</paraID>
      <start>8</start>
      <end>9</end>
      <status>modified</status>
      <modifiedWord>:</modifiedWord>
      <trackRevisions>false</trackRevisions>
    </reviewItem>
    <reviewItem>
      <errorID>0ad5c86b-3d3c-4606-afde-652699f6d69b</errorID>
      <errorWord>其它</errorWord>
      <group>L1_Word</group>
      <groupName>字词问题</groupName>
      <ability>L2_Alias</ability>
      <abilityName>也作/曾用词</abilityName>
      <candidateList>
        <item>其他</item>
      </candidateList>
      <explain>词汇[其它]为不规范表述或旧称，其规范书面表述为[其他]。</explain>
      <paraID>4DD1480E</paraID>
      <start>0</start>
      <end>2</end>
      <status>modified</status>
      <modifiedWord>其他</modifiedWord>
      <trackRevisions>false</trackRevisions>
    </reviewItem>
    <reviewItem>
      <errorID>0c5b0e56-f842-4eb3-8ecd-7cb4d1746d72</errorID>
      <errorWord>色相色谱法</errorWord>
      <group>L1_Knowledge</group>
      <groupName>知识性问题</groupName>
      <ability>L2_Term</ability>
      <abilityName>专业术语</abilityName>
      <candidateList>
        <item>气相色谱法</item>
      </candidateList>
      <explain/>
      <paraID>6BC5210B</paraID>
      <start>17</start>
      <end>22</end>
      <status>modified</status>
      <modifiedWord>气相色谱法</modifiedWord>
      <trackRevisions>false</trackRevisions>
    </reviewItem>
    <reviewItem>
      <errorID>3ded56dd-edcc-4097-8b93-9cf77b5ac2ed</errorID>
      <errorWord>色相色谱法</errorWord>
      <group>L1_Knowledge</group>
      <groupName>知识性问题</groupName>
      <ability>L2_Term</ability>
      <abilityName>专业术语</abilityName>
      <candidateList>
        <item>气相色谱法</item>
      </candidateList>
      <explain/>
      <paraID>500BD922</paraID>
      <start>17</start>
      <end>22</end>
      <status>modified</status>
      <modifiedWord>气相色谱法</modifiedWord>
      <trackRevisions>false</trackRevisions>
    </reviewItem>
    <reviewItem>
      <errorID>b4063d9c-d00a-4c2f-a95c-a69185650d68</errorID>
      <errorWord>色相色谱法</errorWord>
      <group>L1_Knowledge</group>
      <groupName>知识性问题</groupName>
      <ability>L2_Term</ability>
      <abilityName>专业术语</abilityName>
      <candidateList>
        <item>气相色谱法</item>
      </candidateList>
      <explain/>
      <paraID>6D6DB96E</paraID>
      <start>17</start>
      <end>22</end>
      <status>modified</status>
      <modifiedWord>气相色谱法</modifiedWord>
      <trackRevisions>false</trackRevisions>
    </reviewItem>
    <reviewItem>
      <errorID>aa62b878-bd26-4f4b-8ebc-d38296f645a0</errorID>
      <errorWord>色相色谱法</errorWord>
      <group>L1_Knowledge</group>
      <groupName>知识性问题</groupName>
      <ability>L2_Term</ability>
      <abilityName>专业术语</abilityName>
      <candidateList>
        <item>气相色谱法</item>
      </candidateList>
      <explain/>
      <paraID>4AFAFECD</paraID>
      <start>17</start>
      <end>22</end>
      <status>modified</status>
      <modifiedWord>气相色谱法</modifiedWord>
      <trackRevisions>false</trackRevisions>
    </reviewItem>
    <reviewItem>
      <errorID>32f2a285-1ee6-4ea4-9f5d-0a0484e3d109</errorID>
      <errorWord>(</errorWord>
      <group>L1_Format</group>
      <groupName>格式问题</groupName>
      <ability>L2_HalfPunc</ability>
      <abilityName>全半角检查</abilityName>
      <candidateList>
        <item>（</item>
      </candidateList>
      <explain>文本全半角错误。</explain>
      <paraID>13B47BF3</paraID>
      <start>10</start>
      <end>11</end>
      <status>modified</status>
      <modifiedWord>（</modifiedWord>
      <trackRevisions>false</trackRevisions>
    </reviewItem>
    <reviewItem>
      <errorID>7fdb738b-789a-4365-896d-f9906db3d936</errorID>
      <errorWord>)</errorWord>
      <group>L1_Format</group>
      <groupName>格式问题</groupName>
      <ability>L2_HalfPunc</ability>
      <abilityName>全半角检查</abilityName>
      <candidateList>
        <item>）</item>
      </candidateList>
      <explain>文本全半角错误。</explain>
      <paraID>13B47BF3</paraID>
      <start>16</start>
      <end>17</end>
      <status>modified</status>
      <modifiedWord>）</modifiedWord>
      <trackRevisions>false</trackRevisions>
    </reviewItem>
    <reviewItem>
      <errorID>cd727820-cb2d-4152-9135-5448d5e918fb</errorID>
      <errorWord>（</errorWord>
      <group>L1_Format</group>
      <groupName>格式问题</groupName>
      <ability>L2_HalfPunc</ability>
      <abilityName>全半角检查</abilityName>
      <candidateList>
        <item>(</item>
      </candidateList>
      <explain>文本全半角错误。</explain>
      <paraID>412D3CD9</paraID>
      <start>3</start>
      <end>4</end>
      <status>modified</status>
      <modifiedWord>(</modifiedWord>
      <trackRevisions>false</trackRevisions>
    </reviewItem>
    <reviewItem>
      <errorID>0a249d35-168e-4f3c-8e79-d4f61d63dd40</errorID>
      <errorWord>）</errorWord>
      <group>L1_Format</group>
      <groupName>格式问题</groupName>
      <ability>L2_HalfPunc</ability>
      <abilityName>全半角检查</abilityName>
      <candidateList>
        <item>)</item>
      </candidateList>
      <explain>文本全半角错误。</explain>
      <paraID>412D3CD9</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5fc5f3-cff6-4e1b-b034-ebec4658cf53}">
  <ds:schemaRefs/>
</ds:datastoreItem>
</file>

<file path=docProps/app.xml><?xml version="1.0" encoding="utf-8"?>
<Properties xmlns="http://schemas.openxmlformats.org/officeDocument/2006/extended-properties" xmlns:vt="http://schemas.openxmlformats.org/officeDocument/2006/docPropsVTypes">
  <Company>微软中国</Company>
  <Pages>97</Pages>
  <Words>57519</Words>
  <Characters>66995</Characters>
  <Lines>233</Lines>
  <Paragraphs>65</Paragraphs>
  <TotalTime>3</TotalTime>
  <ScaleCrop>false</ScaleCrop>
  <LinksUpToDate>false</LinksUpToDate>
  <CharactersWithSpaces>67522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2021-02-19T12:33:00Z</dcterms:created>
  <dc:creator>lhj</dc:creator>
  <cp:lastModifiedBy>Narcissus</cp:lastModifiedBy>
  <cp:lastPrinted>2021-04-02T14:34:00Z</cp:lastPrinted>
  <dcterms:modified xsi:type="dcterms:W3CDTF">2026-03-31T07:35:21Z</dcterms:modified>
  <dc:title>附件2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SaveFontToCloudKey">
    <vt:lpwstr>966812338_btnclosed</vt:lpwstr>
  </property>
  <property fmtid="{D5CDD505-2E9C-101B-9397-08002B2CF9AE}" pid="4" name="ICV">
    <vt:lpwstr>720FDF577CA14A548DB2172B50A54C21_13</vt:lpwstr>
  </property>
  <property fmtid="{D5CDD505-2E9C-101B-9397-08002B2CF9AE}" pid="5" name="KSOTemplateDocerSaveRecord">
    <vt:lpwstr>eyJoZGlkIjoiNGQ2ZDk0MzM1MjY3YzgyOTE3OWI3ZjlkODJjN2ZhODgiLCJ1c2VySWQiOiI0OTc3OTQ2NTgifQ==</vt:lpwstr>
  </property>
</Properties>
</file>