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2019年第9号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（总第9期）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青阳县人民政府关于印发加快商务经济发展若干政策及支持电子商务发展政策措施的通知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w:t>
      </w:r>
      <w:r>
        <w:rPr>
          <w:rFonts w:hint="eastAsia" w:asciiTheme="minorEastAsia" w:hAnsiTheme="minorEastAsia" w:eastAsiaTheme="minorEastAsia" w:cstheme="minorEastAsia"/>
          <w:kern w:val="0"/>
          <w:sz w:val="28"/>
          <w:szCs w:val="28"/>
          <w:shd w:val="clear" w:color="auto" w:fill="FFFFFF"/>
          <w:lang w:val="en-US" w:eastAsia="zh-CN" w:bidi="ar-SA"/>
        </w:rPr>
        <w:t>发青阳县林地经营权流转证登记管理办法（试行）的</w:t>
      </w:r>
      <w:r>
        <w:rPr>
          <w:rFonts w:hint="eastAsia" w:asciiTheme="minorEastAsia" w:hAnsiTheme="minorEastAsia" w:cstheme="minorEastAsia"/>
          <w:kern w:val="0"/>
          <w:sz w:val="28"/>
          <w:szCs w:val="28"/>
          <w:shd w:val="clear" w:color="auto" w:fill="FFFFFF"/>
          <w:lang w:eastAsia="zh-CN"/>
        </w:rPr>
        <w:t>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青阳县人民政府办公室关于建立青阳县公平竞争审查工作联席会议制度的通知</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青阳县人民政府关于印发加快商务经济发展若干政策及支持电子商务发展政策措施的通知</w:t>
      </w:r>
    </w:p>
    <w:p>
      <w:pPr>
        <w:pStyle w:val="5"/>
        <w:widowControl w:val="0"/>
        <w:shd w:val="clear" w:color="auto" w:fill="FFFFFF"/>
        <w:spacing w:line="600" w:lineRule="exact"/>
        <w:ind w:firstLine="645"/>
        <w:jc w:val="both"/>
        <w:rPr>
          <w:rFonts w:ascii="仿宋_GB2312" w:hAnsi="微软雅黑" w:eastAsia="仿宋_GB2312"/>
          <w:sz w:val="32"/>
          <w:szCs w:val="32"/>
        </w:rPr>
      </w:pPr>
      <w:r>
        <w:rPr>
          <w:rFonts w:hint="eastAsia" w:hAnsi="仿宋" w:asciiTheme="minorHAnsi" w:eastAsiaTheme="minorEastAsia" w:cstheme="minorBidi"/>
          <w:kern w:val="2"/>
          <w:sz w:val="21"/>
          <w:szCs w:val="24"/>
          <w:lang w:val="en-US" w:eastAsia="zh-CN" w:bidi="ar-SA"/>
        </w:rPr>
        <w:t>为贯彻落实《中共安徽省委 安徽省人民政府关于进一步减负增效纾困解难优化环境促进经济持续健康发展的若干意见》（皖发〔2019〕7号）、《安徽省人民政府关于印发加快发展现代服务业若干政策的通知》（皖政〔2018〕85号）、《池州市人民政府关于印发加快商务经济发展若干政策及支持电子商务发展政策措施的通知》（池政〔2019〕28号）等文件精神，进一步加快我县商务经济发展，特制定本政策。</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一、鼓励外贸进出口</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（一）鼓励扩大本地产品出口。按企业当年出口实绩，每美元奖励0.02元，超上年实绩的增量部分每美元再奖0.02元。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二）鼓励企业扩大进口。对本年度进口商品海关编码为8和9开头的机电设备及关键零部件的企业，按进口额每美元奖励0.02元，超上年实绩的增量部分，每美元再奖励0.02元，单个企业最高奖励不超过40万元（不含进口旧机电产品）。对资源类产品进口企业，按进口额每美元奖励0.02元，超上年实绩的增量部分，每美元再奖0.01元，单个企业最高奖励不超过40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（三）鼓励开拓国际市场。对本年度用于国际市场开拓支出不低于1万元的项目予以支持，支持金额原则上不超过项目支持内容所需金额的70%。具体分项如下：</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1.展会补贴。对本年度参加县级以上政府部门组织的境内、境外展会的工业进出口企业，每个标准展位分别补贴0.5万元、2万元，每个企业同次参展补助展位不超过2个，费用不足0.5万元、2万元的据实补助；本年度参加境外展会的外贸进出口企业，对展位费、布展费、海外运杂费给予补贴，每个企业每年展会类最高支持金额不超过10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2.认证补贴。对外贸进出口企业本年度新获国际认证的产品体系、管理体系认证费给予补贴，补贴标准参照《安徽省商务厅 财政厅关于进一步做好中小企业国际市场开拓资金管理的工作的通知》（皖商办贸管函〔2018〕101号）文件规定。每个企业每年认证类最高支持金额不超过10万元。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3.商标注册。对外贸进出口企业本年度的境外商标注册费用给予补贴，每枚商标最高支持金额不超过1万元。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4.境外专利申请。对外贸进出口企业本年度进行的境外专利申请费、核准费给予补贴，补贴标准参照《安徽省商务厅 财政厅关于进一步做好中小企业国际市场开拓资金管理的工作的通知》（皖商办贸管函〔2018〕101号）文件规定。每个企业每年专利申请类最高支持金额不超过10万元。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四）设立进出口贡献奖。对本年度进出口300万美元以上且完成县政府下达的进出口任务，进出口额实现增长的全县前三名企业，分别对其法定代表人给予3万元、2万元、1万元奖励。对乡镇、开发区进出口贡献考评前三名的，分别给予3万元、2万元、1万元奖励。</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二、鼓励利用外资</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（五）对本年度新增的注册资本中外资成分超过1000万美元的外资企业一次性给予2万元奖励。</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三、促进社会消费</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（六）对首次纳入统计的限额以上商贸流通企业一次性奖励3万元；对年营业额达到相应限上标准，且同比增长20%以上的限上企业（不含本年度新纳限企业），本年度一次性给予2000元奖励。</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七）对年纳税总额达到100万元、300万元、500万元以上并保持增长的限额以上批发零售企业，分别一次性给予2万元、4万元、6万元奖励；对年纳税总额达到50万元、100万元、200万元以上并保持增长的限额以上住宿餐饮企业，分别一次性给予2万元、4万元、6万元奖励。</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八）扶持发展社区便民菜店，完善社区功能。对由企业或个体工商户在社区投资连锁蔬菜副食品店，经营店铺总数达3家，单店面积达50㎡以上，经营各类蔬菜副食品（不含水果）品种达15种以上，经营满一年以上的，每年每店补助1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四、扩大对外开放</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（九）鼓励申报建设海关特殊监管区域对通过验收并运行的进口产品直销中心、保税仓库、保税物流中心分别一次性给予运营主体补助10万元、30万元、40万元。</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五、保障要求</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（十）本政策支持范围为，在本县区域内注册，并依法经营，无不良诚信记录的企业或单位，但法律、法规、规章和产业政策有限制条件以及发生环保、安全生产重大事故的除外。</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（十一）本政策兑现的奖补资金，由县本级财政承担，列入县财政年度预算。</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（十二）本政策与本县其他有关政策不一致或重复的，按本政策执行。同一企业同一事项获得本县多项奖补的，按“从高从优不重复”原则给予奖补。</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（十三）本政策适用中的具体问题由县科技经信局（商务局）负责解释。</w:t>
      </w: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十四）本政策试行2年，试行期满对政策施行后效果进行评估，根据评估结果情况，对政策进行修订完善。2018年10月23日印发的《青阳县人民政府办公室关于印发青阳县外经贸发展奖补暂行办法（修订）的通知》（青政办秘〔2018〕130号）同时废止。</w:t>
      </w:r>
    </w:p>
    <w:p>
      <w:pPr>
        <w:spacing w:line="660" w:lineRule="exact"/>
        <w:jc w:val="center"/>
        <w:rPr>
          <w:rFonts w:ascii="方正小标宋简体" w:eastAsia="方正小标宋简体"/>
          <w:sz w:val="44"/>
          <w:szCs w:val="44"/>
        </w:rPr>
      </w:pPr>
      <w:r>
        <w:br w:type="page"/>
      </w:r>
      <w:r>
        <w:rPr>
          <w:rFonts w:hint="eastAsia" w:ascii="仿宋_GB2312" w:hAnsi="Calibri" w:eastAsia="仿宋_GB2312" w:cs="Times New Roman"/>
          <w:kern w:val="2"/>
          <w:sz w:val="32"/>
          <w:szCs w:val="32"/>
          <w:lang w:val="en-US" w:eastAsia="zh-CN" w:bidi="ar-SA"/>
        </w:rPr>
        <w:t>支持电子商务发展的政策措施</w:t>
      </w:r>
    </w:p>
    <w:p>
      <w:pPr>
        <w:spacing w:line="600" w:lineRule="exact"/>
        <w:jc w:val="center"/>
        <w:rPr>
          <w:rFonts w:ascii="方正小标宋简体" w:eastAsia="方正小标宋简体"/>
          <w:sz w:val="44"/>
          <w:szCs w:val="44"/>
        </w:rPr>
      </w:pPr>
    </w:p>
    <w:p>
      <w:pPr>
        <w:pStyle w:val="5"/>
        <w:widowControl w:val="0"/>
        <w:shd w:val="clear" w:color="auto" w:fill="FFFFFF"/>
        <w:spacing w:line="600" w:lineRule="exact"/>
        <w:ind w:firstLine="645"/>
        <w:jc w:val="both"/>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为贯彻落实国家和省市大力发展电子商务战略部署，进一步发挥电子商务在促进创业、稳定就业、改善民生、产业扶贫以及推动企业转型升级等领域的重要作用，根据《池州市人民政府关于印发加快商务经济发展若干政策及支持电子商务发展政策措施的通知》（池政〔2019〕28号）等文件精神，现就支持我县电子商务发展提出以下政策措施：</w:t>
      </w:r>
    </w:p>
    <w:p>
      <w:pPr>
        <w:spacing w:line="600" w:lineRule="exact"/>
        <w:ind w:firstLine="420" w:firstLineChars="200"/>
        <w:rPr>
          <w:rFonts w:ascii="黑体" w:hAnsi="黑体" w:eastAsia="黑体"/>
        </w:rPr>
      </w:pPr>
      <w:r>
        <w:rPr>
          <w:rFonts w:hint="eastAsia" w:ascii="黑体" w:hAnsi="黑体" w:eastAsia="黑体"/>
        </w:rPr>
        <w:t>一、壮大电商经营主体</w:t>
      </w:r>
    </w:p>
    <w:p>
      <w:pPr>
        <w:spacing w:line="600" w:lineRule="exact"/>
        <w:ind w:firstLine="420" w:firstLineChars="200"/>
      </w:pPr>
      <w:r>
        <w:rPr>
          <w:rFonts w:hint="eastAsia" w:hAnsi="楷体_GB2312" w:cs="楷体_GB2312"/>
        </w:rPr>
        <w:t>（一）鼓励电商企业做大做强。</w:t>
      </w:r>
      <w:r>
        <w:rPr>
          <w:rFonts w:hint="eastAsia"/>
        </w:rPr>
        <w:t>鼓励通过各种电商平台开展网络销售，对年网络销售额首次突破</w:t>
      </w:r>
      <w:r>
        <w:t>200</w:t>
      </w:r>
      <w:r>
        <w:rPr>
          <w:rFonts w:hint="eastAsia"/>
        </w:rPr>
        <w:t>万元、</w:t>
      </w:r>
      <w:r>
        <w:t>500</w:t>
      </w:r>
      <w:r>
        <w:rPr>
          <w:rFonts w:hint="eastAsia"/>
        </w:rPr>
        <w:t>万元、</w:t>
      </w:r>
      <w:r>
        <w:t>1000</w:t>
      </w:r>
      <w:r>
        <w:rPr>
          <w:rFonts w:hint="eastAsia"/>
        </w:rPr>
        <w:t>万元的电商企业，分别一次性给予</w:t>
      </w:r>
      <w:r>
        <w:t>1</w:t>
      </w:r>
      <w:r>
        <w:rPr>
          <w:rFonts w:hint="eastAsia"/>
        </w:rPr>
        <w:t>万元、</w:t>
      </w:r>
      <w:r>
        <w:t>3</w:t>
      </w:r>
      <w:r>
        <w:rPr>
          <w:rFonts w:hint="eastAsia"/>
        </w:rPr>
        <w:t>万元、</w:t>
      </w:r>
      <w:r>
        <w:t>5</w:t>
      </w:r>
      <w:r>
        <w:rPr>
          <w:rFonts w:hint="eastAsia"/>
        </w:rPr>
        <w:t>万元上台阶奖励。</w:t>
      </w:r>
    </w:p>
    <w:p>
      <w:pPr>
        <w:spacing w:line="600" w:lineRule="exact"/>
        <w:ind w:firstLine="420" w:firstLineChars="200"/>
      </w:pPr>
      <w:r>
        <w:rPr>
          <w:rFonts w:hint="eastAsia" w:hAnsi="楷体_GB2312" w:cs="楷体_GB2312"/>
        </w:rPr>
        <w:t>（二）支持自营第三方电商平台发展。</w:t>
      </w:r>
      <w:r>
        <w:rPr>
          <w:rFonts w:hint="eastAsia"/>
        </w:rPr>
        <w:t>对企业自建自营电子商务平台的，正常运营满</w:t>
      </w:r>
      <w:r>
        <w:t>1</w:t>
      </w:r>
      <w:r>
        <w:rPr>
          <w:rFonts w:hint="eastAsia"/>
        </w:rPr>
        <w:t>年且网络销售额首次突破</w:t>
      </w:r>
      <w:r>
        <w:t>1000</w:t>
      </w:r>
      <w:r>
        <w:rPr>
          <w:rFonts w:hint="eastAsia"/>
        </w:rPr>
        <w:t>万元、</w:t>
      </w:r>
      <w:r>
        <w:t>3000</w:t>
      </w:r>
      <w:r>
        <w:rPr>
          <w:rFonts w:hint="eastAsia"/>
        </w:rPr>
        <w:t>万元的经营主体，分别给予一次性奖励</w:t>
      </w:r>
      <w:r>
        <w:t>3</w:t>
      </w:r>
      <w:r>
        <w:rPr>
          <w:rFonts w:hint="eastAsia"/>
        </w:rPr>
        <w:t>万元、</w:t>
      </w:r>
      <w:r>
        <w:t>5</w:t>
      </w:r>
      <w:r>
        <w:rPr>
          <w:rFonts w:hint="eastAsia"/>
        </w:rPr>
        <w:t>万元。</w:t>
      </w:r>
    </w:p>
    <w:p>
      <w:pPr>
        <w:spacing w:line="600" w:lineRule="exact"/>
        <w:ind w:firstLine="420" w:firstLineChars="200"/>
        <w:rPr>
          <w:rFonts w:ascii="黑体" w:hAnsi="黑体" w:eastAsia="黑体"/>
        </w:rPr>
      </w:pPr>
      <w:r>
        <w:rPr>
          <w:rFonts w:hint="eastAsia" w:ascii="黑体" w:hAnsi="黑体" w:eastAsia="黑体"/>
        </w:rPr>
        <w:t>二、支持“两中心一站点”运营</w:t>
      </w:r>
    </w:p>
    <w:p>
      <w:pPr>
        <w:spacing w:line="600" w:lineRule="exact"/>
        <w:ind w:firstLine="420" w:firstLineChars="200"/>
        <w:rPr>
          <w:rFonts w:hAnsi="楷体_GB2312" w:cs="楷体_GB2312"/>
        </w:rPr>
      </w:pPr>
      <w:r>
        <w:rPr>
          <w:rFonts w:hint="eastAsia" w:hAnsi="楷体_GB2312" w:cs="楷体_GB2312"/>
        </w:rPr>
        <w:t>（三）支持电子商务公共服务中心运营。对电子商务进农村承办企业（以下称承办企业）建设的电子商务公共服务中心（以下称电商中心），每年根据其提供电商服务等情况，由县科技经信（商务）部门会同财政部门实行考核，根据考核结果给予一定的运营补助，总额不超过</w:t>
      </w:r>
      <w:r>
        <w:rPr>
          <w:rFonts w:hAnsi="楷体_GB2312" w:cs="楷体_GB2312"/>
        </w:rPr>
        <w:t>30</w:t>
      </w:r>
      <w:r>
        <w:rPr>
          <w:rFonts w:hint="eastAsia" w:hAnsi="楷体_GB2312" w:cs="楷体_GB2312"/>
        </w:rPr>
        <w:t>万元。</w:t>
      </w:r>
    </w:p>
    <w:p>
      <w:pPr>
        <w:spacing w:line="600" w:lineRule="exact"/>
        <w:ind w:firstLine="420" w:firstLineChars="200"/>
        <w:rPr>
          <w:rFonts w:hAnsi="楷体_GB2312" w:cs="楷体_GB2312"/>
        </w:rPr>
      </w:pPr>
      <w:r>
        <w:rPr>
          <w:rFonts w:hint="eastAsia" w:hAnsi="楷体_GB2312" w:cs="楷体_GB2312"/>
        </w:rPr>
        <w:t>（四）支持农村快递物流发展。支持县乡村三级电子商务物流体系建设，对县级物流配送中心与村级电商服务站点间的下行快递给予补助，每单下行快递补助</w:t>
      </w:r>
      <w:r>
        <w:rPr>
          <w:rFonts w:hAnsi="楷体_GB2312" w:cs="楷体_GB2312"/>
        </w:rPr>
        <w:t>1</w:t>
      </w:r>
      <w:r>
        <w:rPr>
          <w:rFonts w:hint="eastAsia" w:hAnsi="楷体_GB2312" w:cs="楷体_GB2312"/>
        </w:rPr>
        <w:t>元，每年最高不超过</w:t>
      </w:r>
      <w:r>
        <w:rPr>
          <w:rFonts w:hAnsi="楷体_GB2312" w:cs="楷体_GB2312"/>
        </w:rPr>
        <w:t>40</w:t>
      </w:r>
      <w:r>
        <w:rPr>
          <w:rFonts w:hint="eastAsia" w:hAnsi="楷体_GB2312" w:cs="楷体_GB2312"/>
        </w:rPr>
        <w:t>万元。</w:t>
      </w:r>
    </w:p>
    <w:p>
      <w:pPr>
        <w:spacing w:line="600" w:lineRule="exact"/>
        <w:ind w:firstLine="420" w:firstLineChars="200"/>
        <w:rPr>
          <w:rFonts w:hAnsi="楷体_GB2312" w:cs="楷体_GB2312"/>
        </w:rPr>
      </w:pPr>
      <w:r>
        <w:rPr>
          <w:rFonts w:hint="eastAsia" w:hAnsi="楷体_GB2312" w:cs="楷体_GB2312"/>
        </w:rPr>
        <w:t>（五）支持农村电商服务网点发展。对通过省市考核验收的农村电商便民服务网点每年给予</w:t>
      </w:r>
      <w:r>
        <w:rPr>
          <w:rFonts w:hAnsi="楷体_GB2312" w:cs="楷体_GB2312"/>
        </w:rPr>
        <w:t>1200</w:t>
      </w:r>
      <w:r>
        <w:rPr>
          <w:rFonts w:hint="eastAsia" w:hAnsi="楷体_GB2312" w:cs="楷体_GB2312"/>
        </w:rPr>
        <w:t>元奖励，对具备本地农副产品网络销售功能的农村电商综合服务点每年给予</w:t>
      </w:r>
      <w:r>
        <w:rPr>
          <w:rFonts w:hAnsi="楷体_GB2312" w:cs="楷体_GB2312"/>
        </w:rPr>
        <w:t>1500</w:t>
      </w:r>
      <w:r>
        <w:rPr>
          <w:rFonts w:hint="eastAsia" w:hAnsi="楷体_GB2312" w:cs="楷体_GB2312"/>
        </w:rPr>
        <w:t>元奖励，贫困村电商综合服务点每年给予</w:t>
      </w:r>
      <w:r>
        <w:rPr>
          <w:rFonts w:hAnsi="楷体_GB2312" w:cs="楷体_GB2312"/>
        </w:rPr>
        <w:t>2000</w:t>
      </w:r>
      <w:r>
        <w:rPr>
          <w:rFonts w:hint="eastAsia" w:hAnsi="楷体_GB2312" w:cs="楷体_GB2312"/>
        </w:rPr>
        <w:t>元奖励。</w:t>
      </w:r>
    </w:p>
    <w:p>
      <w:pPr>
        <w:pStyle w:val="5"/>
        <w:widowControl w:val="0"/>
        <w:shd w:val="clear" w:color="auto" w:fill="FFFFFF"/>
        <w:spacing w:line="600" w:lineRule="exact"/>
        <w:ind w:firstLine="659"/>
        <w:rPr>
          <w:rFonts w:hint="eastAsia" w:ascii="黑体" w:hAnsi="黑体" w:eastAsia="黑体" w:cstheme="minorBidi"/>
          <w:kern w:val="2"/>
          <w:sz w:val="21"/>
          <w:szCs w:val="24"/>
          <w:lang w:val="en-US" w:eastAsia="zh-CN" w:bidi="ar-SA"/>
        </w:rPr>
      </w:pPr>
      <w:r>
        <w:rPr>
          <w:rFonts w:hint="eastAsia" w:ascii="黑体" w:hAnsi="黑体" w:eastAsia="黑体" w:cstheme="minorBidi"/>
          <w:kern w:val="2"/>
          <w:sz w:val="21"/>
          <w:szCs w:val="24"/>
          <w:lang w:val="en-US" w:eastAsia="zh-CN" w:bidi="ar-SA"/>
        </w:rPr>
        <w:t>三、加大电商扶贫力度</w:t>
      </w:r>
    </w:p>
    <w:p>
      <w:pPr>
        <w:spacing w:line="600" w:lineRule="exact"/>
        <w:ind w:firstLine="420" w:firstLineChars="200"/>
        <w:rPr>
          <w:rFonts w:hAnsi="楷体_GB2312" w:cs="楷体_GB2312"/>
        </w:rPr>
      </w:pPr>
      <w:r>
        <w:rPr>
          <w:rFonts w:hint="eastAsia" w:hAnsi="楷体_GB2312" w:cs="楷体_GB2312"/>
        </w:rPr>
        <w:t>（六）支持电商扶贫。鼓励农产品通过电商平台销售上行，对农村电商综合服务点销售本地农副产品且年网络销售额达</w:t>
      </w:r>
      <w:r>
        <w:rPr>
          <w:rFonts w:hAnsi="楷体_GB2312" w:cs="楷体_GB2312"/>
        </w:rPr>
        <w:t>5</w:t>
      </w:r>
      <w:r>
        <w:rPr>
          <w:rFonts w:hint="eastAsia" w:hAnsi="楷体_GB2312" w:cs="楷体_GB2312"/>
        </w:rPr>
        <w:t>万元的（贫困户农产品占比不少于</w:t>
      </w:r>
      <w:r>
        <w:rPr>
          <w:rFonts w:hAnsi="楷体_GB2312" w:cs="楷体_GB2312"/>
        </w:rPr>
        <w:t>10%</w:t>
      </w:r>
      <w:r>
        <w:rPr>
          <w:rFonts w:hint="eastAsia" w:hAnsi="楷体_GB2312" w:cs="楷体_GB2312"/>
        </w:rPr>
        <w:t>），按年网络销售额的</w:t>
      </w:r>
      <w:r>
        <w:rPr>
          <w:rFonts w:hAnsi="楷体_GB2312" w:cs="楷体_GB2312"/>
        </w:rPr>
        <w:t>10%</w:t>
      </w:r>
      <w:r>
        <w:rPr>
          <w:rFonts w:hint="eastAsia" w:hAnsi="楷体_GB2312" w:cs="楷体_GB2312"/>
        </w:rPr>
        <w:t>给予奖励，最高奖励不超过</w:t>
      </w:r>
      <w:r>
        <w:rPr>
          <w:rFonts w:hAnsi="楷体_GB2312" w:cs="楷体_GB2312"/>
        </w:rPr>
        <w:t>10</w:t>
      </w:r>
      <w:r>
        <w:rPr>
          <w:rFonts w:hint="eastAsia" w:hAnsi="楷体_GB2312" w:cs="楷体_GB2312"/>
        </w:rPr>
        <w:t>万元；对电商企业销售本地农副产品且年网络销售额超</w:t>
      </w:r>
      <w:r>
        <w:rPr>
          <w:rFonts w:hAnsi="楷体_GB2312" w:cs="楷体_GB2312"/>
        </w:rPr>
        <w:t>50</w:t>
      </w:r>
      <w:r>
        <w:rPr>
          <w:rFonts w:hint="eastAsia" w:hAnsi="楷体_GB2312" w:cs="楷体_GB2312"/>
        </w:rPr>
        <w:t>万元的（贫困户农产品占比不少于</w:t>
      </w:r>
      <w:r>
        <w:rPr>
          <w:rFonts w:hAnsi="楷体_GB2312" w:cs="楷体_GB2312"/>
        </w:rPr>
        <w:t>10%</w:t>
      </w:r>
      <w:r>
        <w:rPr>
          <w:rFonts w:hint="eastAsia" w:hAnsi="楷体_GB2312" w:cs="楷体_GB2312"/>
        </w:rPr>
        <w:t>），按年网络销售额的</w:t>
      </w:r>
      <w:r>
        <w:rPr>
          <w:rFonts w:hAnsi="楷体_GB2312" w:cs="楷体_GB2312"/>
        </w:rPr>
        <w:t>5%</w:t>
      </w:r>
      <w:r>
        <w:rPr>
          <w:rFonts w:hint="eastAsia" w:hAnsi="楷体_GB2312" w:cs="楷体_GB2312"/>
        </w:rPr>
        <w:t>给予奖励，最高奖励不超过</w:t>
      </w:r>
      <w:r>
        <w:rPr>
          <w:rFonts w:hAnsi="楷体_GB2312" w:cs="楷体_GB2312"/>
        </w:rPr>
        <w:t>20</w:t>
      </w:r>
      <w:r>
        <w:rPr>
          <w:rFonts w:hint="eastAsia" w:hAnsi="楷体_GB2312" w:cs="楷体_GB2312"/>
        </w:rPr>
        <w:t>万元。</w:t>
      </w:r>
    </w:p>
    <w:p>
      <w:pPr>
        <w:spacing w:line="600" w:lineRule="exact"/>
        <w:ind w:firstLine="420" w:firstLineChars="200"/>
        <w:rPr>
          <w:rFonts w:ascii="黑体" w:hAnsi="黑体" w:eastAsia="黑体"/>
        </w:rPr>
      </w:pPr>
      <w:r>
        <w:rPr>
          <w:rFonts w:hint="eastAsia" w:ascii="黑体" w:hAnsi="黑体" w:eastAsia="黑体"/>
        </w:rPr>
        <w:t>四、鼓励电商服务民生</w:t>
      </w:r>
    </w:p>
    <w:p>
      <w:pPr>
        <w:spacing w:line="600" w:lineRule="exact"/>
        <w:ind w:firstLine="420" w:firstLineChars="200"/>
        <w:rPr>
          <w:rFonts w:hAnsi="楷体_GB2312" w:cs="楷体_GB2312"/>
        </w:rPr>
      </w:pPr>
      <w:r>
        <w:rPr>
          <w:rFonts w:hint="eastAsia" w:hAnsi="楷体_GB2312" w:cs="楷体_GB2312"/>
        </w:rPr>
        <w:t>（七）支持电子商务进社区。对物流配送企业在社区、学校、商务区等布设“公共智能自助提货柜”</w:t>
      </w:r>
      <w:r>
        <w:rPr>
          <w:rFonts w:hAnsi="楷体_GB2312" w:cs="楷体_GB2312"/>
        </w:rPr>
        <w:t>50</w:t>
      </w:r>
      <w:r>
        <w:rPr>
          <w:rFonts w:hint="eastAsia" w:hAnsi="楷体_GB2312" w:cs="楷体_GB2312"/>
        </w:rPr>
        <w:t>个以上，且日均入柜快递量达</w:t>
      </w:r>
      <w:r>
        <w:rPr>
          <w:rFonts w:hAnsi="楷体_GB2312" w:cs="楷体_GB2312"/>
        </w:rPr>
        <w:t>2000</w:t>
      </w:r>
      <w:r>
        <w:rPr>
          <w:rFonts w:hint="eastAsia" w:hAnsi="楷体_GB2312" w:cs="楷体_GB2312"/>
        </w:rPr>
        <w:t>件、</w:t>
      </w:r>
      <w:r>
        <w:rPr>
          <w:rFonts w:hAnsi="楷体_GB2312" w:cs="楷体_GB2312"/>
        </w:rPr>
        <w:t>4000</w:t>
      </w:r>
      <w:r>
        <w:rPr>
          <w:rFonts w:hint="eastAsia" w:hAnsi="楷体_GB2312" w:cs="楷体_GB2312"/>
        </w:rPr>
        <w:t>件的，每年分别给予运营主体</w:t>
      </w:r>
      <w:r>
        <w:rPr>
          <w:rFonts w:hAnsi="楷体_GB2312" w:cs="楷体_GB2312"/>
        </w:rPr>
        <w:t>5</w:t>
      </w:r>
      <w:r>
        <w:rPr>
          <w:rFonts w:hint="eastAsia" w:hAnsi="楷体_GB2312" w:cs="楷体_GB2312"/>
        </w:rPr>
        <w:t>万元、</w:t>
      </w:r>
      <w:r>
        <w:rPr>
          <w:rFonts w:hAnsi="楷体_GB2312" w:cs="楷体_GB2312"/>
        </w:rPr>
        <w:t>10</w:t>
      </w:r>
      <w:r>
        <w:rPr>
          <w:rFonts w:hint="eastAsia" w:hAnsi="楷体_GB2312" w:cs="楷体_GB2312"/>
        </w:rPr>
        <w:t>万元运营补助。</w:t>
      </w:r>
    </w:p>
    <w:p>
      <w:pPr>
        <w:spacing w:line="600" w:lineRule="exact"/>
        <w:ind w:firstLine="420" w:firstLineChars="200"/>
        <w:rPr>
          <w:rFonts w:hAnsi="楷体_GB2312" w:cs="楷体_GB2312"/>
        </w:rPr>
      </w:pPr>
      <w:r>
        <w:rPr>
          <w:rFonts w:hint="eastAsia" w:hAnsi="楷体_GB2312" w:cs="楷体_GB2312"/>
        </w:rPr>
        <w:t>（八）鼓励残疾人就业创业。对残疾人创办电商经营主体销售本地农副产品且有网络销售实绩的给予一次性奖励</w:t>
      </w:r>
      <w:r>
        <w:rPr>
          <w:rFonts w:hAnsi="楷体_GB2312" w:cs="楷体_GB2312"/>
        </w:rPr>
        <w:t>1</w:t>
      </w:r>
      <w:r>
        <w:rPr>
          <w:rFonts w:hint="eastAsia" w:hAnsi="楷体_GB2312" w:cs="楷体_GB2312"/>
        </w:rPr>
        <w:t>万元；对其销售本地农副产品且年网络销售额达</w:t>
      </w:r>
      <w:r>
        <w:rPr>
          <w:rFonts w:hAnsi="楷体_GB2312" w:cs="楷体_GB2312"/>
        </w:rPr>
        <w:t>5</w:t>
      </w:r>
      <w:r>
        <w:rPr>
          <w:rFonts w:hint="eastAsia" w:hAnsi="楷体_GB2312" w:cs="楷体_GB2312"/>
        </w:rPr>
        <w:t>万元的，按年网络销售额的</w:t>
      </w:r>
      <w:r>
        <w:rPr>
          <w:rFonts w:hAnsi="楷体_GB2312" w:cs="楷体_GB2312"/>
        </w:rPr>
        <w:t>10%</w:t>
      </w:r>
      <w:r>
        <w:rPr>
          <w:rFonts w:hint="eastAsia" w:hAnsi="楷体_GB2312" w:cs="楷体_GB2312"/>
        </w:rPr>
        <w:t>给予奖励，最高奖励不超过</w:t>
      </w:r>
      <w:r>
        <w:rPr>
          <w:rFonts w:hAnsi="楷体_GB2312" w:cs="楷体_GB2312"/>
        </w:rPr>
        <w:t>20</w:t>
      </w:r>
      <w:r>
        <w:rPr>
          <w:rFonts w:hint="eastAsia" w:hAnsi="楷体_GB2312" w:cs="楷体_GB2312"/>
        </w:rPr>
        <w:t>万元。</w:t>
      </w:r>
    </w:p>
    <w:p>
      <w:pPr>
        <w:spacing w:line="600" w:lineRule="exact"/>
        <w:ind w:firstLine="420" w:firstLineChars="200"/>
        <w:rPr>
          <w:rFonts w:ascii="黑体" w:hAnsi="黑体" w:eastAsia="黑体"/>
        </w:rPr>
      </w:pPr>
      <w:r>
        <w:rPr>
          <w:rFonts w:hint="eastAsia" w:ascii="黑体" w:hAnsi="黑体" w:eastAsia="黑体"/>
        </w:rPr>
        <w:t>五、其他事项</w:t>
      </w:r>
    </w:p>
    <w:p>
      <w:pPr>
        <w:pStyle w:val="5"/>
        <w:widowControl w:val="0"/>
        <w:shd w:val="clear" w:color="auto" w:fill="FFFFFF"/>
        <w:spacing w:line="600" w:lineRule="exact"/>
        <w:ind w:firstLine="659"/>
        <w:rPr>
          <w:rFonts w:hint="eastAsia" w:hAnsi="楷体_GB2312" w:cs="楷体_GB2312" w:asciiTheme="minorHAnsi" w:eastAsiaTheme="minorEastAsia"/>
          <w:kern w:val="2"/>
          <w:sz w:val="21"/>
          <w:szCs w:val="24"/>
          <w:lang w:val="en-US" w:eastAsia="zh-CN" w:bidi="ar-SA"/>
        </w:rPr>
      </w:pPr>
      <w:r>
        <w:rPr>
          <w:rFonts w:hint="eastAsia" w:hAnsi="楷体_GB2312" w:cs="楷体_GB2312" w:asciiTheme="minorHAnsi" w:eastAsiaTheme="minorEastAsia"/>
          <w:kern w:val="2"/>
          <w:sz w:val="21"/>
          <w:szCs w:val="24"/>
          <w:lang w:val="en-US" w:eastAsia="zh-CN" w:bidi="ar-SA"/>
        </w:rPr>
        <w:t>（九）凡在本县区域内注册，并依法经营、无不良诚信记录，从事电子商务活动以及为电子商务活动提供服务的市场主体，均属本政策支持范围。法律、法规、规章和产业政策有限制条件以及被列为失信被执行人的，不得申报本政策资金。</w:t>
      </w:r>
    </w:p>
    <w:p>
      <w:pPr>
        <w:pStyle w:val="5"/>
        <w:widowControl w:val="0"/>
        <w:shd w:val="clear" w:color="auto" w:fill="FFFFFF"/>
        <w:spacing w:line="600" w:lineRule="exact"/>
        <w:ind w:firstLine="659"/>
        <w:rPr>
          <w:rFonts w:hint="eastAsia" w:hAnsi="楷体_GB2312" w:cs="楷体_GB2312" w:asciiTheme="minorHAnsi" w:eastAsiaTheme="minorEastAsia"/>
          <w:kern w:val="2"/>
          <w:sz w:val="21"/>
          <w:szCs w:val="24"/>
          <w:lang w:val="en-US" w:eastAsia="zh-CN" w:bidi="ar-SA"/>
        </w:rPr>
      </w:pPr>
      <w:r>
        <w:rPr>
          <w:rFonts w:hint="eastAsia" w:hAnsi="楷体_GB2312" w:cs="楷体_GB2312" w:asciiTheme="minorHAnsi" w:eastAsiaTheme="minorEastAsia"/>
          <w:kern w:val="2"/>
          <w:sz w:val="21"/>
          <w:szCs w:val="24"/>
          <w:lang w:val="en-US" w:eastAsia="zh-CN" w:bidi="ar-SA"/>
        </w:rPr>
        <w:t>（十）本政策兑现的奖补资金，由县本级财政承担，列入县财政年度预算。同一企业同一事项已获得国家、省、市奖补的，按“从高从优不重复”原则，县级不再给予奖补。</w:t>
      </w:r>
    </w:p>
    <w:p>
      <w:pPr>
        <w:pStyle w:val="5"/>
        <w:widowControl w:val="0"/>
        <w:shd w:val="clear" w:color="auto" w:fill="FFFFFF"/>
        <w:spacing w:line="600" w:lineRule="exact"/>
        <w:ind w:firstLine="659"/>
        <w:rPr>
          <w:rFonts w:hint="eastAsia" w:hAnsi="楷体_GB2312" w:cs="楷体_GB2312" w:asciiTheme="minorHAnsi" w:eastAsiaTheme="minorEastAsia"/>
          <w:kern w:val="2"/>
          <w:sz w:val="21"/>
          <w:szCs w:val="24"/>
          <w:lang w:val="en-US" w:eastAsia="zh-CN" w:bidi="ar-SA"/>
        </w:rPr>
      </w:pPr>
      <w:r>
        <w:rPr>
          <w:rFonts w:hint="eastAsia" w:hAnsi="楷体_GB2312" w:cs="楷体_GB2312" w:asciiTheme="minorHAnsi" w:eastAsiaTheme="minorEastAsia"/>
          <w:kern w:val="2"/>
          <w:sz w:val="21"/>
          <w:szCs w:val="24"/>
          <w:lang w:val="en-US" w:eastAsia="zh-CN" w:bidi="ar-SA"/>
        </w:rPr>
        <w:t>（十一）本政策适用中的具体问题由县科技经济信息化局（商务局）会同县财政局负责解释，考核细则另行制定。</w:t>
      </w:r>
    </w:p>
    <w:p>
      <w:pPr>
        <w:spacing w:line="600" w:lineRule="exact"/>
        <w:ind w:firstLine="420" w:firstLineChars="200"/>
        <w:rPr>
          <w:rFonts w:hint="eastAsia" w:hAnsi="楷体_GB2312" w:cs="楷体_GB2312" w:asciiTheme="minorHAnsi" w:eastAsiaTheme="minorEastAsia"/>
          <w:kern w:val="2"/>
          <w:sz w:val="21"/>
          <w:szCs w:val="24"/>
          <w:lang w:val="en-US" w:eastAsia="zh-CN" w:bidi="ar-SA"/>
        </w:rPr>
      </w:pPr>
      <w:r>
        <w:rPr>
          <w:rFonts w:hint="eastAsia" w:hAnsi="楷体_GB2312" w:cs="楷体_GB2312" w:asciiTheme="minorHAnsi" w:eastAsiaTheme="minorEastAsia"/>
          <w:kern w:val="2"/>
          <w:sz w:val="21"/>
          <w:szCs w:val="24"/>
          <w:lang w:val="en-US" w:eastAsia="zh-CN" w:bidi="ar-SA"/>
        </w:rPr>
        <w:t>（十二）本政策试行2年，试行期满对政策施行后效果进行评估，根据评估结果情况，对政策进行修订完善。2017年12月22日印发的《青阳县人民政府印发关于进一步加快电子商务发展的若干政策（试行）的通知》（青政秘〔2017〕154号）同时废止。</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jc w:val="center"/>
        <w:rPr>
          <w:rFonts w:hint="eastAsia"/>
        </w:rPr>
      </w:pPr>
    </w:p>
    <w:p>
      <w:pPr>
        <w:jc w:val="center"/>
        <w:rPr>
          <w:rFonts w:hint="eastAsia"/>
        </w:rPr>
      </w:pPr>
    </w:p>
    <w:p>
      <w:pPr>
        <w:jc w:val="center"/>
        <w:rPr>
          <w:rFonts w:hint="eastAsia"/>
          <w:lang w:eastAsia="zh-CN"/>
        </w:rPr>
      </w:pPr>
    </w:p>
    <w:p>
      <w:pPr>
        <w:jc w:val="center"/>
        <w:rPr>
          <w:rFonts w:ascii="方正小标宋简体" w:hAnsi="仿宋" w:eastAsia="方正小标宋简体" w:cs="仿宋_GB2312"/>
          <w:color w:val="000000"/>
          <w:spacing w:val="-20"/>
          <w:kern w:val="0"/>
          <w:sz w:val="44"/>
          <w:szCs w:val="44"/>
        </w:rPr>
      </w:pPr>
      <w:r>
        <w:rPr>
          <w:rFonts w:hint="eastAsia" w:asciiTheme="minorEastAsia" w:hAnsiTheme="minorEastAsia" w:cstheme="minorEastAsia"/>
          <w:kern w:val="0"/>
          <w:sz w:val="28"/>
          <w:szCs w:val="28"/>
          <w:shd w:val="clear" w:color="auto" w:fill="FFFFFF"/>
          <w:lang w:eastAsia="zh-CN"/>
        </w:rPr>
        <w:t>青阳县人民政府办公室关于印</w:t>
      </w:r>
      <w:r>
        <w:rPr>
          <w:rFonts w:hint="eastAsia" w:asciiTheme="minorEastAsia" w:hAnsiTheme="minorEastAsia" w:eastAsiaTheme="minorEastAsia" w:cstheme="minorEastAsia"/>
          <w:kern w:val="0"/>
          <w:sz w:val="28"/>
          <w:szCs w:val="28"/>
          <w:shd w:val="clear" w:color="auto" w:fill="FFFFFF"/>
          <w:lang w:val="en-US" w:eastAsia="zh-CN" w:bidi="ar-SA"/>
        </w:rPr>
        <w:t>发青阳县林地经营权流转证登记管理办法（试行）的</w:t>
      </w:r>
      <w:r>
        <w:rPr>
          <w:rFonts w:hint="eastAsia" w:asciiTheme="minorEastAsia" w:hAnsiTheme="minorEastAsia" w:cstheme="minorEastAsia"/>
          <w:kern w:val="0"/>
          <w:sz w:val="28"/>
          <w:szCs w:val="28"/>
          <w:shd w:val="clear" w:color="auto" w:fill="FFFFFF"/>
          <w:lang w:eastAsia="zh-CN"/>
        </w:rPr>
        <w:t>通知</w:t>
      </w:r>
    </w:p>
    <w:p>
      <w:pPr>
        <w:spacing w:line="580" w:lineRule="exact"/>
        <w:ind w:firstLine="0" w:firstLineChars="0"/>
        <w:rPr>
          <w:rFonts w:hint="eastAsia" w:ascii="仿宋" w:hAnsi="仿宋" w:eastAsia="仿宋"/>
        </w:rPr>
      </w:pPr>
    </w:p>
    <w:p>
      <w:pPr>
        <w:spacing w:line="580" w:lineRule="exact"/>
        <w:ind w:firstLine="420" w:firstLineChars="200"/>
        <w:rPr>
          <w:rFonts w:hAnsi="仿宋"/>
        </w:rPr>
      </w:pPr>
      <w:r>
        <w:rPr>
          <w:rFonts w:hint="eastAsia" w:ascii="黑体" w:hAnsi="黑体" w:eastAsia="黑体"/>
        </w:rPr>
        <w:t>第一条</w:t>
      </w:r>
      <w:r>
        <w:rPr>
          <w:rFonts w:hint="eastAsia" w:ascii="楷体_GB2312" w:hAnsi="仿宋" w:eastAsia="楷体_GB2312"/>
          <w:b/>
        </w:rPr>
        <w:t>　</w:t>
      </w:r>
      <w:r>
        <w:rPr>
          <w:rFonts w:hint="eastAsia" w:hAnsi="仿宋"/>
        </w:rPr>
        <w:t>为继续深化集体林权制度改革，切实维护林地流转当事人的合法权益，提高林地规模化集约化经营水平，根据《中华人民共和国森林法》《中华人民共和国农村土地承包法》《中共中央办公厅、国务院办公厅关于完善农村土地所有权承包权经营权分置办法的意见》《安徽省林权管理条例》和《安徽省人民政府办公厅关于完善集体林权制度的实施意见》等法律法规和有关规定，结合本县实际，制定本办法。</w:t>
      </w:r>
    </w:p>
    <w:p>
      <w:pPr>
        <w:spacing w:line="580" w:lineRule="exact"/>
        <w:ind w:firstLine="420" w:firstLineChars="200"/>
        <w:rPr>
          <w:rFonts w:hAnsi="仿宋"/>
        </w:rPr>
      </w:pPr>
      <w:r>
        <w:rPr>
          <w:rFonts w:hint="eastAsia" w:ascii="黑体" w:hAnsi="黑体" w:eastAsia="黑体"/>
        </w:rPr>
        <w:t>第二条</w:t>
      </w:r>
      <w:r>
        <w:rPr>
          <w:rFonts w:hint="eastAsia" w:hAnsi="仿宋"/>
        </w:rPr>
        <w:t>　本办法所称的林地经营权流转是指在实行林地所有权、承包权、经营权分置并行和在林地承包经营权人不变更的情形下，林地承包经营权人通过股份合作、转包、出租等形式，通过保留承包权依法进行林地经营权流转的行为。</w:t>
      </w:r>
    </w:p>
    <w:p>
      <w:pPr>
        <w:spacing w:line="580" w:lineRule="exact"/>
        <w:ind w:firstLine="420" w:firstLineChars="200"/>
        <w:rPr>
          <w:rFonts w:hAnsi="仿宋"/>
        </w:rPr>
      </w:pPr>
      <w:r>
        <w:rPr>
          <w:rFonts w:hint="eastAsia" w:ascii="黑体" w:hAnsi="黑体" w:eastAsia="黑体"/>
        </w:rPr>
        <w:t>第三条　</w:t>
      </w:r>
      <w:r>
        <w:rPr>
          <w:rFonts w:hint="eastAsia" w:hAnsi="仿宋"/>
        </w:rPr>
        <w:t>本办法所称林地经营权流转证登记，是指将林地流转双方依法进行林地流转并按照合同约定的权利义务记载于林地经营权流转证登记簿的行为。</w:t>
      </w:r>
    </w:p>
    <w:p>
      <w:pPr>
        <w:spacing w:line="580" w:lineRule="exact"/>
        <w:ind w:firstLine="420" w:firstLineChars="200"/>
        <w:rPr>
          <w:rFonts w:hAnsi="仿宋"/>
        </w:rPr>
      </w:pPr>
      <w:r>
        <w:rPr>
          <w:rFonts w:hint="eastAsia" w:ascii="黑体" w:hAnsi="黑体" w:eastAsia="黑体"/>
        </w:rPr>
        <w:t>第四条</w:t>
      </w:r>
      <w:r>
        <w:rPr>
          <w:rFonts w:hint="eastAsia" w:hAnsi="仿宋"/>
        </w:rPr>
        <w:t>　林地经营权流转证是证明林地流转依存关系和享受相关权益的有效凭证，是林地流转受让方实现林权抵押、林木采伐和其他事项权益的证明。</w:t>
      </w:r>
    </w:p>
    <w:p>
      <w:pPr>
        <w:spacing w:line="580" w:lineRule="exact"/>
        <w:ind w:firstLine="420" w:firstLineChars="200"/>
        <w:rPr>
          <w:rFonts w:hAnsi="仿宋"/>
        </w:rPr>
      </w:pPr>
      <w:r>
        <w:rPr>
          <w:rFonts w:hint="eastAsia" w:ascii="黑体" w:hAnsi="黑体" w:eastAsia="黑体"/>
        </w:rPr>
        <w:t>第五条</w:t>
      </w:r>
      <w:r>
        <w:rPr>
          <w:rFonts w:hint="eastAsia" w:hAnsi="仿宋"/>
        </w:rPr>
        <w:t>　林地经营权流转证的发证机关为县政府，林地经营权流转证的管理和承办机关为县林业局，林地经营权流转证备案机关为县不动产登记管理部门。</w:t>
      </w:r>
    </w:p>
    <w:p>
      <w:pPr>
        <w:spacing w:line="580" w:lineRule="exact"/>
        <w:ind w:firstLine="420" w:firstLineChars="200"/>
        <w:rPr>
          <w:rFonts w:hAnsi="仿宋"/>
        </w:rPr>
      </w:pPr>
      <w:r>
        <w:rPr>
          <w:rFonts w:hint="eastAsia" w:ascii="黑体" w:hAnsi="黑体" w:eastAsia="黑体"/>
        </w:rPr>
        <w:t>第六条　</w:t>
      </w:r>
      <w:r>
        <w:rPr>
          <w:rFonts w:hint="eastAsia" w:hAnsi="仿宋"/>
        </w:rPr>
        <w:t>林地经营权流转证登记实行属地登记原则，本县行政区域内的集体林地经营权流转证登记适用本办法。</w:t>
      </w:r>
    </w:p>
    <w:p>
      <w:pPr>
        <w:spacing w:line="580" w:lineRule="exact"/>
        <w:ind w:firstLine="420" w:firstLineChars="200"/>
        <w:rPr>
          <w:rFonts w:hAnsi="仿宋"/>
        </w:rPr>
      </w:pPr>
      <w:r>
        <w:rPr>
          <w:rFonts w:hint="eastAsia" w:ascii="黑体" w:hAnsi="黑体" w:eastAsia="黑体"/>
        </w:rPr>
        <w:t>第七条</w:t>
      </w:r>
      <w:r>
        <w:rPr>
          <w:rFonts w:hint="eastAsia" w:hAnsi="仿宋"/>
        </w:rPr>
        <w:t>　林地流转应遵循“平等协商、依法、自愿、有偿”的原则，由流转双方当事人共同向县林业局提出申请。</w:t>
      </w:r>
    </w:p>
    <w:p>
      <w:pPr>
        <w:spacing w:line="580" w:lineRule="exact"/>
        <w:ind w:firstLine="420" w:firstLineChars="200"/>
        <w:rPr>
          <w:rFonts w:hAnsi="仿宋"/>
        </w:rPr>
      </w:pPr>
      <w:r>
        <w:rPr>
          <w:rFonts w:hint="eastAsia" w:ascii="黑体" w:hAnsi="黑体" w:eastAsia="黑体"/>
        </w:rPr>
        <w:t>第八条</w:t>
      </w:r>
      <w:r>
        <w:rPr>
          <w:rFonts w:hint="eastAsia" w:hAnsi="仿宋"/>
        </w:rPr>
        <w:t>　林地经营权流转证登记发证应当以登记宗地为单位申请。宗地是指流转林地界限封闭的地块。</w:t>
      </w:r>
    </w:p>
    <w:p>
      <w:pPr>
        <w:spacing w:line="580" w:lineRule="exact"/>
        <w:ind w:firstLine="420" w:firstLineChars="200"/>
        <w:rPr>
          <w:rFonts w:hAnsi="仿宋"/>
        </w:rPr>
      </w:pPr>
      <w:r>
        <w:rPr>
          <w:rFonts w:hint="eastAsia" w:ascii="黑体" w:hAnsi="黑体" w:eastAsia="黑体"/>
        </w:rPr>
        <w:t>第九条</w:t>
      </w:r>
      <w:r>
        <w:rPr>
          <w:rFonts w:hint="eastAsia" w:hAnsi="仿宋"/>
        </w:rPr>
        <w:t>　林地经营权流转证期限以流转合同期限为准，最长不得超过承包期的剩余期限。林地经营权再流转参照本办法第十一条办理，再流转不得超过原流转合同的剩余期限。</w:t>
      </w:r>
    </w:p>
    <w:p>
      <w:pPr>
        <w:spacing w:line="580" w:lineRule="exact"/>
        <w:ind w:firstLine="420" w:firstLineChars="200"/>
        <w:rPr>
          <w:rFonts w:hAnsi="仿宋"/>
        </w:rPr>
      </w:pPr>
      <w:r>
        <w:rPr>
          <w:rFonts w:hint="eastAsia" w:ascii="黑体" w:hAnsi="黑体" w:eastAsia="黑体"/>
        </w:rPr>
        <w:t>第十条　</w:t>
      </w:r>
      <w:r>
        <w:rPr>
          <w:rFonts w:hint="eastAsia" w:hAnsi="仿宋"/>
        </w:rPr>
        <w:t>办理林地经营权流转证登记，依照下列程序进行：</w:t>
      </w:r>
    </w:p>
    <w:p>
      <w:pPr>
        <w:spacing w:line="580" w:lineRule="exact"/>
        <w:ind w:firstLine="420" w:firstLineChars="200"/>
        <w:rPr>
          <w:rFonts w:hAnsi="仿宋"/>
        </w:rPr>
      </w:pPr>
      <w:r>
        <w:rPr>
          <w:rFonts w:hint="eastAsia" w:hAnsi="仿宋"/>
        </w:rPr>
        <w:t>（一）</w:t>
      </w:r>
      <w:r>
        <w:rPr>
          <w:rFonts w:hint="eastAsia" w:hAnsi="仿宋"/>
        </w:rPr>
        <w:tab/>
      </w:r>
      <w:r>
        <w:rPr>
          <w:rFonts w:hint="eastAsia" w:hAnsi="仿宋"/>
        </w:rPr>
        <w:t>申请；</w:t>
      </w:r>
    </w:p>
    <w:p>
      <w:pPr>
        <w:spacing w:line="580" w:lineRule="exact"/>
        <w:ind w:firstLine="420" w:firstLineChars="200"/>
        <w:rPr>
          <w:rFonts w:hAnsi="仿宋"/>
        </w:rPr>
      </w:pPr>
      <w:r>
        <w:rPr>
          <w:rFonts w:hint="eastAsia" w:hAnsi="仿宋"/>
        </w:rPr>
        <w:t>（二）</w:t>
      </w:r>
      <w:r>
        <w:rPr>
          <w:rFonts w:hint="eastAsia" w:hAnsi="仿宋"/>
        </w:rPr>
        <w:tab/>
      </w:r>
      <w:r>
        <w:rPr>
          <w:rFonts w:hint="eastAsia" w:hAnsi="仿宋"/>
        </w:rPr>
        <w:t>受理；</w:t>
      </w:r>
    </w:p>
    <w:p>
      <w:pPr>
        <w:spacing w:line="580" w:lineRule="exact"/>
        <w:ind w:firstLine="420" w:firstLineChars="200"/>
        <w:rPr>
          <w:rFonts w:hAnsi="仿宋"/>
        </w:rPr>
      </w:pPr>
      <w:r>
        <w:rPr>
          <w:rFonts w:hint="eastAsia" w:hAnsi="仿宋"/>
        </w:rPr>
        <w:t>（三）</w:t>
      </w:r>
      <w:r>
        <w:rPr>
          <w:rFonts w:hint="eastAsia" w:hAnsi="仿宋"/>
        </w:rPr>
        <w:tab/>
      </w:r>
      <w:r>
        <w:rPr>
          <w:rFonts w:hint="eastAsia" w:hAnsi="仿宋"/>
        </w:rPr>
        <w:t>审核；</w:t>
      </w:r>
    </w:p>
    <w:p>
      <w:pPr>
        <w:spacing w:line="580" w:lineRule="exact"/>
        <w:ind w:firstLine="420" w:firstLineChars="200"/>
        <w:rPr>
          <w:rFonts w:hAnsi="仿宋"/>
        </w:rPr>
      </w:pPr>
      <w:r>
        <w:rPr>
          <w:rFonts w:hint="eastAsia" w:hAnsi="仿宋"/>
        </w:rPr>
        <w:t>（四）</w:t>
      </w:r>
      <w:r>
        <w:rPr>
          <w:rFonts w:hint="eastAsia" w:hAnsi="仿宋"/>
        </w:rPr>
        <w:tab/>
      </w:r>
      <w:r>
        <w:rPr>
          <w:rFonts w:hint="eastAsia" w:hAnsi="仿宋"/>
        </w:rPr>
        <w:t>公示；</w:t>
      </w:r>
    </w:p>
    <w:p>
      <w:pPr>
        <w:spacing w:line="580" w:lineRule="exact"/>
        <w:ind w:firstLine="420" w:firstLineChars="200"/>
        <w:rPr>
          <w:rFonts w:hAnsi="仿宋"/>
        </w:rPr>
      </w:pPr>
      <w:r>
        <w:rPr>
          <w:rFonts w:hint="eastAsia" w:hAnsi="仿宋"/>
        </w:rPr>
        <w:t>（五）</w:t>
      </w:r>
      <w:r>
        <w:rPr>
          <w:rFonts w:hint="eastAsia" w:hAnsi="仿宋"/>
        </w:rPr>
        <w:tab/>
      </w:r>
      <w:r>
        <w:rPr>
          <w:rFonts w:hint="eastAsia" w:hAnsi="仿宋"/>
        </w:rPr>
        <w:t>记载于登记簿；</w:t>
      </w:r>
    </w:p>
    <w:p>
      <w:pPr>
        <w:spacing w:line="580" w:lineRule="exact"/>
        <w:ind w:firstLine="420" w:firstLineChars="200"/>
        <w:rPr>
          <w:rFonts w:hAnsi="仿宋"/>
        </w:rPr>
      </w:pPr>
      <w:r>
        <w:rPr>
          <w:rFonts w:hint="eastAsia" w:hAnsi="仿宋"/>
        </w:rPr>
        <w:t>（六）</w:t>
      </w:r>
      <w:r>
        <w:rPr>
          <w:rFonts w:hint="eastAsia" w:hAnsi="仿宋"/>
        </w:rPr>
        <w:tab/>
      </w:r>
      <w:r>
        <w:rPr>
          <w:rFonts w:hint="eastAsia" w:hAnsi="仿宋"/>
        </w:rPr>
        <w:t>备案注记；</w:t>
      </w:r>
    </w:p>
    <w:p>
      <w:pPr>
        <w:spacing w:line="580" w:lineRule="exact"/>
        <w:ind w:firstLine="420" w:firstLineChars="200"/>
        <w:rPr>
          <w:rFonts w:hAnsi="仿宋"/>
        </w:rPr>
      </w:pPr>
      <w:r>
        <w:rPr>
          <w:rFonts w:hint="eastAsia" w:hAnsi="仿宋"/>
        </w:rPr>
        <w:t>（七）</w:t>
      </w:r>
      <w:r>
        <w:rPr>
          <w:rFonts w:hint="eastAsia" w:hAnsi="仿宋"/>
        </w:rPr>
        <w:tab/>
      </w:r>
      <w:r>
        <w:rPr>
          <w:rFonts w:hint="eastAsia" w:hAnsi="仿宋"/>
        </w:rPr>
        <w:t>发证。</w:t>
      </w:r>
    </w:p>
    <w:p>
      <w:pPr>
        <w:spacing w:line="580" w:lineRule="exact"/>
        <w:ind w:firstLine="420" w:firstLineChars="200"/>
        <w:rPr>
          <w:rFonts w:hAnsi="仿宋"/>
        </w:rPr>
      </w:pPr>
      <w:r>
        <w:rPr>
          <w:rFonts w:hint="eastAsia" w:ascii="黑体" w:hAnsi="黑体" w:eastAsia="黑体"/>
        </w:rPr>
        <w:t>第十一条</w:t>
      </w:r>
      <w:r>
        <w:rPr>
          <w:rFonts w:hint="eastAsia" w:hAnsi="仿宋"/>
        </w:rPr>
        <w:t>　申请林地经营权流转证登记的，应当提交下列材料：</w:t>
      </w:r>
    </w:p>
    <w:p>
      <w:pPr>
        <w:spacing w:line="580" w:lineRule="exact"/>
        <w:ind w:firstLine="420" w:firstLineChars="200"/>
        <w:rPr>
          <w:rFonts w:hAnsi="仿宋"/>
        </w:rPr>
      </w:pPr>
      <w:r>
        <w:rPr>
          <w:rFonts w:hint="eastAsia" w:hAnsi="仿宋"/>
        </w:rPr>
        <w:t>（一）</w:t>
      </w:r>
      <w:r>
        <w:rPr>
          <w:rFonts w:hint="eastAsia" w:hAnsi="仿宋"/>
        </w:rPr>
        <w:tab/>
      </w:r>
      <w:r>
        <w:rPr>
          <w:rFonts w:hint="eastAsia" w:hAnsi="仿宋"/>
        </w:rPr>
        <w:t>申请审批表；</w:t>
      </w:r>
    </w:p>
    <w:p>
      <w:pPr>
        <w:spacing w:line="580" w:lineRule="exact"/>
        <w:ind w:firstLine="420" w:firstLineChars="200"/>
        <w:rPr>
          <w:rFonts w:hAnsi="仿宋"/>
        </w:rPr>
      </w:pPr>
      <w:r>
        <w:rPr>
          <w:rFonts w:hint="eastAsia" w:hAnsi="仿宋"/>
        </w:rPr>
        <w:t>（二）</w:t>
      </w:r>
      <w:r>
        <w:rPr>
          <w:rFonts w:hint="eastAsia" w:hAnsi="仿宋"/>
        </w:rPr>
        <w:tab/>
      </w:r>
      <w:r>
        <w:rPr>
          <w:rFonts w:hint="eastAsia" w:hAnsi="仿宋"/>
        </w:rPr>
        <w:t>流转双方申请人的身份证明；</w:t>
      </w:r>
    </w:p>
    <w:p>
      <w:pPr>
        <w:spacing w:line="580" w:lineRule="exact"/>
        <w:ind w:firstLine="420" w:firstLineChars="200"/>
        <w:rPr>
          <w:rFonts w:hAnsi="仿宋"/>
        </w:rPr>
      </w:pPr>
      <w:r>
        <w:rPr>
          <w:rFonts w:hint="eastAsia" w:hAnsi="仿宋"/>
        </w:rPr>
        <w:t>（三）</w:t>
      </w:r>
      <w:r>
        <w:rPr>
          <w:rFonts w:hint="eastAsia" w:hAnsi="仿宋"/>
        </w:rPr>
        <w:tab/>
      </w:r>
      <w:r>
        <w:rPr>
          <w:rFonts w:hint="eastAsia" w:hAnsi="仿宋"/>
        </w:rPr>
        <w:t>流转合同原件；</w:t>
      </w:r>
    </w:p>
    <w:p>
      <w:pPr>
        <w:spacing w:line="580" w:lineRule="exact"/>
        <w:ind w:firstLine="420" w:firstLineChars="200"/>
        <w:rPr>
          <w:rFonts w:hAnsi="仿宋"/>
        </w:rPr>
      </w:pPr>
      <w:r>
        <w:rPr>
          <w:rFonts w:hint="eastAsia" w:hAnsi="仿宋"/>
        </w:rPr>
        <w:t>（四）</w:t>
      </w:r>
      <w:r>
        <w:rPr>
          <w:rFonts w:hint="eastAsia" w:hAnsi="仿宋"/>
        </w:rPr>
        <w:tab/>
      </w:r>
      <w:r>
        <w:rPr>
          <w:rFonts w:hint="eastAsia" w:hAnsi="仿宋"/>
        </w:rPr>
        <w:t>申请登记宗地林权证或不动产权证书原件和复印件；</w:t>
      </w:r>
    </w:p>
    <w:p>
      <w:pPr>
        <w:spacing w:line="580" w:lineRule="exact"/>
        <w:ind w:firstLine="420" w:firstLineChars="200"/>
        <w:rPr>
          <w:rFonts w:hAnsi="仿宋"/>
        </w:rPr>
      </w:pPr>
      <w:r>
        <w:rPr>
          <w:rFonts w:hint="eastAsia" w:hAnsi="仿宋"/>
        </w:rPr>
        <w:t>（五）</w:t>
      </w:r>
      <w:r>
        <w:rPr>
          <w:rFonts w:hint="eastAsia" w:hAnsi="仿宋"/>
        </w:rPr>
        <w:tab/>
      </w:r>
      <w:r>
        <w:rPr>
          <w:rFonts w:hint="eastAsia" w:hAnsi="仿宋"/>
        </w:rPr>
        <w:t>申请登记的宗地附图或勘界协议；</w:t>
      </w:r>
    </w:p>
    <w:p>
      <w:pPr>
        <w:spacing w:line="580" w:lineRule="exact"/>
        <w:ind w:firstLine="420" w:firstLineChars="200"/>
        <w:rPr>
          <w:rFonts w:hAnsi="仿宋"/>
        </w:rPr>
      </w:pPr>
      <w:r>
        <w:rPr>
          <w:rFonts w:hint="eastAsia" w:hAnsi="仿宋"/>
        </w:rPr>
        <w:t>（六）</w:t>
      </w:r>
      <w:r>
        <w:rPr>
          <w:rFonts w:hint="eastAsia" w:hAnsi="仿宋"/>
        </w:rPr>
        <w:tab/>
      </w:r>
      <w:r>
        <w:rPr>
          <w:rFonts w:hint="eastAsia" w:hAnsi="仿宋"/>
        </w:rPr>
        <w:t>申请登记山场公示情况证明；</w:t>
      </w:r>
    </w:p>
    <w:p>
      <w:pPr>
        <w:spacing w:line="580" w:lineRule="exact"/>
        <w:ind w:firstLine="420" w:firstLineChars="200"/>
        <w:rPr>
          <w:rFonts w:hAnsi="仿宋"/>
        </w:rPr>
      </w:pPr>
      <w:r>
        <w:rPr>
          <w:rFonts w:hint="eastAsia" w:hAnsi="仿宋"/>
        </w:rPr>
        <w:t>（七）</w:t>
      </w:r>
      <w:r>
        <w:rPr>
          <w:rFonts w:hint="eastAsia" w:hAnsi="仿宋"/>
        </w:rPr>
        <w:tab/>
      </w:r>
      <w:r>
        <w:rPr>
          <w:rFonts w:hint="eastAsia" w:hAnsi="仿宋"/>
        </w:rPr>
        <w:t>材料真实性、有效性承诺书；</w:t>
      </w:r>
    </w:p>
    <w:p>
      <w:pPr>
        <w:spacing w:line="580" w:lineRule="exact"/>
        <w:ind w:firstLine="420" w:firstLineChars="200"/>
        <w:rPr>
          <w:rFonts w:hAnsi="仿宋"/>
        </w:rPr>
      </w:pPr>
      <w:r>
        <w:rPr>
          <w:rFonts w:hint="eastAsia" w:hAnsi="仿宋"/>
        </w:rPr>
        <w:t>（八）</w:t>
      </w:r>
      <w:r>
        <w:rPr>
          <w:rFonts w:hint="eastAsia" w:hAnsi="仿宋"/>
        </w:rPr>
        <w:tab/>
      </w:r>
      <w:r>
        <w:rPr>
          <w:rFonts w:hint="eastAsia" w:hAnsi="仿宋"/>
        </w:rPr>
        <w:t>本办法规定的其他有关材料。</w:t>
      </w:r>
    </w:p>
    <w:p>
      <w:pPr>
        <w:spacing w:line="580" w:lineRule="exact"/>
        <w:ind w:firstLine="420" w:firstLineChars="200"/>
        <w:rPr>
          <w:rFonts w:hAnsi="仿宋"/>
        </w:rPr>
      </w:pPr>
      <w:r>
        <w:rPr>
          <w:rFonts w:hint="eastAsia" w:ascii="黑体" w:hAnsi="黑体" w:eastAsia="黑体"/>
        </w:rPr>
        <w:t xml:space="preserve">第十二条 </w:t>
      </w:r>
      <w:r>
        <w:rPr>
          <w:rFonts w:hint="eastAsia" w:hAnsi="仿宋"/>
        </w:rPr>
        <w:t xml:space="preserve"> 申请办理林地经营权流转证登记应当向林地发包方（村民组或村民委员会）书面备案。</w:t>
      </w:r>
    </w:p>
    <w:p>
      <w:pPr>
        <w:spacing w:line="580" w:lineRule="exact"/>
        <w:ind w:firstLine="420" w:firstLineChars="200"/>
        <w:rPr>
          <w:rFonts w:hAnsi="仿宋"/>
        </w:rPr>
      </w:pPr>
      <w:r>
        <w:rPr>
          <w:rFonts w:hint="eastAsia" w:ascii="黑体" w:hAnsi="黑体" w:eastAsia="黑体"/>
        </w:rPr>
        <w:t>第十三条</w:t>
      </w:r>
      <w:r>
        <w:rPr>
          <w:rFonts w:hint="eastAsia" w:hAnsi="仿宋"/>
        </w:rPr>
        <w:t xml:space="preserve">  农村集体经济组织统一经营的林权流转，应当将林权评估基价、流转期限、收入分配方案等，在本集体经济组织内公告不少于十五日，并经本集体经济组织成员的村民会议三分之二以上成员或者三分之二以上村民代表同意，通过有林权交易能力和权限的公共交易场所（县公共资源交易平台或其他）进行交易，采用招标、拍卖或者公开协商等方式选择流入方。其中，流转给本集体经济组织以外的单位和个人的，乡镇政府须事先批准同意，并对流入方的资信情况和经营能力进行审查。</w:t>
      </w:r>
    </w:p>
    <w:p>
      <w:pPr>
        <w:spacing w:line="580" w:lineRule="exact"/>
        <w:ind w:firstLine="420" w:firstLineChars="200"/>
        <w:rPr>
          <w:rFonts w:hAnsi="仿宋"/>
        </w:rPr>
      </w:pPr>
      <w:r>
        <w:rPr>
          <w:rFonts w:hint="eastAsia" w:ascii="黑体" w:hAnsi="黑体" w:eastAsia="黑体"/>
        </w:rPr>
        <w:t>第十四条　</w:t>
      </w:r>
      <w:r>
        <w:rPr>
          <w:rFonts w:hint="eastAsia" w:hAnsi="仿宋"/>
        </w:rPr>
        <w:t>县林业局负责对申请人提交的林地经营权流转登记申请材料进行审查。申请材料齐全、符合法定形式的，应当场予以受理；申请材料不全或者不符合法定形式的，应当场或者在五个工作日内一次性告知申请人需要补正的全部内容。</w:t>
      </w:r>
    </w:p>
    <w:p>
      <w:pPr>
        <w:spacing w:line="580" w:lineRule="exact"/>
        <w:ind w:firstLine="420" w:firstLineChars="200"/>
        <w:rPr>
          <w:rFonts w:hAnsi="仿宋"/>
        </w:rPr>
      </w:pPr>
      <w:r>
        <w:rPr>
          <w:rFonts w:hint="eastAsia" w:hAnsi="仿宋"/>
        </w:rPr>
        <w:t>县林业局对登记申请不予受理的，应当说明理由，并书面通知申请人。</w:t>
      </w:r>
    </w:p>
    <w:p>
      <w:pPr>
        <w:spacing w:line="580" w:lineRule="exact"/>
        <w:ind w:firstLine="420" w:firstLineChars="200"/>
        <w:rPr>
          <w:rFonts w:hAnsi="仿宋"/>
        </w:rPr>
      </w:pPr>
      <w:r>
        <w:rPr>
          <w:rFonts w:hint="eastAsia" w:hAnsi="仿宋"/>
        </w:rPr>
        <w:t>对符合条件的登记（变更、注销）申请，应当自受理之日起二个月内办理完结。</w:t>
      </w:r>
    </w:p>
    <w:p>
      <w:pPr>
        <w:spacing w:line="580" w:lineRule="exact"/>
        <w:ind w:firstLine="420" w:firstLineChars="200"/>
        <w:rPr>
          <w:rFonts w:hAnsi="仿宋"/>
        </w:rPr>
      </w:pPr>
      <w:r>
        <w:rPr>
          <w:rFonts w:hint="eastAsia" w:ascii="黑体" w:hAnsi="黑体" w:eastAsia="黑体"/>
        </w:rPr>
        <w:t>第十五条</w:t>
      </w:r>
      <w:r>
        <w:rPr>
          <w:rFonts w:hint="eastAsia" w:hAnsi="仿宋"/>
        </w:rPr>
        <w:t>　申请林地经营权流转证登记的，应在林地所有权人所在地村委会或村民组进行公示，公示期限为三十日。在公示期内，有关利害关系人对登记申请提出异议的，应当书面形式告知登记机关。登记机关应对其所提出的书面异议进行调查核实。有关利害关系人提出的异议主张确实合法有效的，登记机关对登记申请应当不予登记。</w:t>
      </w:r>
    </w:p>
    <w:p>
      <w:pPr>
        <w:spacing w:line="580" w:lineRule="exact"/>
        <w:ind w:firstLine="420" w:firstLineChars="200"/>
        <w:rPr>
          <w:rFonts w:hAnsi="仿宋"/>
        </w:rPr>
      </w:pPr>
      <w:r>
        <w:rPr>
          <w:rFonts w:hint="eastAsia" w:ascii="黑体" w:hAnsi="黑体" w:eastAsia="黑体"/>
        </w:rPr>
        <w:t>第十六条　</w:t>
      </w:r>
      <w:r>
        <w:rPr>
          <w:rFonts w:hint="eastAsia" w:hAnsi="仿宋"/>
        </w:rPr>
        <w:t>县不动产登记部门根据县林业局受理审查的林地经营权合格材料相对应的宗地进行备案注记。</w:t>
      </w:r>
    </w:p>
    <w:p>
      <w:pPr>
        <w:spacing w:line="580" w:lineRule="exact"/>
        <w:ind w:firstLine="420" w:firstLineChars="200"/>
        <w:rPr>
          <w:rFonts w:hAnsi="仿宋"/>
        </w:rPr>
      </w:pPr>
      <w:r>
        <w:rPr>
          <w:rFonts w:hint="eastAsia" w:ascii="黑体" w:hAnsi="黑体" w:eastAsia="黑体"/>
        </w:rPr>
        <w:t>第十七条</w:t>
      </w:r>
      <w:r>
        <w:rPr>
          <w:rFonts w:hint="eastAsia" w:hAnsi="仿宋"/>
        </w:rPr>
        <w:t>　申请人应当对申请登记材料的真实性、合法性、有效性负责，不得隐瞒真实情况或者提供虚假材料申请登记。有下列情形之一的，管理机关应当作出不予登记的决定：</w:t>
      </w:r>
    </w:p>
    <w:p>
      <w:pPr>
        <w:spacing w:line="580" w:lineRule="exact"/>
        <w:ind w:firstLine="420" w:firstLineChars="200"/>
        <w:rPr>
          <w:rFonts w:hAnsi="仿宋"/>
        </w:rPr>
      </w:pPr>
      <w:r>
        <w:rPr>
          <w:rFonts w:hint="eastAsia" w:hAnsi="仿宋"/>
        </w:rPr>
        <w:t>（一）依照林权登记的相关规定，可以办理林权类《不动产权证》登记的；</w:t>
      </w:r>
    </w:p>
    <w:p>
      <w:pPr>
        <w:spacing w:line="580" w:lineRule="exact"/>
        <w:ind w:firstLine="420" w:firstLineChars="200"/>
        <w:rPr>
          <w:rFonts w:hAnsi="仿宋"/>
        </w:rPr>
      </w:pPr>
      <w:r>
        <w:rPr>
          <w:rFonts w:hint="eastAsia" w:hAnsi="仿宋"/>
        </w:rPr>
        <w:t>（二）林地承包经营权人未依法取得《林权证》或《不动产权证》的；</w:t>
      </w:r>
    </w:p>
    <w:p>
      <w:pPr>
        <w:spacing w:line="580" w:lineRule="exact"/>
        <w:ind w:firstLine="420" w:firstLineChars="200"/>
        <w:rPr>
          <w:rFonts w:hAnsi="仿宋"/>
        </w:rPr>
      </w:pPr>
      <w:r>
        <w:rPr>
          <w:rFonts w:hint="eastAsia" w:hAnsi="仿宋"/>
        </w:rPr>
        <w:t>（三）权属不清或有争议纠纷的；</w:t>
      </w:r>
    </w:p>
    <w:p>
      <w:pPr>
        <w:spacing w:line="580" w:lineRule="exact"/>
        <w:ind w:firstLine="420" w:firstLineChars="200"/>
        <w:rPr>
          <w:rFonts w:hAnsi="仿宋"/>
        </w:rPr>
      </w:pPr>
      <w:r>
        <w:rPr>
          <w:rFonts w:hint="eastAsia" w:hAnsi="仿宋"/>
        </w:rPr>
        <w:t>（四）不能提供合法、有效的林地流转合同的；</w:t>
      </w:r>
    </w:p>
    <w:p>
      <w:pPr>
        <w:spacing w:line="580" w:lineRule="exact"/>
        <w:ind w:firstLine="420" w:firstLineChars="200"/>
        <w:rPr>
          <w:rFonts w:hAnsi="仿宋"/>
        </w:rPr>
      </w:pPr>
      <w:r>
        <w:rPr>
          <w:rFonts w:hint="eastAsia" w:hAnsi="仿宋"/>
        </w:rPr>
        <w:t>（五）林权已经抵押的；</w:t>
      </w:r>
    </w:p>
    <w:p>
      <w:pPr>
        <w:spacing w:line="580" w:lineRule="exact"/>
        <w:ind w:firstLine="420" w:firstLineChars="200"/>
        <w:rPr>
          <w:rFonts w:hAnsi="仿宋"/>
        </w:rPr>
      </w:pPr>
      <w:r>
        <w:rPr>
          <w:rFonts w:hint="eastAsia" w:hAnsi="仿宋"/>
        </w:rPr>
        <w:t>（六）其他不符合有关法律法规政策规定流转的。</w:t>
      </w:r>
    </w:p>
    <w:p>
      <w:pPr>
        <w:spacing w:line="580" w:lineRule="exact"/>
        <w:ind w:firstLine="420" w:firstLineChars="200"/>
        <w:rPr>
          <w:rFonts w:hAnsi="仿宋"/>
        </w:rPr>
      </w:pPr>
      <w:r>
        <w:rPr>
          <w:rFonts w:hint="eastAsia" w:ascii="黑体" w:hAnsi="黑体" w:eastAsia="黑体"/>
        </w:rPr>
        <w:t>第十八条</w:t>
      </w:r>
      <w:r>
        <w:rPr>
          <w:rFonts w:hint="eastAsia" w:hAnsi="仿宋"/>
        </w:rPr>
        <w:t>　发生下列情形之一的，林地经营权权利人可以到县林业局提出变更申请：</w:t>
      </w:r>
    </w:p>
    <w:p>
      <w:pPr>
        <w:spacing w:line="580" w:lineRule="exact"/>
        <w:ind w:firstLine="420" w:firstLineChars="200"/>
        <w:rPr>
          <w:rFonts w:hAnsi="仿宋"/>
        </w:rPr>
      </w:pPr>
      <w:r>
        <w:rPr>
          <w:rFonts w:hint="eastAsia" w:hAnsi="仿宋"/>
        </w:rPr>
        <w:t>（一）</w:t>
      </w:r>
      <w:r>
        <w:rPr>
          <w:rFonts w:hint="eastAsia" w:hAnsi="仿宋"/>
        </w:rPr>
        <w:tab/>
      </w:r>
      <w:r>
        <w:rPr>
          <w:rFonts w:hint="eastAsia" w:hAnsi="仿宋"/>
        </w:rPr>
        <w:t>权利人姓名、名称或自然状况发生变化；</w:t>
      </w:r>
    </w:p>
    <w:p>
      <w:pPr>
        <w:spacing w:line="580" w:lineRule="exact"/>
        <w:ind w:firstLine="420" w:firstLineChars="200"/>
        <w:rPr>
          <w:rFonts w:hAnsi="仿宋"/>
        </w:rPr>
      </w:pPr>
      <w:r>
        <w:rPr>
          <w:rFonts w:hint="eastAsia" w:hAnsi="仿宋"/>
        </w:rPr>
        <w:t>（二）</w:t>
      </w:r>
      <w:r>
        <w:rPr>
          <w:rFonts w:hint="eastAsia" w:hAnsi="仿宋"/>
        </w:rPr>
        <w:tab/>
      </w:r>
      <w:r>
        <w:rPr>
          <w:rFonts w:hint="eastAsia" w:hAnsi="仿宋"/>
        </w:rPr>
        <w:t>林地经营权发生再次流转；</w:t>
      </w:r>
    </w:p>
    <w:p>
      <w:pPr>
        <w:spacing w:line="580" w:lineRule="exact"/>
        <w:ind w:firstLine="420" w:firstLineChars="200"/>
        <w:rPr>
          <w:rFonts w:hAnsi="仿宋"/>
        </w:rPr>
      </w:pPr>
      <w:r>
        <w:rPr>
          <w:rFonts w:hint="eastAsia" w:hAnsi="仿宋"/>
        </w:rPr>
        <w:t>（三）</w:t>
      </w:r>
      <w:r>
        <w:rPr>
          <w:rFonts w:hint="eastAsia" w:hAnsi="仿宋"/>
        </w:rPr>
        <w:tab/>
      </w:r>
      <w:r>
        <w:rPr>
          <w:rFonts w:hint="eastAsia" w:hAnsi="仿宋"/>
        </w:rPr>
        <w:t>林地经营权权利内容发生变化的。</w:t>
      </w:r>
    </w:p>
    <w:p>
      <w:pPr>
        <w:spacing w:line="580" w:lineRule="exact"/>
        <w:ind w:firstLine="420" w:firstLineChars="200"/>
        <w:rPr>
          <w:rFonts w:hAnsi="仿宋"/>
        </w:rPr>
      </w:pPr>
      <w:r>
        <w:rPr>
          <w:rFonts w:hint="eastAsia" w:ascii="黑体" w:hAnsi="黑体" w:eastAsia="黑体"/>
        </w:rPr>
        <w:t>第十九条</w:t>
      </w:r>
      <w:r>
        <w:rPr>
          <w:rFonts w:hint="eastAsia" w:hAnsi="仿宋"/>
        </w:rPr>
        <w:t>　林地被依法征收、征占、占用或者由于其他原因造成林地经营权灭失的，权利人应当到发证管理机关申请办理林地经营权流转证注销。</w:t>
      </w:r>
    </w:p>
    <w:p>
      <w:pPr>
        <w:spacing w:line="580" w:lineRule="exact"/>
        <w:ind w:firstLine="420" w:firstLineChars="200"/>
        <w:rPr>
          <w:rFonts w:hAnsi="仿宋"/>
        </w:rPr>
      </w:pPr>
      <w:r>
        <w:rPr>
          <w:rFonts w:hint="eastAsia" w:ascii="黑体" w:hAnsi="黑体" w:eastAsia="黑体"/>
        </w:rPr>
        <w:t>第二十条　</w:t>
      </w:r>
      <w:r>
        <w:rPr>
          <w:rFonts w:hint="eastAsia" w:hAnsi="仿宋"/>
        </w:rPr>
        <w:t>《林地经营权流转证》错、漏记载或者遗失、损坏的，林地经营权权利人可以到发证管理机关申请更正或补办。</w:t>
      </w:r>
    </w:p>
    <w:p>
      <w:pPr>
        <w:spacing w:line="580" w:lineRule="exact"/>
        <w:ind w:firstLine="420" w:firstLineChars="200"/>
        <w:rPr>
          <w:rFonts w:hAnsi="仿宋"/>
        </w:rPr>
      </w:pPr>
      <w:r>
        <w:rPr>
          <w:rFonts w:hint="eastAsia" w:ascii="黑体" w:hAnsi="黑体" w:eastAsia="黑体"/>
        </w:rPr>
        <w:t>第二十一条</w:t>
      </w:r>
      <w:r>
        <w:rPr>
          <w:rFonts w:hint="eastAsia" w:hAnsi="仿宋"/>
        </w:rPr>
        <w:t>　县林业局与县不动产登记部门实行信息实时互通共享，县不动产登记部门注记流转宗地的林地经营权受让方、流转期限等信息，限制流出方流转宗地在林地经营权流转期限内的林权抵押、林木采伐等权利。</w:t>
      </w:r>
    </w:p>
    <w:p>
      <w:pPr>
        <w:spacing w:line="580" w:lineRule="exact"/>
        <w:ind w:firstLine="420" w:firstLineChars="200"/>
        <w:rPr>
          <w:rFonts w:hAnsi="仿宋"/>
        </w:rPr>
      </w:pPr>
      <w:r>
        <w:rPr>
          <w:rFonts w:hint="eastAsia" w:ascii="黑体" w:hAnsi="黑体" w:eastAsia="黑体"/>
        </w:rPr>
        <w:t>第二十二条　</w:t>
      </w:r>
      <w:r>
        <w:rPr>
          <w:rFonts w:hint="eastAsia" w:hAnsi="仿宋"/>
        </w:rPr>
        <w:t>司法机关、行政机关、仲裁委员会发生法律效力的文件，证明申请人以隐瞒真实情况、提交虚假材料等手段获得林地经营权流转登记的，登记机关予以撤销原登记，收回林地经营权流转证或者公告作废，同时申请人承担相应法律责任。</w:t>
      </w:r>
    </w:p>
    <w:p>
      <w:pPr>
        <w:spacing w:line="580" w:lineRule="exact"/>
        <w:ind w:firstLine="420" w:firstLineChars="200"/>
        <w:rPr>
          <w:rFonts w:hAnsi="仿宋"/>
        </w:rPr>
      </w:pPr>
      <w:r>
        <w:rPr>
          <w:rFonts w:hint="eastAsia" w:ascii="黑体" w:hAnsi="黑体" w:eastAsia="黑体"/>
        </w:rPr>
        <w:t>第二十三条</w:t>
      </w:r>
      <w:r>
        <w:rPr>
          <w:rFonts w:hint="eastAsia" w:hAnsi="仿宋"/>
        </w:rPr>
        <w:t>　鼓励和引导林权流转，促进适度规模经营和林地资源转化，推进林权融资服务，支持银行业金融机构优先安排信贷投放，积极培育和壮大新型林业主体。赋予《林地经营权流转证》合法有效的林权抵押权。相关部门要切实做好抵押林权处置的服务工作，建立担保收储机制，防范抵押风险。县林业局要严格做好林权抵押审查备案工作。</w:t>
      </w:r>
    </w:p>
    <w:p>
      <w:pPr>
        <w:spacing w:line="580" w:lineRule="exact"/>
        <w:ind w:firstLine="420" w:firstLineChars="200"/>
        <w:rPr>
          <w:rFonts w:hAnsi="仿宋"/>
        </w:rPr>
      </w:pPr>
      <w:r>
        <w:rPr>
          <w:rFonts w:hint="eastAsia" w:ascii="黑体" w:hAnsi="黑体" w:eastAsia="黑体"/>
        </w:rPr>
        <w:t>第二十四条　</w:t>
      </w:r>
      <w:r>
        <w:rPr>
          <w:rFonts w:hint="eastAsia" w:hAnsi="仿宋"/>
        </w:rPr>
        <w:t>本办法由县林业局负责解释。</w:t>
      </w:r>
    </w:p>
    <w:p>
      <w:pPr>
        <w:spacing w:line="580" w:lineRule="exact"/>
        <w:ind w:firstLine="420" w:firstLineChars="200"/>
        <w:rPr>
          <w:rFonts w:hAnsi="仿宋"/>
        </w:rPr>
      </w:pPr>
      <w:r>
        <w:rPr>
          <w:rFonts w:hint="eastAsia" w:ascii="黑体" w:hAnsi="黑体" w:eastAsia="黑体"/>
        </w:rPr>
        <w:t>第二十五条</w:t>
      </w:r>
      <w:r>
        <w:rPr>
          <w:rFonts w:hint="eastAsia" w:hAnsi="仿宋"/>
        </w:rPr>
        <w:t>　本办法自发布之日起施行。</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青阳县人民政府办公室关于建立青阳县公平竞争审查工作联席会议制度的通知</w:t>
      </w:r>
    </w:p>
    <w:p>
      <w:pPr>
        <w:spacing w:line="600" w:lineRule="exact"/>
      </w:pPr>
      <w:r>
        <w:rPr>
          <w:rFonts w:hint="eastAsia"/>
        </w:rPr>
        <w:t>县政府有关部门、有关直属机构：</w:t>
      </w:r>
    </w:p>
    <w:p>
      <w:pPr>
        <w:spacing w:line="600" w:lineRule="exact"/>
        <w:ind w:firstLine="420" w:firstLineChars="200"/>
        <w:rPr>
          <w:rFonts w:hint="eastAsia"/>
        </w:rPr>
      </w:pPr>
      <w:r>
        <w:rPr>
          <w:rFonts w:hint="eastAsia"/>
        </w:rPr>
        <w:t>经县政府同意，建立青阳县公平竞争审查工作联席会议（以下简称联席会议）制度。现将有关事项通知如下：</w:t>
      </w:r>
    </w:p>
    <w:p>
      <w:pPr>
        <w:spacing w:line="600" w:lineRule="exact"/>
        <w:ind w:firstLine="420" w:firstLineChars="200"/>
        <w:rPr>
          <w:rFonts w:hint="eastAsia" w:ascii="黑体" w:hAnsi="黑体" w:eastAsia="黑体"/>
        </w:rPr>
      </w:pPr>
      <w:r>
        <w:rPr>
          <w:rFonts w:hint="eastAsia" w:ascii="黑体" w:hAnsi="黑体" w:eastAsia="黑体"/>
        </w:rPr>
        <w:t>一、联席会议组成人员名单</w:t>
      </w:r>
    </w:p>
    <w:p>
      <w:pPr>
        <w:spacing w:line="600" w:lineRule="exact"/>
        <w:ind w:firstLine="420" w:firstLineChars="200"/>
        <w:rPr>
          <w:rFonts w:hint="eastAsia" w:hAnsi="楷体"/>
        </w:rPr>
      </w:pPr>
      <w:r>
        <w:rPr>
          <w:rFonts w:hint="eastAsia" w:hAnsi="楷体"/>
        </w:rPr>
        <w:t>总召集人：汤新异</w:t>
      </w:r>
    </w:p>
    <w:p>
      <w:pPr>
        <w:spacing w:line="600" w:lineRule="exact"/>
        <w:ind w:firstLine="420" w:firstLineChars="200"/>
        <w:rPr>
          <w:rFonts w:hint="eastAsia"/>
        </w:rPr>
      </w:pPr>
      <w:r>
        <w:rPr>
          <w:rFonts w:hint="eastAsia"/>
        </w:rPr>
        <w:t>召 集 人：张忠发  县市场监管局局长</w:t>
      </w:r>
    </w:p>
    <w:p>
      <w:pPr>
        <w:spacing w:line="600" w:lineRule="exact"/>
        <w:ind w:firstLine="420" w:firstLineChars="200"/>
        <w:rPr>
          <w:rFonts w:hint="eastAsia"/>
        </w:rPr>
      </w:pPr>
      <w:r>
        <w:rPr>
          <w:rFonts w:hint="eastAsia"/>
        </w:rPr>
        <w:t>副召集人：姚秀亭  县发改委副主任</w:t>
      </w:r>
    </w:p>
    <w:p>
      <w:pPr>
        <w:spacing w:line="600" w:lineRule="exact"/>
        <w:ind w:firstLine="1470" w:firstLineChars="700"/>
        <w:rPr>
          <w:rFonts w:hint="eastAsia"/>
        </w:rPr>
      </w:pPr>
      <w:r>
        <w:rPr>
          <w:rFonts w:hint="eastAsia"/>
        </w:rPr>
        <w:t>陈  超  县科技经济信息化局副局长</w:t>
      </w:r>
    </w:p>
    <w:p>
      <w:pPr>
        <w:spacing w:line="600" w:lineRule="exact"/>
        <w:ind w:firstLine="1470" w:firstLineChars="700"/>
        <w:rPr>
          <w:rFonts w:hint="eastAsia"/>
        </w:rPr>
      </w:pPr>
      <w:r>
        <w:rPr>
          <w:rFonts w:hint="eastAsia"/>
        </w:rPr>
        <w:t>盛守凯  县司法局副局长</w:t>
      </w:r>
    </w:p>
    <w:p>
      <w:pPr>
        <w:spacing w:line="600" w:lineRule="exact"/>
        <w:ind w:firstLine="1470" w:firstLineChars="700"/>
        <w:rPr>
          <w:rFonts w:hint="eastAsia"/>
        </w:rPr>
      </w:pPr>
      <w:r>
        <w:rPr>
          <w:rFonts w:hint="eastAsia"/>
        </w:rPr>
        <w:t>刘来胜  县财政局副局长</w:t>
      </w:r>
    </w:p>
    <w:p>
      <w:pPr>
        <w:spacing w:line="600" w:lineRule="exact"/>
        <w:ind w:firstLine="420" w:firstLineChars="200"/>
        <w:rPr>
          <w:rFonts w:hint="eastAsia"/>
        </w:rPr>
      </w:pPr>
      <w:r>
        <w:rPr>
          <w:rFonts w:hint="eastAsia"/>
        </w:rPr>
        <w:t>成    员：曹清生  县教体工委副书记</w:t>
      </w:r>
    </w:p>
    <w:p>
      <w:pPr>
        <w:spacing w:line="600" w:lineRule="exact"/>
        <w:ind w:firstLine="1470" w:firstLineChars="700"/>
        <w:rPr>
          <w:rFonts w:hint="eastAsia"/>
        </w:rPr>
      </w:pPr>
      <w:r>
        <w:rPr>
          <w:rFonts w:hint="eastAsia"/>
        </w:rPr>
        <w:t>余石瑛  县公安局党委副书记</w:t>
      </w:r>
    </w:p>
    <w:p>
      <w:pPr>
        <w:spacing w:line="600" w:lineRule="exact"/>
        <w:ind w:firstLine="1470" w:firstLineChars="700"/>
        <w:rPr>
          <w:rFonts w:hint="eastAsia"/>
        </w:rPr>
      </w:pPr>
      <w:r>
        <w:rPr>
          <w:rFonts w:hint="eastAsia"/>
        </w:rPr>
        <w:t>李  平  县民政局党组成员</w:t>
      </w:r>
    </w:p>
    <w:p>
      <w:pPr>
        <w:spacing w:line="600" w:lineRule="exact"/>
        <w:ind w:firstLine="1470" w:firstLineChars="700"/>
        <w:rPr>
          <w:rFonts w:hint="eastAsia"/>
        </w:rPr>
      </w:pPr>
      <w:r>
        <w:rPr>
          <w:rFonts w:hint="eastAsia"/>
        </w:rPr>
        <w:t>许  宏  县人社局副局长</w:t>
      </w:r>
    </w:p>
    <w:p>
      <w:pPr>
        <w:spacing w:line="600" w:lineRule="exact"/>
        <w:ind w:firstLine="1470" w:firstLineChars="700"/>
        <w:rPr>
          <w:rFonts w:hint="eastAsia"/>
        </w:rPr>
      </w:pPr>
      <w:r>
        <w:rPr>
          <w:rFonts w:hint="eastAsia"/>
        </w:rPr>
        <w:t>吴成明  县自然资源和规划局副局长</w:t>
      </w:r>
    </w:p>
    <w:p>
      <w:pPr>
        <w:spacing w:line="600" w:lineRule="exact"/>
        <w:ind w:firstLine="1470" w:firstLineChars="700"/>
        <w:rPr>
          <w:rFonts w:hint="eastAsia"/>
        </w:rPr>
      </w:pPr>
      <w:r>
        <w:rPr>
          <w:rFonts w:hint="eastAsia"/>
        </w:rPr>
        <w:t>陈  谷  县住建局副局长</w:t>
      </w:r>
    </w:p>
    <w:p>
      <w:pPr>
        <w:spacing w:line="600" w:lineRule="exact"/>
        <w:ind w:firstLine="1470" w:firstLineChars="700"/>
        <w:rPr>
          <w:rFonts w:hint="eastAsia"/>
        </w:rPr>
      </w:pPr>
      <w:r>
        <w:rPr>
          <w:rFonts w:hint="eastAsia"/>
        </w:rPr>
        <w:t>高向辉  县交通运输局总工程师</w:t>
      </w:r>
    </w:p>
    <w:p>
      <w:pPr>
        <w:spacing w:line="600" w:lineRule="exact"/>
        <w:ind w:firstLine="1470" w:firstLineChars="700"/>
        <w:rPr>
          <w:rFonts w:hint="eastAsia"/>
        </w:rPr>
      </w:pPr>
      <w:r>
        <w:rPr>
          <w:rFonts w:hint="eastAsia"/>
        </w:rPr>
        <w:t>夏元智  县农业农村水利局副局长</w:t>
      </w:r>
    </w:p>
    <w:p>
      <w:pPr>
        <w:spacing w:line="600" w:lineRule="exact"/>
        <w:ind w:firstLine="1470" w:firstLineChars="700"/>
        <w:rPr>
          <w:rFonts w:hint="eastAsia"/>
        </w:rPr>
      </w:pPr>
      <w:r>
        <w:rPr>
          <w:rFonts w:hint="eastAsia"/>
        </w:rPr>
        <w:t>章冬锦  县文化和旅游局副局长</w:t>
      </w:r>
    </w:p>
    <w:p>
      <w:pPr>
        <w:spacing w:line="600" w:lineRule="exact"/>
        <w:ind w:firstLine="1470" w:firstLineChars="700"/>
        <w:rPr>
          <w:rFonts w:hint="eastAsia"/>
        </w:rPr>
      </w:pPr>
      <w:r>
        <w:rPr>
          <w:rFonts w:hint="eastAsia"/>
        </w:rPr>
        <w:t>王新平  县卫健委副主任</w:t>
      </w:r>
    </w:p>
    <w:p>
      <w:pPr>
        <w:spacing w:line="600" w:lineRule="exact"/>
        <w:ind w:firstLine="1470" w:firstLineChars="700"/>
        <w:rPr>
          <w:rFonts w:hint="eastAsia"/>
        </w:rPr>
      </w:pPr>
      <w:r>
        <w:rPr>
          <w:rFonts w:hint="eastAsia"/>
        </w:rPr>
        <w:t>杨月春  县退役军人事务局副局长</w:t>
      </w:r>
    </w:p>
    <w:p>
      <w:pPr>
        <w:spacing w:line="600" w:lineRule="exact"/>
        <w:ind w:firstLine="1470" w:firstLineChars="700"/>
        <w:rPr>
          <w:rFonts w:hint="eastAsia"/>
        </w:rPr>
      </w:pPr>
      <w:r>
        <w:rPr>
          <w:rFonts w:hint="eastAsia"/>
        </w:rPr>
        <w:t>陈光武  县应急管理局副局长</w:t>
      </w:r>
    </w:p>
    <w:p>
      <w:pPr>
        <w:spacing w:line="600" w:lineRule="exact"/>
        <w:ind w:firstLine="1470" w:firstLineChars="700"/>
        <w:rPr>
          <w:rFonts w:hint="eastAsia"/>
        </w:rPr>
      </w:pPr>
      <w:r>
        <w:rPr>
          <w:rFonts w:hint="eastAsia"/>
        </w:rPr>
        <w:t>王东升  县审计局总审计师</w:t>
      </w:r>
    </w:p>
    <w:p>
      <w:pPr>
        <w:spacing w:line="600" w:lineRule="exact"/>
        <w:ind w:firstLine="1470" w:firstLineChars="700"/>
        <w:rPr>
          <w:rFonts w:hint="eastAsia"/>
        </w:rPr>
      </w:pPr>
      <w:r>
        <w:rPr>
          <w:rFonts w:hint="eastAsia"/>
        </w:rPr>
        <w:t>何声华  县统计局总统计师</w:t>
      </w:r>
    </w:p>
    <w:p>
      <w:pPr>
        <w:spacing w:line="600" w:lineRule="exact"/>
        <w:ind w:firstLine="1470" w:firstLineChars="700"/>
        <w:rPr>
          <w:rFonts w:hint="eastAsia"/>
        </w:rPr>
      </w:pPr>
      <w:r>
        <w:rPr>
          <w:rFonts w:hint="eastAsia"/>
        </w:rPr>
        <w:t>汪国兵  县林业局党组成员</w:t>
      </w:r>
    </w:p>
    <w:p>
      <w:pPr>
        <w:spacing w:line="600" w:lineRule="exact"/>
        <w:ind w:firstLine="1470" w:firstLineChars="700"/>
        <w:rPr>
          <w:rFonts w:hint="eastAsia"/>
        </w:rPr>
      </w:pPr>
      <w:r>
        <w:rPr>
          <w:rFonts w:hint="eastAsia"/>
        </w:rPr>
        <w:t>刘广友  县医保局副局长</w:t>
      </w:r>
    </w:p>
    <w:p>
      <w:pPr>
        <w:spacing w:line="600" w:lineRule="exact"/>
        <w:ind w:firstLine="1470" w:firstLineChars="700"/>
        <w:rPr>
          <w:rFonts w:hint="eastAsia"/>
        </w:rPr>
      </w:pPr>
      <w:r>
        <w:rPr>
          <w:rFonts w:hint="eastAsia"/>
        </w:rPr>
        <w:t>项  靖  县信访局副局长</w:t>
      </w:r>
    </w:p>
    <w:p>
      <w:pPr>
        <w:spacing w:line="600" w:lineRule="exact"/>
        <w:ind w:firstLine="1470" w:firstLineChars="700"/>
        <w:rPr>
          <w:rFonts w:hint="eastAsia"/>
        </w:rPr>
      </w:pPr>
      <w:r>
        <w:rPr>
          <w:rFonts w:hint="eastAsia"/>
        </w:rPr>
        <w:t>肖世通  县扶贫开发局副局长</w:t>
      </w:r>
    </w:p>
    <w:p>
      <w:pPr>
        <w:spacing w:line="600" w:lineRule="exact"/>
        <w:ind w:firstLine="1470" w:firstLineChars="700"/>
        <w:rPr>
          <w:rFonts w:hint="eastAsia"/>
        </w:rPr>
      </w:pPr>
      <w:r>
        <w:rPr>
          <w:rFonts w:hint="eastAsia"/>
        </w:rPr>
        <w:t>江一桥  县城市管理行政执法局副局长</w:t>
      </w:r>
    </w:p>
    <w:p>
      <w:pPr>
        <w:spacing w:line="600" w:lineRule="exact"/>
        <w:ind w:firstLine="1470" w:firstLineChars="700"/>
        <w:rPr>
          <w:rFonts w:hint="eastAsia"/>
        </w:rPr>
      </w:pPr>
      <w:r>
        <w:rPr>
          <w:rFonts w:hint="eastAsia"/>
        </w:rPr>
        <w:t>朱少华  县投资促进局党组成员</w:t>
      </w:r>
    </w:p>
    <w:p>
      <w:pPr>
        <w:spacing w:line="600" w:lineRule="exact"/>
        <w:ind w:firstLine="1470" w:firstLineChars="700"/>
        <w:rPr>
          <w:rFonts w:hint="eastAsia"/>
        </w:rPr>
      </w:pPr>
      <w:r>
        <w:rPr>
          <w:rFonts w:hint="eastAsia"/>
        </w:rPr>
        <w:t>魏志刚  县税务局副局长</w:t>
      </w:r>
    </w:p>
    <w:p>
      <w:pPr>
        <w:spacing w:line="600" w:lineRule="exact"/>
        <w:ind w:firstLine="1470" w:firstLineChars="700"/>
        <w:rPr>
          <w:rFonts w:hint="eastAsia"/>
        </w:rPr>
      </w:pPr>
      <w:r>
        <w:rPr>
          <w:rFonts w:hint="eastAsia"/>
        </w:rPr>
        <w:t>胡红辉  县人行副行长</w:t>
      </w:r>
    </w:p>
    <w:p>
      <w:pPr>
        <w:spacing w:line="600" w:lineRule="exact"/>
        <w:ind w:firstLine="1470" w:firstLineChars="700"/>
        <w:rPr>
          <w:rFonts w:hint="eastAsia"/>
        </w:rPr>
      </w:pPr>
      <w:r>
        <w:rPr>
          <w:rFonts w:hint="eastAsia"/>
        </w:rPr>
        <w:t>刘士俊  县市场监管局副局长</w:t>
      </w:r>
    </w:p>
    <w:p>
      <w:pPr>
        <w:spacing w:line="600" w:lineRule="exact"/>
        <w:ind w:firstLine="645"/>
        <w:rPr>
          <w:rFonts w:hint="eastAsia"/>
        </w:rPr>
      </w:pPr>
      <w:r>
        <w:rPr>
          <w:rFonts w:hint="eastAsia"/>
        </w:rPr>
        <w:t>刘士俊同志兼任公平竞争审查工作联席会议办公室主任，胡祥龙同志任办公室副主任。联席会议设联络员，由各成员单位有关科室负责人担任。</w:t>
      </w:r>
    </w:p>
    <w:p>
      <w:pPr>
        <w:spacing w:line="600" w:lineRule="exact"/>
        <w:ind w:firstLine="420" w:firstLineChars="200"/>
        <w:rPr>
          <w:rFonts w:hint="eastAsia" w:ascii="黑体" w:hAnsi="黑体" w:eastAsia="黑体"/>
        </w:rPr>
      </w:pPr>
      <w:r>
        <w:rPr>
          <w:rFonts w:hint="eastAsia" w:ascii="黑体" w:hAnsi="黑体" w:eastAsia="黑体"/>
        </w:rPr>
        <w:t>二、联席会议主要职责</w:t>
      </w:r>
    </w:p>
    <w:p>
      <w:pPr>
        <w:spacing w:line="600" w:lineRule="exact"/>
        <w:ind w:firstLine="420" w:firstLineChars="200"/>
        <w:rPr>
          <w:rFonts w:hint="eastAsia"/>
        </w:rPr>
      </w:pPr>
      <w:r>
        <w:rPr>
          <w:rFonts w:hint="eastAsia"/>
        </w:rPr>
        <w:t>（一）统筹协调推进公平竞争审查相关工作，协调解决制度实施过程中的重大问题，对实施公平竞争审查制度进行督查指导。</w:t>
      </w:r>
    </w:p>
    <w:p>
      <w:pPr>
        <w:spacing w:line="600" w:lineRule="exact"/>
        <w:ind w:firstLine="420" w:firstLineChars="200"/>
        <w:rPr>
          <w:rFonts w:hint="eastAsia"/>
        </w:rPr>
      </w:pPr>
      <w:r>
        <w:rPr>
          <w:rFonts w:hint="eastAsia"/>
        </w:rPr>
        <w:t>（二）加强公平竞争审查制度实施方面的信息沟通协作，总结实施成效，推广先进做法和经验。</w:t>
      </w:r>
    </w:p>
    <w:p>
      <w:pPr>
        <w:spacing w:line="600" w:lineRule="exact"/>
        <w:ind w:firstLine="420" w:firstLineChars="200"/>
        <w:rPr>
          <w:rFonts w:hint="eastAsia"/>
        </w:rPr>
      </w:pPr>
      <w:r>
        <w:rPr>
          <w:rFonts w:hint="eastAsia"/>
        </w:rPr>
        <w:t>（三）贯彻落实国家、省和市公平竞争审查制度实施细则，制定我县推进公平竞争审查制度工作方案。</w:t>
      </w:r>
    </w:p>
    <w:p>
      <w:pPr>
        <w:spacing w:line="600" w:lineRule="exact"/>
        <w:ind w:firstLine="420" w:firstLineChars="200"/>
        <w:rPr>
          <w:rFonts w:hint="eastAsia"/>
        </w:rPr>
      </w:pPr>
      <w:r>
        <w:rPr>
          <w:rFonts w:hint="eastAsia"/>
        </w:rPr>
        <w:t>（四）承担县政府交办的其他有关事项。</w:t>
      </w:r>
    </w:p>
    <w:p>
      <w:pPr>
        <w:spacing w:line="600" w:lineRule="exact"/>
        <w:ind w:firstLine="420" w:firstLineChars="200"/>
        <w:rPr>
          <w:rFonts w:hint="eastAsia" w:ascii="黑体" w:hAnsi="黑体" w:eastAsia="黑体"/>
        </w:rPr>
      </w:pPr>
      <w:r>
        <w:rPr>
          <w:rFonts w:hint="eastAsia" w:ascii="黑体" w:hAnsi="黑体" w:eastAsia="黑体"/>
        </w:rPr>
        <w:t>三、联席会议议事规则</w:t>
      </w:r>
    </w:p>
    <w:p>
      <w:pPr>
        <w:spacing w:line="600" w:lineRule="exact"/>
        <w:ind w:firstLine="420" w:firstLineChars="200"/>
        <w:rPr>
          <w:rFonts w:hint="eastAsia" w:hAnsi="黑体"/>
        </w:rPr>
      </w:pPr>
      <w:r>
        <w:rPr>
          <w:rFonts w:hint="eastAsia"/>
          <w:snapToGrid w:val="0"/>
        </w:rPr>
        <w:t>（一）联席会议由办公室提出并报总召集人或召集人同意后召开，原则上每年不少于一次。会议由总召集人或召集人主持。</w:t>
      </w:r>
    </w:p>
    <w:p>
      <w:pPr>
        <w:pStyle w:val="5"/>
        <w:widowControl w:val="0"/>
        <w:autoSpaceDN w:val="0"/>
        <w:spacing w:before="0" w:after="0" w:line="600" w:lineRule="exact"/>
        <w:ind w:firstLine="420" w:firstLineChars="200"/>
        <w:textAlignment w:val="baseline"/>
        <w:rPr>
          <w:rFonts w:hint="eastAsia" w:asciiTheme="minorHAnsi" w:hAnsiTheme="minorHAnsi" w:eastAsiaTheme="minorEastAsia" w:cstheme="minorBidi"/>
          <w:snapToGrid w:val="0"/>
          <w:kern w:val="2"/>
          <w:sz w:val="21"/>
          <w:szCs w:val="24"/>
          <w:lang w:val="en-US" w:eastAsia="zh-CN" w:bidi="ar-SA"/>
        </w:rPr>
      </w:pPr>
      <w:r>
        <w:rPr>
          <w:rFonts w:hint="eastAsia" w:asciiTheme="minorHAnsi" w:hAnsiTheme="minorHAnsi" w:eastAsiaTheme="minorEastAsia" w:cstheme="minorBidi"/>
          <w:snapToGrid w:val="0"/>
          <w:kern w:val="2"/>
          <w:sz w:val="21"/>
          <w:szCs w:val="24"/>
          <w:lang w:val="en-US" w:eastAsia="zh-CN" w:bidi="ar-SA"/>
        </w:rPr>
        <w:t>（二）联席会议可根据工作需要临时召开会议。临时会议可视具体商议事项，邀请全部或部分成员单位参会，也可邀请非成员单位或有关人士参会</w:t>
      </w:r>
      <w:bookmarkStart w:id="0" w:name="_GoBack"/>
      <w:bookmarkEnd w:id="0"/>
      <w:r>
        <w:rPr>
          <w:rFonts w:hint="eastAsia" w:asciiTheme="minorHAnsi" w:hAnsiTheme="minorHAnsi" w:eastAsiaTheme="minorEastAsia" w:cstheme="minorBidi"/>
          <w:snapToGrid w:val="0"/>
          <w:kern w:val="2"/>
          <w:sz w:val="21"/>
          <w:szCs w:val="24"/>
          <w:lang w:val="en-US" w:eastAsia="zh-CN" w:bidi="ar-SA"/>
        </w:rPr>
        <w:t>。</w:t>
      </w:r>
    </w:p>
    <w:p>
      <w:pPr>
        <w:spacing w:line="600" w:lineRule="exact"/>
        <w:ind w:firstLine="420" w:firstLineChars="200"/>
        <w:rPr>
          <w:rFonts w:hint="eastAsia"/>
        </w:rPr>
      </w:pPr>
      <w:r>
        <w:rPr>
          <w:rFonts w:hint="eastAsia" w:hAnsi="仿宋" w:cs="仿宋"/>
          <w:snapToGrid w:val="0"/>
          <w:color w:val="000000"/>
        </w:rPr>
        <w:t>（三）</w:t>
      </w:r>
      <w:r>
        <w:rPr>
          <w:rFonts w:hint="eastAsia"/>
        </w:rPr>
        <w:t>在联席会议召开前，可以由联席会议办公室召集召开联络员会议，研究讨论需提交联席会议议定的事项及其他有关事项。</w:t>
      </w:r>
    </w:p>
    <w:p>
      <w:pPr>
        <w:spacing w:line="600" w:lineRule="exact"/>
        <w:ind w:firstLine="420" w:firstLineChars="200"/>
      </w:pPr>
      <w:r>
        <w:rPr>
          <w:rFonts w:hint="eastAsia"/>
        </w:rPr>
        <w:t>（四）</w:t>
      </w:r>
      <w:r>
        <w:rPr>
          <w:rFonts w:hint="eastAsia" w:hAnsi="仿宋" w:cs="仿宋"/>
          <w:snapToGrid w:val="0"/>
          <w:color w:val="000000"/>
        </w:rPr>
        <w:t>联席会议以会议纪要形式明确会议议定事项，报联席会议总召集人审定后，印发联席会议各成员单位。</w:t>
      </w:r>
      <w:r>
        <w:rPr>
          <w:rFonts w:hint="eastAsia"/>
        </w:rPr>
        <w:t>重大事项按程序报县政府。</w:t>
      </w:r>
    </w:p>
    <w:p>
      <w:pPr>
        <w:spacing w:line="600" w:lineRule="exact"/>
        <w:ind w:firstLine="420" w:firstLineChars="200"/>
      </w:pPr>
      <w:r>
        <w:rPr>
          <w:rFonts w:hint="eastAsia" w:ascii="黑体" w:hAnsi="黑体" w:eastAsia="黑体"/>
        </w:rPr>
        <w:t>四、工作要求</w:t>
      </w:r>
      <w:r>
        <w:t xml:space="preserve"> </w:t>
      </w:r>
    </w:p>
    <w:p>
      <w:pPr>
        <w:spacing w:line="600" w:lineRule="exact"/>
        <w:ind w:firstLine="420" w:firstLineChars="200"/>
      </w:pPr>
      <w:r>
        <w:rPr>
          <w:rFonts w:hint="eastAsia"/>
        </w:rPr>
        <w:t>县市场监管局要会同县发改委、县科技经济信息化局、县司法局、县财政局切实做好联席会议各项组织工作。</w:t>
      </w:r>
      <w:r>
        <w:rPr>
          <w:rFonts w:hint="eastAsia" w:hAnsi="仿宋" w:cs="仿宋"/>
          <w:snapToGrid w:val="0"/>
          <w:color w:val="000000"/>
        </w:rPr>
        <w:t>各成员单位</w:t>
      </w:r>
      <w:r>
        <w:rPr>
          <w:rFonts w:hint="eastAsia" w:hAnsi="仿宋" w:cs="仿宋"/>
          <w:snapToGrid w:val="0"/>
          <w:color w:val="000000"/>
          <w:kern w:val="0"/>
          <w:lang w:bidi="ar"/>
        </w:rPr>
        <w:t>要</w:t>
      </w:r>
      <w:r>
        <w:rPr>
          <w:rFonts w:hint="eastAsia"/>
        </w:rPr>
        <w:t>认真落实联席会议议定事项及分工任务，</w:t>
      </w:r>
      <w:r>
        <w:rPr>
          <w:rFonts w:hint="eastAsia" w:hAnsi="仿宋" w:cs="仿宋"/>
          <w:snapToGrid w:val="0"/>
          <w:color w:val="000000"/>
          <w:kern w:val="0"/>
          <w:lang w:bidi="ar"/>
        </w:rPr>
        <w:t>按照职责分工</w:t>
      </w:r>
      <w:r>
        <w:rPr>
          <w:rFonts w:hint="eastAsia"/>
        </w:rPr>
        <w:t>，研究完善有关政策措施，积极提出工作建议，推动我县公平竞争审查制度平稳有效实施。联席会议办公室要及时向各成员单位通报工作情况。</w:t>
      </w:r>
      <w:r>
        <w:t xml:space="preserve"> </w:t>
      </w:r>
    </w:p>
    <w:p>
      <w:pPr>
        <w:spacing w:line="600" w:lineRule="exact"/>
        <w:rPr>
          <w:rFonts w:hint="eastAsia"/>
        </w:rPr>
      </w:pPr>
    </w:p>
    <w:p>
      <w:pPr>
        <w:spacing w:line="600" w:lineRule="exact"/>
        <w:jc w:val="left"/>
        <w:rPr>
          <w:rFonts w:hint="eastAsia" w:hAnsi="仿宋"/>
        </w:rPr>
      </w:pPr>
    </w:p>
    <w:p>
      <w:pPr>
        <w:tabs>
          <w:tab w:val="left" w:pos="7560"/>
          <w:tab w:val="left" w:pos="7770"/>
        </w:tabs>
        <w:wordWrap w:val="0"/>
        <w:spacing w:line="600" w:lineRule="exact"/>
        <w:jc w:val="right"/>
        <w:rPr>
          <w:rFonts w:hint="eastAsia"/>
        </w:rPr>
      </w:pPr>
      <w:r>
        <w:rPr>
          <w:rFonts w:hint="eastAsia"/>
        </w:rPr>
        <w:t xml:space="preserve">青阳县人民政府办公室         </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lang w:val="en-US" w:eastAsia="zh-CN"/>
        </w:rPr>
        <w:t xml:space="preserve">                                         </w:t>
      </w:r>
      <w:r>
        <w:rPr>
          <w:rFonts w:hint="eastAsia"/>
        </w:rPr>
        <w:t>2019年10月31日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BCDEE+黑体">
    <w:altName w:val="黑体"/>
    <w:panose1 w:val="00000000000000000000"/>
    <w:charset w:val="00"/>
    <w:family w:val="auto"/>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ABCDEE+仿宋_GB2312">
    <w:altName w:val="微软雅黑"/>
    <w:panose1 w:val="00000000000000000000"/>
    <w:charset w:val="00"/>
    <w:family w:val="auto"/>
    <w:pitch w:val="default"/>
    <w:sig w:usb0="00000000" w:usb1="00000000" w:usb2="00000000" w:usb3="00000000" w:csb0="00040001" w:csb1="00000000"/>
  </w:font>
  <w:font w:name="ABCDEE+楷体_GB2312">
    <w:altName w:val="宋体"/>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4B22791E"/>
    <w:rsid w:val="58011DA5"/>
    <w:rsid w:val="59F24B7D"/>
    <w:rsid w:val="708562F1"/>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5">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rPr>
      <w:rFonts w:cs="Times New Roman"/>
    </w:rPr>
  </w:style>
  <w:style w:type="character" w:styleId="10">
    <w:name w:val="Emphasis"/>
    <w:basedOn w:val="8"/>
    <w:qFormat/>
    <w:uiPriority w:val="0"/>
    <w:rPr>
      <w:i/>
      <w:i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2020-03-24T03:10:46Z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